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E5A045" w14:textId="77777777" w:rsidR="007C1E25" w:rsidRPr="00BF6AC9" w:rsidRDefault="007C1E25" w:rsidP="007C1E25">
      <w:pPr>
        <w:jc w:val="center"/>
        <w:rPr>
          <w:b/>
          <w:sz w:val="72"/>
          <w:szCs w:val="72"/>
        </w:rPr>
      </w:pPr>
      <w:r w:rsidRPr="00BF6AC9">
        <w:rPr>
          <w:b/>
          <w:sz w:val="72"/>
          <w:szCs w:val="72"/>
        </w:rPr>
        <w:t>聯合國兒童權利公約</w:t>
      </w:r>
    </w:p>
    <w:p w14:paraId="26422945" w14:textId="77777777" w:rsidR="007C1E25" w:rsidRPr="00BF6AC9" w:rsidRDefault="007C1E25" w:rsidP="007C1E25">
      <w:pPr>
        <w:jc w:val="center"/>
        <w:rPr>
          <w:b/>
          <w:sz w:val="48"/>
          <w:szCs w:val="48"/>
        </w:rPr>
      </w:pPr>
      <w:r w:rsidRPr="00BF6AC9">
        <w:rPr>
          <w:b/>
          <w:sz w:val="48"/>
          <w:szCs w:val="48"/>
        </w:rPr>
        <w:t>逐條要義</w:t>
      </w:r>
    </w:p>
    <w:p w14:paraId="53360A5E" w14:textId="77777777" w:rsidR="007C1E25" w:rsidRPr="005E758A" w:rsidRDefault="007C1E25" w:rsidP="007C1E25">
      <w:pPr>
        <w:jc w:val="center"/>
        <w:rPr>
          <w:sz w:val="48"/>
          <w:szCs w:val="48"/>
        </w:rPr>
      </w:pPr>
    </w:p>
    <w:p w14:paraId="5B388ADE" w14:textId="77777777" w:rsidR="007C1E25" w:rsidRPr="00BF6AC9" w:rsidRDefault="00BF6AC9" w:rsidP="007C1E25">
      <w:pPr>
        <w:jc w:val="center"/>
        <w:rPr>
          <w:sz w:val="44"/>
          <w:szCs w:val="48"/>
        </w:rPr>
      </w:pPr>
      <w:r w:rsidRPr="00BF6AC9">
        <w:rPr>
          <w:rFonts w:hint="eastAsia"/>
          <w:sz w:val="44"/>
          <w:szCs w:val="48"/>
        </w:rPr>
        <w:t>衛生福利部社會及家庭署</w:t>
      </w:r>
      <w:r w:rsidRPr="00BF6AC9">
        <w:rPr>
          <w:sz w:val="44"/>
          <w:szCs w:val="48"/>
        </w:rPr>
        <w:br/>
      </w:r>
      <w:r w:rsidRPr="00BF6AC9">
        <w:rPr>
          <w:rFonts w:hint="eastAsia"/>
          <w:sz w:val="44"/>
          <w:szCs w:val="48"/>
        </w:rPr>
        <w:t>「兒童權利公約施行法－法規檢視暨教育訓練專案服務計畫」</w:t>
      </w:r>
      <w:r w:rsidRPr="00BF6AC9">
        <w:rPr>
          <w:sz w:val="44"/>
          <w:szCs w:val="48"/>
        </w:rPr>
        <w:br/>
      </w:r>
      <w:r w:rsidRPr="00BF6AC9">
        <w:rPr>
          <w:rFonts w:hint="eastAsia"/>
          <w:sz w:val="44"/>
          <w:szCs w:val="48"/>
        </w:rPr>
        <w:t>期中成果報告</w:t>
      </w:r>
    </w:p>
    <w:p w14:paraId="233454DF" w14:textId="77777777" w:rsidR="007C1E25" w:rsidRPr="005E758A" w:rsidRDefault="00325E0E" w:rsidP="007C1E25">
      <w:pPr>
        <w:jc w:val="center"/>
        <w:rPr>
          <w:sz w:val="48"/>
          <w:szCs w:val="48"/>
        </w:rPr>
      </w:pPr>
      <w:r w:rsidRPr="005E758A">
        <w:rPr>
          <w:noProof/>
          <w:sz w:val="48"/>
          <w:szCs w:val="48"/>
        </w:rPr>
        <w:drawing>
          <wp:inline distT="0" distB="0" distL="0" distR="0" wp14:anchorId="4B8C6BFA" wp14:editId="65173FD8">
            <wp:extent cx="5278120" cy="4855845"/>
            <wp:effectExtent l="0" t="0" r="0" b="1905"/>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177721.jpg"/>
                    <pic:cNvPicPr/>
                  </pic:nvPicPr>
                  <pic:blipFill>
                    <a:blip r:embed="rId8">
                      <a:extLst>
                        <a:ext uri="{28A0092B-C50C-407E-A947-70E740481C1C}">
                          <a14:useLocalDpi xmlns:a14="http://schemas.microsoft.com/office/drawing/2010/main" val="0"/>
                        </a:ext>
                      </a:extLst>
                    </a:blip>
                    <a:stretch>
                      <a:fillRect/>
                    </a:stretch>
                  </pic:blipFill>
                  <pic:spPr>
                    <a:xfrm>
                      <a:off x="0" y="0"/>
                      <a:ext cx="5278120" cy="4855845"/>
                    </a:xfrm>
                    <a:prstGeom prst="rect">
                      <a:avLst/>
                    </a:prstGeom>
                  </pic:spPr>
                </pic:pic>
              </a:graphicData>
            </a:graphic>
          </wp:inline>
        </w:drawing>
      </w:r>
    </w:p>
    <w:p w14:paraId="29A8A9E8" w14:textId="77777777" w:rsidR="007C1E25" w:rsidRPr="005E758A" w:rsidRDefault="007C1E25" w:rsidP="007C1E25">
      <w:pPr>
        <w:jc w:val="center"/>
        <w:rPr>
          <w:sz w:val="40"/>
          <w:szCs w:val="40"/>
        </w:rPr>
      </w:pPr>
      <w:r w:rsidRPr="005E758A">
        <w:rPr>
          <w:sz w:val="40"/>
          <w:szCs w:val="40"/>
        </w:rPr>
        <w:t>高玉泉、蔡沛倫</w:t>
      </w:r>
      <w:r w:rsidRPr="005E758A">
        <w:rPr>
          <w:sz w:val="40"/>
          <w:szCs w:val="40"/>
        </w:rPr>
        <w:t xml:space="preserve"> </w:t>
      </w:r>
      <w:r w:rsidRPr="005E758A">
        <w:rPr>
          <w:sz w:val="40"/>
          <w:szCs w:val="40"/>
        </w:rPr>
        <w:t>編著</w:t>
      </w:r>
    </w:p>
    <w:p w14:paraId="468AFA47" w14:textId="77777777" w:rsidR="007C1E25" w:rsidRPr="005E758A" w:rsidRDefault="007C1E25" w:rsidP="007C1E25">
      <w:pPr>
        <w:jc w:val="center"/>
        <w:rPr>
          <w:sz w:val="32"/>
          <w:szCs w:val="32"/>
        </w:rPr>
      </w:pPr>
      <w:r w:rsidRPr="005E758A">
        <w:rPr>
          <w:sz w:val="32"/>
          <w:szCs w:val="32"/>
        </w:rPr>
        <w:t>研究助理：李其恆、王怡茜、溫國慧、朱</w:t>
      </w:r>
      <w:proofErr w:type="gramStart"/>
      <w:r w:rsidRPr="005E758A">
        <w:rPr>
          <w:sz w:val="32"/>
          <w:szCs w:val="32"/>
        </w:rPr>
        <w:t>琍</w:t>
      </w:r>
      <w:proofErr w:type="gramEnd"/>
      <w:r w:rsidRPr="005E758A">
        <w:rPr>
          <w:sz w:val="32"/>
          <w:szCs w:val="32"/>
        </w:rPr>
        <w:t>瑩</w:t>
      </w:r>
    </w:p>
    <w:p w14:paraId="5CB05D31" w14:textId="77777777" w:rsidR="007C1E25" w:rsidRPr="005E758A" w:rsidRDefault="007C1E25" w:rsidP="00325E0E">
      <w:pPr>
        <w:jc w:val="center"/>
        <w:rPr>
          <w:sz w:val="28"/>
          <w:szCs w:val="28"/>
        </w:rPr>
      </w:pPr>
    </w:p>
    <w:p w14:paraId="74F4141D" w14:textId="77777777" w:rsidR="00325E0E" w:rsidRPr="005E758A" w:rsidRDefault="00325E0E" w:rsidP="00325E0E">
      <w:pPr>
        <w:jc w:val="center"/>
        <w:rPr>
          <w:sz w:val="28"/>
          <w:szCs w:val="28"/>
        </w:rPr>
        <w:sectPr w:rsidR="00325E0E" w:rsidRPr="005E758A" w:rsidSect="006075E6">
          <w:footerReference w:type="default" r:id="rId9"/>
          <w:footnotePr>
            <w:numRestart w:val="eachSect"/>
          </w:footnotePr>
          <w:endnotePr>
            <w:numFmt w:val="decimal"/>
            <w:numRestart w:val="eachSect"/>
          </w:endnotePr>
          <w:pgSz w:w="11906" w:h="16838"/>
          <w:pgMar w:top="1440" w:right="1797" w:bottom="1440" w:left="1797" w:header="851" w:footer="992" w:gutter="0"/>
          <w:cols w:space="425"/>
          <w:titlePg/>
          <w:docGrid w:linePitch="360"/>
        </w:sectPr>
      </w:pPr>
      <w:r w:rsidRPr="005E758A">
        <w:rPr>
          <w:sz w:val="28"/>
          <w:szCs w:val="28"/>
        </w:rPr>
        <w:t>中華民國</w:t>
      </w:r>
      <w:r w:rsidRPr="005E758A">
        <w:rPr>
          <w:sz w:val="28"/>
          <w:szCs w:val="28"/>
        </w:rPr>
        <w:t>104</w:t>
      </w:r>
      <w:r w:rsidRPr="005E758A">
        <w:rPr>
          <w:sz w:val="28"/>
          <w:szCs w:val="28"/>
        </w:rPr>
        <w:t>年</w:t>
      </w:r>
      <w:r w:rsidRPr="005E758A">
        <w:rPr>
          <w:sz w:val="28"/>
          <w:szCs w:val="28"/>
        </w:rPr>
        <w:t>9</w:t>
      </w:r>
      <w:r w:rsidRPr="005E758A">
        <w:rPr>
          <w:sz w:val="28"/>
          <w:szCs w:val="28"/>
        </w:rPr>
        <w:t>月</w:t>
      </w:r>
      <w:r w:rsidRPr="005E758A">
        <w:rPr>
          <w:sz w:val="28"/>
          <w:szCs w:val="28"/>
        </w:rPr>
        <w:t>2</w:t>
      </w:r>
      <w:r w:rsidR="00C351A4">
        <w:rPr>
          <w:rFonts w:hint="eastAsia"/>
          <w:sz w:val="28"/>
          <w:szCs w:val="28"/>
        </w:rPr>
        <w:t>8</w:t>
      </w:r>
      <w:r w:rsidRPr="005E758A">
        <w:rPr>
          <w:sz w:val="28"/>
          <w:szCs w:val="28"/>
        </w:rPr>
        <w:t>日</w:t>
      </w:r>
    </w:p>
    <w:p w14:paraId="52B48B47" w14:textId="77777777" w:rsidR="007C1E25" w:rsidRPr="005E758A" w:rsidRDefault="007C1E25" w:rsidP="007C1E25">
      <w:pPr>
        <w:pStyle w:val="1"/>
      </w:pPr>
      <w:bookmarkStart w:id="0" w:name="_Toc431072715"/>
      <w:r w:rsidRPr="005E758A">
        <w:lastRenderedPageBreak/>
        <w:t>目錄</w:t>
      </w:r>
      <w:bookmarkEnd w:id="0"/>
    </w:p>
    <w:p w14:paraId="73500E9D" w14:textId="77777777" w:rsidR="00EC26FF" w:rsidRPr="00EC26FF" w:rsidRDefault="00371A18">
      <w:pPr>
        <w:pStyle w:val="11"/>
        <w:rPr>
          <w:rFonts w:asciiTheme="minorHAnsi" w:eastAsiaTheme="minorEastAsia" w:hAnsiTheme="minorHAnsi" w:cstheme="minorBidi"/>
          <w:noProof/>
          <w:sz w:val="28"/>
          <w:szCs w:val="28"/>
        </w:rPr>
      </w:pPr>
      <w:r w:rsidRPr="00EC26FF">
        <w:rPr>
          <w:sz w:val="28"/>
          <w:szCs w:val="28"/>
        </w:rPr>
        <w:fldChar w:fldCharType="begin"/>
      </w:r>
      <w:r w:rsidRPr="00EC26FF">
        <w:rPr>
          <w:sz w:val="28"/>
          <w:szCs w:val="28"/>
        </w:rPr>
        <w:instrText xml:space="preserve"> TOC \o "1-1" \h \z \u </w:instrText>
      </w:r>
      <w:r w:rsidRPr="00EC26FF">
        <w:rPr>
          <w:sz w:val="28"/>
          <w:szCs w:val="28"/>
        </w:rPr>
        <w:fldChar w:fldCharType="separate"/>
      </w:r>
      <w:hyperlink w:anchor="_Toc431072715" w:history="1">
        <w:r w:rsidR="00EC26FF" w:rsidRPr="00EC26FF">
          <w:rPr>
            <w:rStyle w:val="ab"/>
            <w:rFonts w:hint="eastAsia"/>
            <w:noProof/>
            <w:sz w:val="28"/>
            <w:szCs w:val="28"/>
          </w:rPr>
          <w:t>目錄</w:t>
        </w:r>
        <w:r w:rsidR="00EC26FF" w:rsidRPr="00EC26FF">
          <w:rPr>
            <w:noProof/>
            <w:webHidden/>
            <w:sz w:val="28"/>
            <w:szCs w:val="28"/>
          </w:rPr>
          <w:tab/>
        </w:r>
        <w:r w:rsidR="00EC26FF" w:rsidRPr="00EC26FF">
          <w:rPr>
            <w:noProof/>
            <w:webHidden/>
            <w:sz w:val="28"/>
            <w:szCs w:val="28"/>
          </w:rPr>
          <w:fldChar w:fldCharType="begin"/>
        </w:r>
        <w:r w:rsidR="00EC26FF" w:rsidRPr="00EC26FF">
          <w:rPr>
            <w:noProof/>
            <w:webHidden/>
            <w:sz w:val="28"/>
            <w:szCs w:val="28"/>
          </w:rPr>
          <w:instrText xml:space="preserve"> PAGEREF _Toc431072715 \h </w:instrText>
        </w:r>
        <w:r w:rsidR="00EC26FF" w:rsidRPr="00EC26FF">
          <w:rPr>
            <w:noProof/>
            <w:webHidden/>
            <w:sz w:val="28"/>
            <w:szCs w:val="28"/>
          </w:rPr>
        </w:r>
        <w:r w:rsidR="00EC26FF" w:rsidRPr="00EC26FF">
          <w:rPr>
            <w:noProof/>
            <w:webHidden/>
            <w:sz w:val="28"/>
            <w:szCs w:val="28"/>
          </w:rPr>
          <w:fldChar w:fldCharType="separate"/>
        </w:r>
        <w:r w:rsidR="00DA394E">
          <w:rPr>
            <w:noProof/>
            <w:webHidden/>
            <w:sz w:val="28"/>
            <w:szCs w:val="28"/>
          </w:rPr>
          <w:t>1</w:t>
        </w:r>
        <w:r w:rsidR="00EC26FF" w:rsidRPr="00EC26FF">
          <w:rPr>
            <w:noProof/>
            <w:webHidden/>
            <w:sz w:val="28"/>
            <w:szCs w:val="28"/>
          </w:rPr>
          <w:fldChar w:fldCharType="end"/>
        </w:r>
      </w:hyperlink>
    </w:p>
    <w:p w14:paraId="614D857C" w14:textId="77777777" w:rsidR="00EC26FF" w:rsidRPr="00EC26FF" w:rsidRDefault="00EE5529">
      <w:pPr>
        <w:pStyle w:val="11"/>
        <w:rPr>
          <w:rFonts w:asciiTheme="minorHAnsi" w:eastAsiaTheme="minorEastAsia" w:hAnsiTheme="minorHAnsi" w:cstheme="minorBidi"/>
          <w:noProof/>
          <w:sz w:val="28"/>
          <w:szCs w:val="28"/>
        </w:rPr>
      </w:pPr>
      <w:hyperlink w:anchor="_Toc431072716" w:history="1">
        <w:r w:rsidR="00EC26FF" w:rsidRPr="00EC26FF">
          <w:rPr>
            <w:rStyle w:val="ab"/>
            <w:rFonts w:hint="eastAsia"/>
            <w:noProof/>
            <w:sz w:val="28"/>
            <w:szCs w:val="28"/>
          </w:rPr>
          <w:t>逐條要義撰寫總說明</w:t>
        </w:r>
        <w:r w:rsidR="00EC26FF" w:rsidRPr="00EC26FF">
          <w:rPr>
            <w:noProof/>
            <w:webHidden/>
            <w:sz w:val="28"/>
            <w:szCs w:val="28"/>
          </w:rPr>
          <w:tab/>
        </w:r>
        <w:r w:rsidR="00EC26FF" w:rsidRPr="00EC26FF">
          <w:rPr>
            <w:noProof/>
            <w:webHidden/>
            <w:sz w:val="28"/>
            <w:szCs w:val="28"/>
          </w:rPr>
          <w:fldChar w:fldCharType="begin"/>
        </w:r>
        <w:r w:rsidR="00EC26FF" w:rsidRPr="00EC26FF">
          <w:rPr>
            <w:noProof/>
            <w:webHidden/>
            <w:sz w:val="28"/>
            <w:szCs w:val="28"/>
          </w:rPr>
          <w:instrText xml:space="preserve"> PAGEREF _Toc431072716 \h </w:instrText>
        </w:r>
        <w:r w:rsidR="00EC26FF" w:rsidRPr="00EC26FF">
          <w:rPr>
            <w:noProof/>
            <w:webHidden/>
            <w:sz w:val="28"/>
            <w:szCs w:val="28"/>
          </w:rPr>
        </w:r>
        <w:r w:rsidR="00EC26FF" w:rsidRPr="00EC26FF">
          <w:rPr>
            <w:noProof/>
            <w:webHidden/>
            <w:sz w:val="28"/>
            <w:szCs w:val="28"/>
          </w:rPr>
          <w:fldChar w:fldCharType="separate"/>
        </w:r>
        <w:r w:rsidR="00DA394E">
          <w:rPr>
            <w:noProof/>
            <w:webHidden/>
            <w:sz w:val="28"/>
            <w:szCs w:val="28"/>
          </w:rPr>
          <w:t>3</w:t>
        </w:r>
        <w:r w:rsidR="00EC26FF" w:rsidRPr="00EC26FF">
          <w:rPr>
            <w:noProof/>
            <w:webHidden/>
            <w:sz w:val="28"/>
            <w:szCs w:val="28"/>
          </w:rPr>
          <w:fldChar w:fldCharType="end"/>
        </w:r>
      </w:hyperlink>
    </w:p>
    <w:p w14:paraId="7606C7FA" w14:textId="77777777" w:rsidR="00EC26FF" w:rsidRPr="00EC26FF" w:rsidRDefault="00EE5529">
      <w:pPr>
        <w:pStyle w:val="11"/>
        <w:rPr>
          <w:rFonts w:asciiTheme="minorHAnsi" w:eastAsiaTheme="minorEastAsia" w:hAnsiTheme="minorHAnsi" w:cstheme="minorBidi"/>
          <w:noProof/>
          <w:sz w:val="28"/>
          <w:szCs w:val="28"/>
        </w:rPr>
      </w:pPr>
      <w:hyperlink w:anchor="_Toc431072717" w:history="1">
        <w:r w:rsidR="00EC26FF" w:rsidRPr="00EC26FF">
          <w:rPr>
            <w:rStyle w:val="ab"/>
            <w:rFonts w:hint="eastAsia"/>
            <w:noProof/>
            <w:sz w:val="28"/>
            <w:szCs w:val="28"/>
          </w:rPr>
          <w:t>第</w:t>
        </w:r>
        <w:r w:rsidR="00EC26FF" w:rsidRPr="00EC26FF">
          <w:rPr>
            <w:rStyle w:val="ab"/>
            <w:noProof/>
            <w:sz w:val="28"/>
            <w:szCs w:val="28"/>
          </w:rPr>
          <w:t>1</w:t>
        </w:r>
        <w:r w:rsidR="00EC26FF" w:rsidRPr="00EC26FF">
          <w:rPr>
            <w:rStyle w:val="ab"/>
            <w:rFonts w:hint="eastAsia"/>
            <w:noProof/>
            <w:sz w:val="28"/>
            <w:szCs w:val="28"/>
          </w:rPr>
          <w:t>條　兒童之定義</w:t>
        </w:r>
        <w:r w:rsidR="00EC26FF" w:rsidRPr="00EC26FF">
          <w:rPr>
            <w:noProof/>
            <w:webHidden/>
            <w:sz w:val="28"/>
            <w:szCs w:val="28"/>
          </w:rPr>
          <w:tab/>
        </w:r>
        <w:r w:rsidR="00EC26FF" w:rsidRPr="00EC26FF">
          <w:rPr>
            <w:noProof/>
            <w:webHidden/>
            <w:sz w:val="28"/>
            <w:szCs w:val="28"/>
          </w:rPr>
          <w:fldChar w:fldCharType="begin"/>
        </w:r>
        <w:r w:rsidR="00EC26FF" w:rsidRPr="00EC26FF">
          <w:rPr>
            <w:noProof/>
            <w:webHidden/>
            <w:sz w:val="28"/>
            <w:szCs w:val="28"/>
          </w:rPr>
          <w:instrText xml:space="preserve"> PAGEREF _Toc431072717 \h </w:instrText>
        </w:r>
        <w:r w:rsidR="00EC26FF" w:rsidRPr="00EC26FF">
          <w:rPr>
            <w:noProof/>
            <w:webHidden/>
            <w:sz w:val="28"/>
            <w:szCs w:val="28"/>
          </w:rPr>
        </w:r>
        <w:r w:rsidR="00EC26FF" w:rsidRPr="00EC26FF">
          <w:rPr>
            <w:noProof/>
            <w:webHidden/>
            <w:sz w:val="28"/>
            <w:szCs w:val="28"/>
          </w:rPr>
          <w:fldChar w:fldCharType="separate"/>
        </w:r>
        <w:r w:rsidR="00DA394E">
          <w:rPr>
            <w:noProof/>
            <w:webHidden/>
            <w:sz w:val="28"/>
            <w:szCs w:val="28"/>
          </w:rPr>
          <w:t>5</w:t>
        </w:r>
        <w:r w:rsidR="00EC26FF" w:rsidRPr="00EC26FF">
          <w:rPr>
            <w:noProof/>
            <w:webHidden/>
            <w:sz w:val="28"/>
            <w:szCs w:val="28"/>
          </w:rPr>
          <w:fldChar w:fldCharType="end"/>
        </w:r>
      </w:hyperlink>
    </w:p>
    <w:p w14:paraId="7D32AB2B" w14:textId="77777777" w:rsidR="00EC26FF" w:rsidRPr="00EC26FF" w:rsidRDefault="00EE5529">
      <w:pPr>
        <w:pStyle w:val="11"/>
        <w:rPr>
          <w:rFonts w:asciiTheme="minorHAnsi" w:eastAsiaTheme="minorEastAsia" w:hAnsiTheme="minorHAnsi" w:cstheme="minorBidi"/>
          <w:noProof/>
          <w:sz w:val="28"/>
          <w:szCs w:val="28"/>
        </w:rPr>
      </w:pPr>
      <w:hyperlink w:anchor="_Toc431072718" w:history="1">
        <w:r w:rsidR="00EC26FF" w:rsidRPr="00EC26FF">
          <w:rPr>
            <w:rStyle w:val="ab"/>
            <w:rFonts w:hint="eastAsia"/>
            <w:noProof/>
            <w:sz w:val="28"/>
            <w:szCs w:val="28"/>
            <w:shd w:val="clear" w:color="auto" w:fill="FFFFFF"/>
          </w:rPr>
          <w:t>第</w:t>
        </w:r>
        <w:r w:rsidR="00EC26FF" w:rsidRPr="00EC26FF">
          <w:rPr>
            <w:rStyle w:val="ab"/>
            <w:noProof/>
            <w:sz w:val="28"/>
            <w:szCs w:val="28"/>
            <w:shd w:val="clear" w:color="auto" w:fill="FFFFFF"/>
          </w:rPr>
          <w:t>2</w:t>
        </w:r>
        <w:r w:rsidR="00EC26FF" w:rsidRPr="00EC26FF">
          <w:rPr>
            <w:rStyle w:val="ab"/>
            <w:rFonts w:hint="eastAsia"/>
            <w:noProof/>
            <w:sz w:val="28"/>
            <w:szCs w:val="28"/>
            <w:shd w:val="clear" w:color="auto" w:fill="FFFFFF"/>
          </w:rPr>
          <w:t>條　禁止歧視</w:t>
        </w:r>
        <w:r w:rsidR="00EC26FF" w:rsidRPr="00EC26FF">
          <w:rPr>
            <w:noProof/>
            <w:webHidden/>
            <w:sz w:val="28"/>
            <w:szCs w:val="28"/>
          </w:rPr>
          <w:tab/>
        </w:r>
        <w:r w:rsidR="00EC26FF" w:rsidRPr="00EC26FF">
          <w:rPr>
            <w:noProof/>
            <w:webHidden/>
            <w:sz w:val="28"/>
            <w:szCs w:val="28"/>
          </w:rPr>
          <w:fldChar w:fldCharType="begin"/>
        </w:r>
        <w:r w:rsidR="00EC26FF" w:rsidRPr="00EC26FF">
          <w:rPr>
            <w:noProof/>
            <w:webHidden/>
            <w:sz w:val="28"/>
            <w:szCs w:val="28"/>
          </w:rPr>
          <w:instrText xml:space="preserve"> PAGEREF _Toc431072718 \h </w:instrText>
        </w:r>
        <w:r w:rsidR="00EC26FF" w:rsidRPr="00EC26FF">
          <w:rPr>
            <w:noProof/>
            <w:webHidden/>
            <w:sz w:val="28"/>
            <w:szCs w:val="28"/>
          </w:rPr>
        </w:r>
        <w:r w:rsidR="00EC26FF" w:rsidRPr="00EC26FF">
          <w:rPr>
            <w:noProof/>
            <w:webHidden/>
            <w:sz w:val="28"/>
            <w:szCs w:val="28"/>
          </w:rPr>
          <w:fldChar w:fldCharType="separate"/>
        </w:r>
        <w:r w:rsidR="00DA394E">
          <w:rPr>
            <w:noProof/>
            <w:webHidden/>
            <w:sz w:val="28"/>
            <w:szCs w:val="28"/>
          </w:rPr>
          <w:t>10</w:t>
        </w:r>
        <w:r w:rsidR="00EC26FF" w:rsidRPr="00EC26FF">
          <w:rPr>
            <w:noProof/>
            <w:webHidden/>
            <w:sz w:val="28"/>
            <w:szCs w:val="28"/>
          </w:rPr>
          <w:fldChar w:fldCharType="end"/>
        </w:r>
      </w:hyperlink>
    </w:p>
    <w:p w14:paraId="1BDD7973" w14:textId="77777777" w:rsidR="00EC26FF" w:rsidRPr="00EC26FF" w:rsidRDefault="00EE5529">
      <w:pPr>
        <w:pStyle w:val="11"/>
        <w:rPr>
          <w:rFonts w:asciiTheme="minorHAnsi" w:eastAsiaTheme="minorEastAsia" w:hAnsiTheme="minorHAnsi" w:cstheme="minorBidi"/>
          <w:noProof/>
          <w:sz w:val="28"/>
          <w:szCs w:val="28"/>
        </w:rPr>
      </w:pPr>
      <w:hyperlink w:anchor="_Toc431072719" w:history="1">
        <w:r w:rsidR="00EC26FF" w:rsidRPr="00EC26FF">
          <w:rPr>
            <w:rStyle w:val="ab"/>
            <w:rFonts w:hint="eastAsia"/>
            <w:noProof/>
            <w:sz w:val="28"/>
            <w:szCs w:val="28"/>
          </w:rPr>
          <w:t>第</w:t>
        </w:r>
        <w:r w:rsidR="00EC26FF" w:rsidRPr="00EC26FF">
          <w:rPr>
            <w:rStyle w:val="ab"/>
            <w:noProof/>
            <w:sz w:val="28"/>
            <w:szCs w:val="28"/>
          </w:rPr>
          <w:t>3</w:t>
        </w:r>
        <w:r w:rsidR="00EC26FF" w:rsidRPr="00EC26FF">
          <w:rPr>
            <w:rStyle w:val="ab"/>
            <w:rFonts w:hint="eastAsia"/>
            <w:noProof/>
            <w:sz w:val="28"/>
            <w:szCs w:val="28"/>
          </w:rPr>
          <w:t>條　兒童最佳利益原則</w:t>
        </w:r>
        <w:r w:rsidR="00EC26FF" w:rsidRPr="00EC26FF">
          <w:rPr>
            <w:noProof/>
            <w:webHidden/>
            <w:sz w:val="28"/>
            <w:szCs w:val="28"/>
          </w:rPr>
          <w:tab/>
        </w:r>
        <w:r w:rsidR="00EC26FF" w:rsidRPr="00EC26FF">
          <w:rPr>
            <w:noProof/>
            <w:webHidden/>
            <w:sz w:val="28"/>
            <w:szCs w:val="28"/>
          </w:rPr>
          <w:fldChar w:fldCharType="begin"/>
        </w:r>
        <w:r w:rsidR="00EC26FF" w:rsidRPr="00EC26FF">
          <w:rPr>
            <w:noProof/>
            <w:webHidden/>
            <w:sz w:val="28"/>
            <w:szCs w:val="28"/>
          </w:rPr>
          <w:instrText xml:space="preserve"> PAGEREF _Toc431072719 \h </w:instrText>
        </w:r>
        <w:r w:rsidR="00EC26FF" w:rsidRPr="00EC26FF">
          <w:rPr>
            <w:noProof/>
            <w:webHidden/>
            <w:sz w:val="28"/>
            <w:szCs w:val="28"/>
          </w:rPr>
        </w:r>
        <w:r w:rsidR="00EC26FF" w:rsidRPr="00EC26FF">
          <w:rPr>
            <w:noProof/>
            <w:webHidden/>
            <w:sz w:val="28"/>
            <w:szCs w:val="28"/>
          </w:rPr>
          <w:fldChar w:fldCharType="separate"/>
        </w:r>
        <w:r w:rsidR="00DA394E">
          <w:rPr>
            <w:noProof/>
            <w:webHidden/>
            <w:sz w:val="28"/>
            <w:szCs w:val="28"/>
          </w:rPr>
          <w:t>16</w:t>
        </w:r>
        <w:r w:rsidR="00EC26FF" w:rsidRPr="00EC26FF">
          <w:rPr>
            <w:noProof/>
            <w:webHidden/>
            <w:sz w:val="28"/>
            <w:szCs w:val="28"/>
          </w:rPr>
          <w:fldChar w:fldCharType="end"/>
        </w:r>
      </w:hyperlink>
    </w:p>
    <w:p w14:paraId="1A88E8C0" w14:textId="77777777" w:rsidR="00EC26FF" w:rsidRPr="00EC26FF" w:rsidRDefault="00EE5529">
      <w:pPr>
        <w:pStyle w:val="11"/>
        <w:rPr>
          <w:rFonts w:asciiTheme="minorHAnsi" w:eastAsiaTheme="minorEastAsia" w:hAnsiTheme="minorHAnsi" w:cstheme="minorBidi"/>
          <w:noProof/>
          <w:sz w:val="28"/>
          <w:szCs w:val="28"/>
        </w:rPr>
      </w:pPr>
      <w:hyperlink w:anchor="_Toc431072720" w:history="1">
        <w:r w:rsidR="00EC26FF" w:rsidRPr="00EC26FF">
          <w:rPr>
            <w:rStyle w:val="ab"/>
            <w:rFonts w:hint="eastAsia"/>
            <w:noProof/>
            <w:sz w:val="28"/>
            <w:szCs w:val="28"/>
          </w:rPr>
          <w:t>第</w:t>
        </w:r>
        <w:r w:rsidR="00EC26FF" w:rsidRPr="00EC26FF">
          <w:rPr>
            <w:rStyle w:val="ab"/>
            <w:noProof/>
            <w:sz w:val="28"/>
            <w:szCs w:val="28"/>
          </w:rPr>
          <w:t>4</w:t>
        </w:r>
        <w:r w:rsidR="00EC26FF" w:rsidRPr="00EC26FF">
          <w:rPr>
            <w:rStyle w:val="ab"/>
            <w:rFonts w:hint="eastAsia"/>
            <w:noProof/>
            <w:sz w:val="28"/>
            <w:szCs w:val="28"/>
          </w:rPr>
          <w:t>條　權利之落實</w:t>
        </w:r>
        <w:r w:rsidR="00EC26FF" w:rsidRPr="00EC26FF">
          <w:rPr>
            <w:noProof/>
            <w:webHidden/>
            <w:sz w:val="28"/>
            <w:szCs w:val="28"/>
          </w:rPr>
          <w:tab/>
        </w:r>
        <w:r w:rsidR="00EC26FF" w:rsidRPr="00EC26FF">
          <w:rPr>
            <w:noProof/>
            <w:webHidden/>
            <w:sz w:val="28"/>
            <w:szCs w:val="28"/>
          </w:rPr>
          <w:fldChar w:fldCharType="begin"/>
        </w:r>
        <w:r w:rsidR="00EC26FF" w:rsidRPr="00EC26FF">
          <w:rPr>
            <w:noProof/>
            <w:webHidden/>
            <w:sz w:val="28"/>
            <w:szCs w:val="28"/>
          </w:rPr>
          <w:instrText xml:space="preserve"> PAGEREF _Toc431072720 \h </w:instrText>
        </w:r>
        <w:r w:rsidR="00EC26FF" w:rsidRPr="00EC26FF">
          <w:rPr>
            <w:noProof/>
            <w:webHidden/>
            <w:sz w:val="28"/>
            <w:szCs w:val="28"/>
          </w:rPr>
        </w:r>
        <w:r w:rsidR="00EC26FF" w:rsidRPr="00EC26FF">
          <w:rPr>
            <w:noProof/>
            <w:webHidden/>
            <w:sz w:val="28"/>
            <w:szCs w:val="28"/>
          </w:rPr>
          <w:fldChar w:fldCharType="separate"/>
        </w:r>
        <w:r w:rsidR="00DA394E">
          <w:rPr>
            <w:noProof/>
            <w:webHidden/>
            <w:sz w:val="28"/>
            <w:szCs w:val="28"/>
          </w:rPr>
          <w:t>23</w:t>
        </w:r>
        <w:r w:rsidR="00EC26FF" w:rsidRPr="00EC26FF">
          <w:rPr>
            <w:noProof/>
            <w:webHidden/>
            <w:sz w:val="28"/>
            <w:szCs w:val="28"/>
          </w:rPr>
          <w:fldChar w:fldCharType="end"/>
        </w:r>
      </w:hyperlink>
    </w:p>
    <w:p w14:paraId="1155DB87" w14:textId="77777777" w:rsidR="00EC26FF" w:rsidRPr="00EC26FF" w:rsidRDefault="00EE5529">
      <w:pPr>
        <w:pStyle w:val="11"/>
        <w:rPr>
          <w:rFonts w:asciiTheme="minorHAnsi" w:eastAsiaTheme="minorEastAsia" w:hAnsiTheme="minorHAnsi" w:cstheme="minorBidi"/>
          <w:noProof/>
          <w:sz w:val="28"/>
          <w:szCs w:val="28"/>
        </w:rPr>
      </w:pPr>
      <w:hyperlink w:anchor="_Toc431072721" w:history="1">
        <w:r w:rsidR="00EC26FF" w:rsidRPr="00EC26FF">
          <w:rPr>
            <w:rStyle w:val="ab"/>
            <w:rFonts w:hint="eastAsia"/>
            <w:noProof/>
            <w:sz w:val="28"/>
            <w:szCs w:val="28"/>
          </w:rPr>
          <w:t>第</w:t>
        </w:r>
        <w:r w:rsidR="00EC26FF" w:rsidRPr="00EC26FF">
          <w:rPr>
            <w:rStyle w:val="ab"/>
            <w:noProof/>
            <w:sz w:val="28"/>
            <w:szCs w:val="28"/>
          </w:rPr>
          <w:t>5</w:t>
        </w:r>
        <w:r w:rsidR="00EC26FF" w:rsidRPr="00EC26FF">
          <w:rPr>
            <w:rStyle w:val="ab"/>
            <w:rFonts w:hint="eastAsia"/>
            <w:noProof/>
            <w:sz w:val="28"/>
            <w:szCs w:val="28"/>
          </w:rPr>
          <w:t>條　父母之引導</w:t>
        </w:r>
        <w:r w:rsidR="00EC26FF" w:rsidRPr="00EC26FF">
          <w:rPr>
            <w:noProof/>
            <w:webHidden/>
            <w:sz w:val="28"/>
            <w:szCs w:val="28"/>
          </w:rPr>
          <w:tab/>
        </w:r>
        <w:r w:rsidR="00EC26FF" w:rsidRPr="00EC26FF">
          <w:rPr>
            <w:noProof/>
            <w:webHidden/>
            <w:sz w:val="28"/>
            <w:szCs w:val="28"/>
          </w:rPr>
          <w:fldChar w:fldCharType="begin"/>
        </w:r>
        <w:r w:rsidR="00EC26FF" w:rsidRPr="00EC26FF">
          <w:rPr>
            <w:noProof/>
            <w:webHidden/>
            <w:sz w:val="28"/>
            <w:szCs w:val="28"/>
          </w:rPr>
          <w:instrText xml:space="preserve"> PAGEREF _Toc431072721 \h </w:instrText>
        </w:r>
        <w:r w:rsidR="00EC26FF" w:rsidRPr="00EC26FF">
          <w:rPr>
            <w:noProof/>
            <w:webHidden/>
            <w:sz w:val="28"/>
            <w:szCs w:val="28"/>
          </w:rPr>
        </w:r>
        <w:r w:rsidR="00EC26FF" w:rsidRPr="00EC26FF">
          <w:rPr>
            <w:noProof/>
            <w:webHidden/>
            <w:sz w:val="28"/>
            <w:szCs w:val="28"/>
          </w:rPr>
          <w:fldChar w:fldCharType="separate"/>
        </w:r>
        <w:r w:rsidR="00DA394E">
          <w:rPr>
            <w:noProof/>
            <w:webHidden/>
            <w:sz w:val="28"/>
            <w:szCs w:val="28"/>
          </w:rPr>
          <w:t>28</w:t>
        </w:r>
        <w:r w:rsidR="00EC26FF" w:rsidRPr="00EC26FF">
          <w:rPr>
            <w:noProof/>
            <w:webHidden/>
            <w:sz w:val="28"/>
            <w:szCs w:val="28"/>
          </w:rPr>
          <w:fldChar w:fldCharType="end"/>
        </w:r>
      </w:hyperlink>
    </w:p>
    <w:p w14:paraId="25D3925A" w14:textId="77777777" w:rsidR="00EC26FF" w:rsidRPr="00EC26FF" w:rsidRDefault="00EE5529">
      <w:pPr>
        <w:pStyle w:val="11"/>
        <w:rPr>
          <w:rFonts w:asciiTheme="minorHAnsi" w:eastAsiaTheme="minorEastAsia" w:hAnsiTheme="minorHAnsi" w:cstheme="minorBidi"/>
          <w:noProof/>
          <w:sz w:val="28"/>
          <w:szCs w:val="28"/>
        </w:rPr>
      </w:pPr>
      <w:hyperlink w:anchor="_Toc431072722" w:history="1">
        <w:r w:rsidR="00EC26FF" w:rsidRPr="00EC26FF">
          <w:rPr>
            <w:rStyle w:val="ab"/>
            <w:rFonts w:hint="eastAsia"/>
            <w:noProof/>
            <w:sz w:val="28"/>
            <w:szCs w:val="28"/>
          </w:rPr>
          <w:t>第</w:t>
        </w:r>
        <w:r w:rsidR="00EC26FF" w:rsidRPr="00EC26FF">
          <w:rPr>
            <w:rStyle w:val="ab"/>
            <w:noProof/>
            <w:sz w:val="28"/>
            <w:szCs w:val="28"/>
          </w:rPr>
          <w:t>6</w:t>
        </w:r>
        <w:r w:rsidR="00EC26FF" w:rsidRPr="00EC26FF">
          <w:rPr>
            <w:rStyle w:val="ab"/>
            <w:rFonts w:hint="eastAsia"/>
            <w:noProof/>
            <w:sz w:val="28"/>
            <w:szCs w:val="28"/>
          </w:rPr>
          <w:t>條　生存及發展權</w:t>
        </w:r>
        <w:r w:rsidR="00EC26FF" w:rsidRPr="00EC26FF">
          <w:rPr>
            <w:noProof/>
            <w:webHidden/>
            <w:sz w:val="28"/>
            <w:szCs w:val="28"/>
          </w:rPr>
          <w:tab/>
        </w:r>
        <w:r w:rsidR="00EC26FF" w:rsidRPr="00EC26FF">
          <w:rPr>
            <w:noProof/>
            <w:webHidden/>
            <w:sz w:val="28"/>
            <w:szCs w:val="28"/>
          </w:rPr>
          <w:fldChar w:fldCharType="begin"/>
        </w:r>
        <w:r w:rsidR="00EC26FF" w:rsidRPr="00EC26FF">
          <w:rPr>
            <w:noProof/>
            <w:webHidden/>
            <w:sz w:val="28"/>
            <w:szCs w:val="28"/>
          </w:rPr>
          <w:instrText xml:space="preserve"> PAGEREF _Toc431072722 \h </w:instrText>
        </w:r>
        <w:r w:rsidR="00EC26FF" w:rsidRPr="00EC26FF">
          <w:rPr>
            <w:noProof/>
            <w:webHidden/>
            <w:sz w:val="28"/>
            <w:szCs w:val="28"/>
          </w:rPr>
        </w:r>
        <w:r w:rsidR="00EC26FF" w:rsidRPr="00EC26FF">
          <w:rPr>
            <w:noProof/>
            <w:webHidden/>
            <w:sz w:val="28"/>
            <w:szCs w:val="28"/>
          </w:rPr>
          <w:fldChar w:fldCharType="separate"/>
        </w:r>
        <w:r w:rsidR="00DA394E">
          <w:rPr>
            <w:noProof/>
            <w:webHidden/>
            <w:sz w:val="28"/>
            <w:szCs w:val="28"/>
          </w:rPr>
          <w:t>32</w:t>
        </w:r>
        <w:r w:rsidR="00EC26FF" w:rsidRPr="00EC26FF">
          <w:rPr>
            <w:noProof/>
            <w:webHidden/>
            <w:sz w:val="28"/>
            <w:szCs w:val="28"/>
          </w:rPr>
          <w:fldChar w:fldCharType="end"/>
        </w:r>
      </w:hyperlink>
    </w:p>
    <w:p w14:paraId="40A24509" w14:textId="77777777" w:rsidR="00EC26FF" w:rsidRPr="00EC26FF" w:rsidRDefault="00EE5529">
      <w:pPr>
        <w:pStyle w:val="11"/>
        <w:rPr>
          <w:rFonts w:asciiTheme="minorHAnsi" w:eastAsiaTheme="minorEastAsia" w:hAnsiTheme="minorHAnsi" w:cstheme="minorBidi"/>
          <w:noProof/>
          <w:sz w:val="28"/>
          <w:szCs w:val="28"/>
        </w:rPr>
      </w:pPr>
      <w:hyperlink w:anchor="_Toc431072723" w:history="1">
        <w:r w:rsidR="00EC26FF" w:rsidRPr="00EC26FF">
          <w:rPr>
            <w:rStyle w:val="ab"/>
            <w:rFonts w:hint="eastAsia"/>
            <w:noProof/>
            <w:sz w:val="28"/>
            <w:szCs w:val="28"/>
          </w:rPr>
          <w:t>第</w:t>
        </w:r>
        <w:r w:rsidR="00EC26FF" w:rsidRPr="00EC26FF">
          <w:rPr>
            <w:rStyle w:val="ab"/>
            <w:noProof/>
            <w:sz w:val="28"/>
            <w:szCs w:val="28"/>
          </w:rPr>
          <w:t>7</w:t>
        </w:r>
        <w:r w:rsidR="00EC26FF" w:rsidRPr="00EC26FF">
          <w:rPr>
            <w:rStyle w:val="ab"/>
            <w:rFonts w:hint="eastAsia"/>
            <w:noProof/>
            <w:sz w:val="28"/>
            <w:szCs w:val="28"/>
          </w:rPr>
          <w:t>條　出生登記、姓名及國籍</w:t>
        </w:r>
        <w:r w:rsidR="00EC26FF" w:rsidRPr="00EC26FF">
          <w:rPr>
            <w:noProof/>
            <w:webHidden/>
            <w:sz w:val="28"/>
            <w:szCs w:val="28"/>
          </w:rPr>
          <w:tab/>
        </w:r>
        <w:r w:rsidR="00EC26FF" w:rsidRPr="00EC26FF">
          <w:rPr>
            <w:noProof/>
            <w:webHidden/>
            <w:sz w:val="28"/>
            <w:szCs w:val="28"/>
          </w:rPr>
          <w:fldChar w:fldCharType="begin"/>
        </w:r>
        <w:r w:rsidR="00EC26FF" w:rsidRPr="00EC26FF">
          <w:rPr>
            <w:noProof/>
            <w:webHidden/>
            <w:sz w:val="28"/>
            <w:szCs w:val="28"/>
          </w:rPr>
          <w:instrText xml:space="preserve"> PAGEREF _Toc431072723 \h </w:instrText>
        </w:r>
        <w:r w:rsidR="00EC26FF" w:rsidRPr="00EC26FF">
          <w:rPr>
            <w:noProof/>
            <w:webHidden/>
            <w:sz w:val="28"/>
            <w:szCs w:val="28"/>
          </w:rPr>
        </w:r>
        <w:r w:rsidR="00EC26FF" w:rsidRPr="00EC26FF">
          <w:rPr>
            <w:noProof/>
            <w:webHidden/>
            <w:sz w:val="28"/>
            <w:szCs w:val="28"/>
          </w:rPr>
          <w:fldChar w:fldCharType="separate"/>
        </w:r>
        <w:r w:rsidR="00DA394E">
          <w:rPr>
            <w:noProof/>
            <w:webHidden/>
            <w:sz w:val="28"/>
            <w:szCs w:val="28"/>
          </w:rPr>
          <w:t>37</w:t>
        </w:r>
        <w:r w:rsidR="00EC26FF" w:rsidRPr="00EC26FF">
          <w:rPr>
            <w:noProof/>
            <w:webHidden/>
            <w:sz w:val="28"/>
            <w:szCs w:val="28"/>
          </w:rPr>
          <w:fldChar w:fldCharType="end"/>
        </w:r>
      </w:hyperlink>
    </w:p>
    <w:p w14:paraId="2C3F48E8" w14:textId="77777777" w:rsidR="00EC26FF" w:rsidRPr="00EC26FF" w:rsidRDefault="00EE5529">
      <w:pPr>
        <w:pStyle w:val="11"/>
        <w:rPr>
          <w:rFonts w:asciiTheme="minorHAnsi" w:eastAsiaTheme="minorEastAsia" w:hAnsiTheme="minorHAnsi" w:cstheme="minorBidi"/>
          <w:noProof/>
          <w:sz w:val="28"/>
          <w:szCs w:val="28"/>
        </w:rPr>
      </w:pPr>
      <w:hyperlink w:anchor="_Toc431072724" w:history="1">
        <w:r w:rsidR="00EC26FF" w:rsidRPr="00EC26FF">
          <w:rPr>
            <w:rStyle w:val="ab"/>
            <w:rFonts w:hint="eastAsia"/>
            <w:noProof/>
            <w:sz w:val="28"/>
            <w:szCs w:val="28"/>
          </w:rPr>
          <w:t>第</w:t>
        </w:r>
        <w:r w:rsidR="00EC26FF" w:rsidRPr="00EC26FF">
          <w:rPr>
            <w:rStyle w:val="ab"/>
            <w:noProof/>
            <w:sz w:val="28"/>
            <w:szCs w:val="28"/>
          </w:rPr>
          <w:t>8</w:t>
        </w:r>
        <w:r w:rsidR="00EC26FF" w:rsidRPr="00EC26FF">
          <w:rPr>
            <w:rStyle w:val="ab"/>
            <w:rFonts w:hint="eastAsia"/>
            <w:noProof/>
            <w:sz w:val="28"/>
            <w:szCs w:val="28"/>
          </w:rPr>
          <w:t>條　身分權</w:t>
        </w:r>
        <w:r w:rsidR="00EC26FF" w:rsidRPr="00EC26FF">
          <w:rPr>
            <w:noProof/>
            <w:webHidden/>
            <w:sz w:val="28"/>
            <w:szCs w:val="28"/>
          </w:rPr>
          <w:tab/>
        </w:r>
        <w:r w:rsidR="00EC26FF" w:rsidRPr="00EC26FF">
          <w:rPr>
            <w:noProof/>
            <w:webHidden/>
            <w:sz w:val="28"/>
            <w:szCs w:val="28"/>
          </w:rPr>
          <w:fldChar w:fldCharType="begin"/>
        </w:r>
        <w:r w:rsidR="00EC26FF" w:rsidRPr="00EC26FF">
          <w:rPr>
            <w:noProof/>
            <w:webHidden/>
            <w:sz w:val="28"/>
            <w:szCs w:val="28"/>
          </w:rPr>
          <w:instrText xml:space="preserve"> PAGEREF _Toc431072724 \h </w:instrText>
        </w:r>
        <w:r w:rsidR="00EC26FF" w:rsidRPr="00EC26FF">
          <w:rPr>
            <w:noProof/>
            <w:webHidden/>
            <w:sz w:val="28"/>
            <w:szCs w:val="28"/>
          </w:rPr>
        </w:r>
        <w:r w:rsidR="00EC26FF" w:rsidRPr="00EC26FF">
          <w:rPr>
            <w:noProof/>
            <w:webHidden/>
            <w:sz w:val="28"/>
            <w:szCs w:val="28"/>
          </w:rPr>
          <w:fldChar w:fldCharType="separate"/>
        </w:r>
        <w:r w:rsidR="00DA394E">
          <w:rPr>
            <w:noProof/>
            <w:webHidden/>
            <w:sz w:val="28"/>
            <w:szCs w:val="28"/>
          </w:rPr>
          <w:t>42</w:t>
        </w:r>
        <w:r w:rsidR="00EC26FF" w:rsidRPr="00EC26FF">
          <w:rPr>
            <w:noProof/>
            <w:webHidden/>
            <w:sz w:val="28"/>
            <w:szCs w:val="28"/>
          </w:rPr>
          <w:fldChar w:fldCharType="end"/>
        </w:r>
      </w:hyperlink>
    </w:p>
    <w:p w14:paraId="12DCAF92" w14:textId="77777777" w:rsidR="00EC26FF" w:rsidRPr="00EC26FF" w:rsidRDefault="00EE5529">
      <w:pPr>
        <w:pStyle w:val="11"/>
        <w:rPr>
          <w:rFonts w:asciiTheme="minorHAnsi" w:eastAsiaTheme="minorEastAsia" w:hAnsiTheme="minorHAnsi" w:cstheme="minorBidi"/>
          <w:noProof/>
          <w:sz w:val="28"/>
          <w:szCs w:val="28"/>
        </w:rPr>
      </w:pPr>
      <w:hyperlink w:anchor="_Toc431072725" w:history="1">
        <w:r w:rsidR="00EC26FF" w:rsidRPr="00EC26FF">
          <w:rPr>
            <w:rStyle w:val="ab"/>
            <w:rFonts w:hint="eastAsia"/>
            <w:noProof/>
            <w:sz w:val="28"/>
            <w:szCs w:val="28"/>
          </w:rPr>
          <w:t>第</w:t>
        </w:r>
        <w:r w:rsidR="00EC26FF" w:rsidRPr="00EC26FF">
          <w:rPr>
            <w:rStyle w:val="ab"/>
            <w:noProof/>
            <w:sz w:val="28"/>
            <w:szCs w:val="28"/>
          </w:rPr>
          <w:t>9</w:t>
        </w:r>
        <w:r w:rsidR="00EC26FF" w:rsidRPr="00EC26FF">
          <w:rPr>
            <w:rStyle w:val="ab"/>
            <w:rFonts w:hint="eastAsia"/>
            <w:noProof/>
            <w:sz w:val="28"/>
            <w:szCs w:val="28"/>
          </w:rPr>
          <w:t>條　不與父母分離之權利</w:t>
        </w:r>
        <w:r w:rsidR="00EC26FF" w:rsidRPr="00EC26FF">
          <w:rPr>
            <w:noProof/>
            <w:webHidden/>
            <w:sz w:val="28"/>
            <w:szCs w:val="28"/>
          </w:rPr>
          <w:tab/>
        </w:r>
        <w:r w:rsidR="00EC26FF" w:rsidRPr="00EC26FF">
          <w:rPr>
            <w:noProof/>
            <w:webHidden/>
            <w:sz w:val="28"/>
            <w:szCs w:val="28"/>
          </w:rPr>
          <w:fldChar w:fldCharType="begin"/>
        </w:r>
        <w:r w:rsidR="00EC26FF" w:rsidRPr="00EC26FF">
          <w:rPr>
            <w:noProof/>
            <w:webHidden/>
            <w:sz w:val="28"/>
            <w:szCs w:val="28"/>
          </w:rPr>
          <w:instrText xml:space="preserve"> PAGEREF _Toc431072725 \h </w:instrText>
        </w:r>
        <w:r w:rsidR="00EC26FF" w:rsidRPr="00EC26FF">
          <w:rPr>
            <w:noProof/>
            <w:webHidden/>
            <w:sz w:val="28"/>
            <w:szCs w:val="28"/>
          </w:rPr>
        </w:r>
        <w:r w:rsidR="00EC26FF" w:rsidRPr="00EC26FF">
          <w:rPr>
            <w:noProof/>
            <w:webHidden/>
            <w:sz w:val="28"/>
            <w:szCs w:val="28"/>
          </w:rPr>
          <w:fldChar w:fldCharType="separate"/>
        </w:r>
        <w:r w:rsidR="00DA394E">
          <w:rPr>
            <w:noProof/>
            <w:webHidden/>
            <w:sz w:val="28"/>
            <w:szCs w:val="28"/>
          </w:rPr>
          <w:t>47</w:t>
        </w:r>
        <w:r w:rsidR="00EC26FF" w:rsidRPr="00EC26FF">
          <w:rPr>
            <w:noProof/>
            <w:webHidden/>
            <w:sz w:val="28"/>
            <w:szCs w:val="28"/>
          </w:rPr>
          <w:fldChar w:fldCharType="end"/>
        </w:r>
      </w:hyperlink>
    </w:p>
    <w:p w14:paraId="37482BDD" w14:textId="77777777" w:rsidR="00EC26FF" w:rsidRPr="00EC26FF" w:rsidRDefault="00EE5529">
      <w:pPr>
        <w:pStyle w:val="11"/>
        <w:rPr>
          <w:rFonts w:asciiTheme="minorHAnsi" w:eastAsiaTheme="minorEastAsia" w:hAnsiTheme="minorHAnsi" w:cstheme="minorBidi"/>
          <w:noProof/>
          <w:sz w:val="28"/>
          <w:szCs w:val="28"/>
        </w:rPr>
      </w:pPr>
      <w:hyperlink w:anchor="_Toc431072726" w:history="1">
        <w:r w:rsidR="00EC26FF" w:rsidRPr="00EC26FF">
          <w:rPr>
            <w:rStyle w:val="ab"/>
            <w:rFonts w:hint="eastAsia"/>
            <w:noProof/>
            <w:sz w:val="28"/>
            <w:szCs w:val="28"/>
          </w:rPr>
          <w:t>第</w:t>
        </w:r>
        <w:r w:rsidR="00EC26FF" w:rsidRPr="00EC26FF">
          <w:rPr>
            <w:rStyle w:val="ab"/>
            <w:noProof/>
            <w:sz w:val="28"/>
            <w:szCs w:val="28"/>
          </w:rPr>
          <w:t>10</w:t>
        </w:r>
        <w:r w:rsidR="00EC26FF" w:rsidRPr="00EC26FF">
          <w:rPr>
            <w:rStyle w:val="ab"/>
            <w:rFonts w:hint="eastAsia"/>
            <w:noProof/>
            <w:sz w:val="28"/>
            <w:szCs w:val="28"/>
          </w:rPr>
          <w:t>條　因家庭團聚請求入出境</w:t>
        </w:r>
        <w:r w:rsidR="00EC26FF" w:rsidRPr="00EC26FF">
          <w:rPr>
            <w:noProof/>
            <w:webHidden/>
            <w:sz w:val="28"/>
            <w:szCs w:val="28"/>
          </w:rPr>
          <w:tab/>
        </w:r>
        <w:r w:rsidR="00EC26FF" w:rsidRPr="00EC26FF">
          <w:rPr>
            <w:noProof/>
            <w:webHidden/>
            <w:sz w:val="28"/>
            <w:szCs w:val="28"/>
          </w:rPr>
          <w:fldChar w:fldCharType="begin"/>
        </w:r>
        <w:r w:rsidR="00EC26FF" w:rsidRPr="00EC26FF">
          <w:rPr>
            <w:noProof/>
            <w:webHidden/>
            <w:sz w:val="28"/>
            <w:szCs w:val="28"/>
          </w:rPr>
          <w:instrText xml:space="preserve"> PAGEREF _Toc431072726 \h </w:instrText>
        </w:r>
        <w:r w:rsidR="00EC26FF" w:rsidRPr="00EC26FF">
          <w:rPr>
            <w:noProof/>
            <w:webHidden/>
            <w:sz w:val="28"/>
            <w:szCs w:val="28"/>
          </w:rPr>
        </w:r>
        <w:r w:rsidR="00EC26FF" w:rsidRPr="00EC26FF">
          <w:rPr>
            <w:noProof/>
            <w:webHidden/>
            <w:sz w:val="28"/>
            <w:szCs w:val="28"/>
          </w:rPr>
          <w:fldChar w:fldCharType="separate"/>
        </w:r>
        <w:r w:rsidR="00DA394E">
          <w:rPr>
            <w:noProof/>
            <w:webHidden/>
            <w:sz w:val="28"/>
            <w:szCs w:val="28"/>
          </w:rPr>
          <w:t>52</w:t>
        </w:r>
        <w:r w:rsidR="00EC26FF" w:rsidRPr="00EC26FF">
          <w:rPr>
            <w:noProof/>
            <w:webHidden/>
            <w:sz w:val="28"/>
            <w:szCs w:val="28"/>
          </w:rPr>
          <w:fldChar w:fldCharType="end"/>
        </w:r>
      </w:hyperlink>
    </w:p>
    <w:p w14:paraId="66C77D1F" w14:textId="77777777" w:rsidR="00EC26FF" w:rsidRPr="00EC26FF" w:rsidRDefault="00EE5529">
      <w:pPr>
        <w:pStyle w:val="11"/>
        <w:rPr>
          <w:rFonts w:asciiTheme="minorHAnsi" w:eastAsiaTheme="minorEastAsia" w:hAnsiTheme="minorHAnsi" w:cstheme="minorBidi"/>
          <w:noProof/>
          <w:sz w:val="28"/>
          <w:szCs w:val="28"/>
        </w:rPr>
      </w:pPr>
      <w:hyperlink w:anchor="_Toc431072727" w:history="1">
        <w:r w:rsidR="00EC26FF" w:rsidRPr="00EC26FF">
          <w:rPr>
            <w:rStyle w:val="ab"/>
            <w:rFonts w:hint="eastAsia"/>
            <w:noProof/>
            <w:sz w:val="28"/>
            <w:szCs w:val="28"/>
          </w:rPr>
          <w:t>第</w:t>
        </w:r>
        <w:r w:rsidR="00EC26FF" w:rsidRPr="00EC26FF">
          <w:rPr>
            <w:rStyle w:val="ab"/>
            <w:noProof/>
            <w:sz w:val="28"/>
            <w:szCs w:val="28"/>
          </w:rPr>
          <w:t>11</w:t>
        </w:r>
        <w:r w:rsidR="00EC26FF" w:rsidRPr="00EC26FF">
          <w:rPr>
            <w:rStyle w:val="ab"/>
            <w:rFonts w:hint="eastAsia"/>
            <w:noProof/>
            <w:sz w:val="28"/>
            <w:szCs w:val="28"/>
          </w:rPr>
          <w:t>條　非法移送</w:t>
        </w:r>
        <w:r w:rsidR="00EC26FF" w:rsidRPr="00EC26FF">
          <w:rPr>
            <w:noProof/>
            <w:webHidden/>
            <w:sz w:val="28"/>
            <w:szCs w:val="28"/>
          </w:rPr>
          <w:tab/>
        </w:r>
        <w:r w:rsidR="00EC26FF" w:rsidRPr="00EC26FF">
          <w:rPr>
            <w:noProof/>
            <w:webHidden/>
            <w:sz w:val="28"/>
            <w:szCs w:val="28"/>
          </w:rPr>
          <w:fldChar w:fldCharType="begin"/>
        </w:r>
        <w:r w:rsidR="00EC26FF" w:rsidRPr="00EC26FF">
          <w:rPr>
            <w:noProof/>
            <w:webHidden/>
            <w:sz w:val="28"/>
            <w:szCs w:val="28"/>
          </w:rPr>
          <w:instrText xml:space="preserve"> PAGEREF _Toc431072727 \h </w:instrText>
        </w:r>
        <w:r w:rsidR="00EC26FF" w:rsidRPr="00EC26FF">
          <w:rPr>
            <w:noProof/>
            <w:webHidden/>
            <w:sz w:val="28"/>
            <w:szCs w:val="28"/>
          </w:rPr>
        </w:r>
        <w:r w:rsidR="00EC26FF" w:rsidRPr="00EC26FF">
          <w:rPr>
            <w:noProof/>
            <w:webHidden/>
            <w:sz w:val="28"/>
            <w:szCs w:val="28"/>
          </w:rPr>
          <w:fldChar w:fldCharType="separate"/>
        </w:r>
        <w:r w:rsidR="00DA394E">
          <w:rPr>
            <w:noProof/>
            <w:webHidden/>
            <w:sz w:val="28"/>
            <w:szCs w:val="28"/>
          </w:rPr>
          <w:t>57</w:t>
        </w:r>
        <w:r w:rsidR="00EC26FF" w:rsidRPr="00EC26FF">
          <w:rPr>
            <w:noProof/>
            <w:webHidden/>
            <w:sz w:val="28"/>
            <w:szCs w:val="28"/>
          </w:rPr>
          <w:fldChar w:fldCharType="end"/>
        </w:r>
      </w:hyperlink>
    </w:p>
    <w:p w14:paraId="0E18052D" w14:textId="77777777" w:rsidR="00EC26FF" w:rsidRPr="00EC26FF" w:rsidRDefault="00EE5529">
      <w:pPr>
        <w:pStyle w:val="11"/>
        <w:rPr>
          <w:rFonts w:asciiTheme="minorHAnsi" w:eastAsiaTheme="minorEastAsia" w:hAnsiTheme="minorHAnsi" w:cstheme="minorBidi"/>
          <w:noProof/>
          <w:sz w:val="28"/>
          <w:szCs w:val="28"/>
        </w:rPr>
      </w:pPr>
      <w:hyperlink w:anchor="_Toc431072728" w:history="1">
        <w:r w:rsidR="00EC26FF" w:rsidRPr="00EC26FF">
          <w:rPr>
            <w:rStyle w:val="ab"/>
            <w:rFonts w:hint="eastAsia"/>
            <w:noProof/>
            <w:sz w:val="28"/>
            <w:szCs w:val="28"/>
          </w:rPr>
          <w:t>第</w:t>
        </w:r>
        <w:r w:rsidR="00EC26FF" w:rsidRPr="00EC26FF">
          <w:rPr>
            <w:rStyle w:val="ab"/>
            <w:noProof/>
            <w:sz w:val="28"/>
            <w:szCs w:val="28"/>
          </w:rPr>
          <w:t>12</w:t>
        </w:r>
        <w:r w:rsidR="00EC26FF" w:rsidRPr="00EC26FF">
          <w:rPr>
            <w:rStyle w:val="ab"/>
            <w:rFonts w:hint="eastAsia"/>
            <w:noProof/>
            <w:sz w:val="28"/>
            <w:szCs w:val="28"/>
          </w:rPr>
          <w:t>條　尊重兒童意見</w:t>
        </w:r>
        <w:r w:rsidR="00EC26FF" w:rsidRPr="00EC26FF">
          <w:rPr>
            <w:noProof/>
            <w:webHidden/>
            <w:sz w:val="28"/>
            <w:szCs w:val="28"/>
          </w:rPr>
          <w:tab/>
        </w:r>
        <w:r w:rsidR="00EC26FF" w:rsidRPr="00EC26FF">
          <w:rPr>
            <w:noProof/>
            <w:webHidden/>
            <w:sz w:val="28"/>
            <w:szCs w:val="28"/>
          </w:rPr>
          <w:fldChar w:fldCharType="begin"/>
        </w:r>
        <w:r w:rsidR="00EC26FF" w:rsidRPr="00EC26FF">
          <w:rPr>
            <w:noProof/>
            <w:webHidden/>
            <w:sz w:val="28"/>
            <w:szCs w:val="28"/>
          </w:rPr>
          <w:instrText xml:space="preserve"> PAGEREF _Toc431072728 \h </w:instrText>
        </w:r>
        <w:r w:rsidR="00EC26FF" w:rsidRPr="00EC26FF">
          <w:rPr>
            <w:noProof/>
            <w:webHidden/>
            <w:sz w:val="28"/>
            <w:szCs w:val="28"/>
          </w:rPr>
        </w:r>
        <w:r w:rsidR="00EC26FF" w:rsidRPr="00EC26FF">
          <w:rPr>
            <w:noProof/>
            <w:webHidden/>
            <w:sz w:val="28"/>
            <w:szCs w:val="28"/>
          </w:rPr>
          <w:fldChar w:fldCharType="separate"/>
        </w:r>
        <w:r w:rsidR="00DA394E">
          <w:rPr>
            <w:noProof/>
            <w:webHidden/>
            <w:sz w:val="28"/>
            <w:szCs w:val="28"/>
          </w:rPr>
          <w:t>60</w:t>
        </w:r>
        <w:r w:rsidR="00EC26FF" w:rsidRPr="00EC26FF">
          <w:rPr>
            <w:noProof/>
            <w:webHidden/>
            <w:sz w:val="28"/>
            <w:szCs w:val="28"/>
          </w:rPr>
          <w:fldChar w:fldCharType="end"/>
        </w:r>
      </w:hyperlink>
    </w:p>
    <w:p w14:paraId="4A8B4CF0" w14:textId="77777777" w:rsidR="00EC26FF" w:rsidRPr="00EC26FF" w:rsidRDefault="00EE5529">
      <w:pPr>
        <w:pStyle w:val="11"/>
        <w:rPr>
          <w:rFonts w:asciiTheme="minorHAnsi" w:eastAsiaTheme="minorEastAsia" w:hAnsiTheme="minorHAnsi" w:cstheme="minorBidi"/>
          <w:noProof/>
          <w:sz w:val="28"/>
          <w:szCs w:val="28"/>
        </w:rPr>
      </w:pPr>
      <w:hyperlink w:anchor="_Toc431072729" w:history="1">
        <w:r w:rsidR="00EC26FF" w:rsidRPr="00EC26FF">
          <w:rPr>
            <w:rStyle w:val="ab"/>
            <w:rFonts w:hint="eastAsia"/>
            <w:noProof/>
            <w:sz w:val="28"/>
            <w:szCs w:val="28"/>
          </w:rPr>
          <w:t>第</w:t>
        </w:r>
        <w:r w:rsidR="00EC26FF" w:rsidRPr="00EC26FF">
          <w:rPr>
            <w:rStyle w:val="ab"/>
            <w:noProof/>
            <w:sz w:val="28"/>
            <w:szCs w:val="28"/>
          </w:rPr>
          <w:t>13</w:t>
        </w:r>
        <w:r w:rsidR="00EC26FF" w:rsidRPr="00EC26FF">
          <w:rPr>
            <w:rStyle w:val="ab"/>
            <w:rFonts w:hint="eastAsia"/>
            <w:noProof/>
            <w:sz w:val="28"/>
            <w:szCs w:val="28"/>
          </w:rPr>
          <w:t>條　表意權</w:t>
        </w:r>
        <w:r w:rsidR="00EC26FF" w:rsidRPr="00EC26FF">
          <w:rPr>
            <w:noProof/>
            <w:webHidden/>
            <w:sz w:val="28"/>
            <w:szCs w:val="28"/>
          </w:rPr>
          <w:tab/>
        </w:r>
        <w:r w:rsidR="00EC26FF" w:rsidRPr="00EC26FF">
          <w:rPr>
            <w:noProof/>
            <w:webHidden/>
            <w:sz w:val="28"/>
            <w:szCs w:val="28"/>
          </w:rPr>
          <w:fldChar w:fldCharType="begin"/>
        </w:r>
        <w:r w:rsidR="00EC26FF" w:rsidRPr="00EC26FF">
          <w:rPr>
            <w:noProof/>
            <w:webHidden/>
            <w:sz w:val="28"/>
            <w:szCs w:val="28"/>
          </w:rPr>
          <w:instrText xml:space="preserve"> PAGEREF _Toc431072729 \h </w:instrText>
        </w:r>
        <w:r w:rsidR="00EC26FF" w:rsidRPr="00EC26FF">
          <w:rPr>
            <w:noProof/>
            <w:webHidden/>
            <w:sz w:val="28"/>
            <w:szCs w:val="28"/>
          </w:rPr>
        </w:r>
        <w:r w:rsidR="00EC26FF" w:rsidRPr="00EC26FF">
          <w:rPr>
            <w:noProof/>
            <w:webHidden/>
            <w:sz w:val="28"/>
            <w:szCs w:val="28"/>
          </w:rPr>
          <w:fldChar w:fldCharType="separate"/>
        </w:r>
        <w:r w:rsidR="00DA394E">
          <w:rPr>
            <w:noProof/>
            <w:webHidden/>
            <w:sz w:val="28"/>
            <w:szCs w:val="28"/>
          </w:rPr>
          <w:t>65</w:t>
        </w:r>
        <w:r w:rsidR="00EC26FF" w:rsidRPr="00EC26FF">
          <w:rPr>
            <w:noProof/>
            <w:webHidden/>
            <w:sz w:val="28"/>
            <w:szCs w:val="28"/>
          </w:rPr>
          <w:fldChar w:fldCharType="end"/>
        </w:r>
      </w:hyperlink>
    </w:p>
    <w:p w14:paraId="5D1378DD" w14:textId="77777777" w:rsidR="00EC26FF" w:rsidRPr="00EC26FF" w:rsidRDefault="00EE5529">
      <w:pPr>
        <w:pStyle w:val="11"/>
        <w:rPr>
          <w:rFonts w:asciiTheme="minorHAnsi" w:eastAsiaTheme="minorEastAsia" w:hAnsiTheme="minorHAnsi" w:cstheme="minorBidi"/>
          <w:noProof/>
          <w:sz w:val="28"/>
          <w:szCs w:val="28"/>
        </w:rPr>
      </w:pPr>
      <w:hyperlink w:anchor="_Toc431072730" w:history="1">
        <w:r w:rsidR="00EC26FF" w:rsidRPr="00EC26FF">
          <w:rPr>
            <w:rStyle w:val="ab"/>
            <w:rFonts w:hint="eastAsia"/>
            <w:noProof/>
            <w:sz w:val="28"/>
            <w:szCs w:val="28"/>
          </w:rPr>
          <w:t>第</w:t>
        </w:r>
        <w:r w:rsidR="00EC26FF" w:rsidRPr="00EC26FF">
          <w:rPr>
            <w:rStyle w:val="ab"/>
            <w:noProof/>
            <w:sz w:val="28"/>
            <w:szCs w:val="28"/>
          </w:rPr>
          <w:t>14</w:t>
        </w:r>
        <w:r w:rsidR="00EC26FF" w:rsidRPr="00EC26FF">
          <w:rPr>
            <w:rStyle w:val="ab"/>
            <w:rFonts w:hint="eastAsia"/>
            <w:noProof/>
            <w:sz w:val="28"/>
            <w:szCs w:val="28"/>
          </w:rPr>
          <w:t>條　思想、自我意識與宗教自由</w:t>
        </w:r>
        <w:r w:rsidR="00EC26FF" w:rsidRPr="00EC26FF">
          <w:rPr>
            <w:noProof/>
            <w:webHidden/>
            <w:sz w:val="28"/>
            <w:szCs w:val="28"/>
          </w:rPr>
          <w:tab/>
        </w:r>
        <w:r w:rsidR="00EC26FF" w:rsidRPr="00EC26FF">
          <w:rPr>
            <w:noProof/>
            <w:webHidden/>
            <w:sz w:val="28"/>
            <w:szCs w:val="28"/>
          </w:rPr>
          <w:fldChar w:fldCharType="begin"/>
        </w:r>
        <w:r w:rsidR="00EC26FF" w:rsidRPr="00EC26FF">
          <w:rPr>
            <w:noProof/>
            <w:webHidden/>
            <w:sz w:val="28"/>
            <w:szCs w:val="28"/>
          </w:rPr>
          <w:instrText xml:space="preserve"> PAGEREF _Toc431072730 \h </w:instrText>
        </w:r>
        <w:r w:rsidR="00EC26FF" w:rsidRPr="00EC26FF">
          <w:rPr>
            <w:noProof/>
            <w:webHidden/>
            <w:sz w:val="28"/>
            <w:szCs w:val="28"/>
          </w:rPr>
        </w:r>
        <w:r w:rsidR="00EC26FF" w:rsidRPr="00EC26FF">
          <w:rPr>
            <w:noProof/>
            <w:webHidden/>
            <w:sz w:val="28"/>
            <w:szCs w:val="28"/>
          </w:rPr>
          <w:fldChar w:fldCharType="separate"/>
        </w:r>
        <w:r w:rsidR="00DA394E">
          <w:rPr>
            <w:noProof/>
            <w:webHidden/>
            <w:sz w:val="28"/>
            <w:szCs w:val="28"/>
          </w:rPr>
          <w:t>71</w:t>
        </w:r>
        <w:r w:rsidR="00EC26FF" w:rsidRPr="00EC26FF">
          <w:rPr>
            <w:noProof/>
            <w:webHidden/>
            <w:sz w:val="28"/>
            <w:szCs w:val="28"/>
          </w:rPr>
          <w:fldChar w:fldCharType="end"/>
        </w:r>
      </w:hyperlink>
    </w:p>
    <w:p w14:paraId="4F10A2C8" w14:textId="77777777" w:rsidR="00EC26FF" w:rsidRPr="00EC26FF" w:rsidRDefault="00EE5529">
      <w:pPr>
        <w:pStyle w:val="11"/>
        <w:rPr>
          <w:rFonts w:asciiTheme="minorHAnsi" w:eastAsiaTheme="minorEastAsia" w:hAnsiTheme="minorHAnsi" w:cstheme="minorBidi"/>
          <w:noProof/>
          <w:sz w:val="28"/>
          <w:szCs w:val="28"/>
        </w:rPr>
      </w:pPr>
      <w:hyperlink w:anchor="_Toc431072731" w:history="1">
        <w:r w:rsidR="00EC26FF" w:rsidRPr="00EC26FF">
          <w:rPr>
            <w:rStyle w:val="ab"/>
            <w:rFonts w:hint="eastAsia"/>
            <w:noProof/>
            <w:sz w:val="28"/>
            <w:szCs w:val="28"/>
          </w:rPr>
          <w:t>第</w:t>
        </w:r>
        <w:r w:rsidR="00EC26FF" w:rsidRPr="00EC26FF">
          <w:rPr>
            <w:rStyle w:val="ab"/>
            <w:noProof/>
            <w:sz w:val="28"/>
            <w:szCs w:val="28"/>
          </w:rPr>
          <w:t>15</w:t>
        </w:r>
        <w:r w:rsidR="00EC26FF" w:rsidRPr="00EC26FF">
          <w:rPr>
            <w:rStyle w:val="ab"/>
            <w:rFonts w:hint="eastAsia"/>
            <w:noProof/>
            <w:sz w:val="28"/>
            <w:szCs w:val="28"/>
          </w:rPr>
          <w:t>條　結社及和平集會自由</w:t>
        </w:r>
        <w:r w:rsidR="00EC26FF" w:rsidRPr="00EC26FF">
          <w:rPr>
            <w:noProof/>
            <w:webHidden/>
            <w:sz w:val="28"/>
            <w:szCs w:val="28"/>
          </w:rPr>
          <w:tab/>
        </w:r>
        <w:r w:rsidR="00EC26FF" w:rsidRPr="00EC26FF">
          <w:rPr>
            <w:noProof/>
            <w:webHidden/>
            <w:sz w:val="28"/>
            <w:szCs w:val="28"/>
          </w:rPr>
          <w:fldChar w:fldCharType="begin"/>
        </w:r>
        <w:r w:rsidR="00EC26FF" w:rsidRPr="00EC26FF">
          <w:rPr>
            <w:noProof/>
            <w:webHidden/>
            <w:sz w:val="28"/>
            <w:szCs w:val="28"/>
          </w:rPr>
          <w:instrText xml:space="preserve"> PAGEREF _Toc431072731 \h </w:instrText>
        </w:r>
        <w:r w:rsidR="00EC26FF" w:rsidRPr="00EC26FF">
          <w:rPr>
            <w:noProof/>
            <w:webHidden/>
            <w:sz w:val="28"/>
            <w:szCs w:val="28"/>
          </w:rPr>
        </w:r>
        <w:r w:rsidR="00EC26FF" w:rsidRPr="00EC26FF">
          <w:rPr>
            <w:noProof/>
            <w:webHidden/>
            <w:sz w:val="28"/>
            <w:szCs w:val="28"/>
          </w:rPr>
          <w:fldChar w:fldCharType="separate"/>
        </w:r>
        <w:r w:rsidR="00DA394E">
          <w:rPr>
            <w:noProof/>
            <w:webHidden/>
            <w:sz w:val="28"/>
            <w:szCs w:val="28"/>
          </w:rPr>
          <w:t>77</w:t>
        </w:r>
        <w:r w:rsidR="00EC26FF" w:rsidRPr="00EC26FF">
          <w:rPr>
            <w:noProof/>
            <w:webHidden/>
            <w:sz w:val="28"/>
            <w:szCs w:val="28"/>
          </w:rPr>
          <w:fldChar w:fldCharType="end"/>
        </w:r>
      </w:hyperlink>
    </w:p>
    <w:p w14:paraId="4C41AD18" w14:textId="77777777" w:rsidR="00EC26FF" w:rsidRPr="00EC26FF" w:rsidRDefault="00EE5529">
      <w:pPr>
        <w:pStyle w:val="11"/>
        <w:rPr>
          <w:rFonts w:asciiTheme="minorHAnsi" w:eastAsiaTheme="minorEastAsia" w:hAnsiTheme="minorHAnsi" w:cstheme="minorBidi"/>
          <w:noProof/>
          <w:sz w:val="28"/>
          <w:szCs w:val="28"/>
        </w:rPr>
      </w:pPr>
      <w:hyperlink w:anchor="_Toc431072732" w:history="1">
        <w:r w:rsidR="00EC26FF" w:rsidRPr="00EC26FF">
          <w:rPr>
            <w:rStyle w:val="ab"/>
            <w:rFonts w:hint="eastAsia"/>
            <w:noProof/>
            <w:sz w:val="28"/>
            <w:szCs w:val="28"/>
          </w:rPr>
          <w:t>第</w:t>
        </w:r>
        <w:r w:rsidR="00EC26FF" w:rsidRPr="00EC26FF">
          <w:rPr>
            <w:rStyle w:val="ab"/>
            <w:noProof/>
            <w:sz w:val="28"/>
            <w:szCs w:val="28"/>
          </w:rPr>
          <w:t>16</w:t>
        </w:r>
        <w:r w:rsidR="00EC26FF" w:rsidRPr="00EC26FF">
          <w:rPr>
            <w:rStyle w:val="ab"/>
            <w:rFonts w:hint="eastAsia"/>
            <w:noProof/>
            <w:sz w:val="28"/>
            <w:szCs w:val="28"/>
          </w:rPr>
          <w:t>條　隱私權</w:t>
        </w:r>
        <w:r w:rsidR="00EC26FF" w:rsidRPr="00EC26FF">
          <w:rPr>
            <w:noProof/>
            <w:webHidden/>
            <w:sz w:val="28"/>
            <w:szCs w:val="28"/>
          </w:rPr>
          <w:tab/>
        </w:r>
        <w:r w:rsidR="00EC26FF" w:rsidRPr="00EC26FF">
          <w:rPr>
            <w:noProof/>
            <w:webHidden/>
            <w:sz w:val="28"/>
            <w:szCs w:val="28"/>
          </w:rPr>
          <w:fldChar w:fldCharType="begin"/>
        </w:r>
        <w:r w:rsidR="00EC26FF" w:rsidRPr="00EC26FF">
          <w:rPr>
            <w:noProof/>
            <w:webHidden/>
            <w:sz w:val="28"/>
            <w:szCs w:val="28"/>
          </w:rPr>
          <w:instrText xml:space="preserve"> PAGEREF _Toc431072732 \h </w:instrText>
        </w:r>
        <w:r w:rsidR="00EC26FF" w:rsidRPr="00EC26FF">
          <w:rPr>
            <w:noProof/>
            <w:webHidden/>
            <w:sz w:val="28"/>
            <w:szCs w:val="28"/>
          </w:rPr>
        </w:r>
        <w:r w:rsidR="00EC26FF" w:rsidRPr="00EC26FF">
          <w:rPr>
            <w:noProof/>
            <w:webHidden/>
            <w:sz w:val="28"/>
            <w:szCs w:val="28"/>
          </w:rPr>
          <w:fldChar w:fldCharType="separate"/>
        </w:r>
        <w:r w:rsidR="00DA394E">
          <w:rPr>
            <w:noProof/>
            <w:webHidden/>
            <w:sz w:val="28"/>
            <w:szCs w:val="28"/>
          </w:rPr>
          <w:t>80</w:t>
        </w:r>
        <w:r w:rsidR="00EC26FF" w:rsidRPr="00EC26FF">
          <w:rPr>
            <w:noProof/>
            <w:webHidden/>
            <w:sz w:val="28"/>
            <w:szCs w:val="28"/>
          </w:rPr>
          <w:fldChar w:fldCharType="end"/>
        </w:r>
      </w:hyperlink>
    </w:p>
    <w:p w14:paraId="0E9A54C7" w14:textId="77777777" w:rsidR="00EC26FF" w:rsidRPr="00EC26FF" w:rsidRDefault="00EE5529">
      <w:pPr>
        <w:pStyle w:val="11"/>
        <w:rPr>
          <w:rFonts w:asciiTheme="minorHAnsi" w:eastAsiaTheme="minorEastAsia" w:hAnsiTheme="minorHAnsi" w:cstheme="minorBidi"/>
          <w:noProof/>
          <w:sz w:val="28"/>
          <w:szCs w:val="28"/>
        </w:rPr>
      </w:pPr>
      <w:hyperlink w:anchor="_Toc431072733" w:history="1">
        <w:r w:rsidR="00EC26FF" w:rsidRPr="00EC26FF">
          <w:rPr>
            <w:rStyle w:val="ab"/>
            <w:rFonts w:hint="eastAsia"/>
            <w:noProof/>
            <w:sz w:val="28"/>
            <w:szCs w:val="28"/>
          </w:rPr>
          <w:t>第</w:t>
        </w:r>
        <w:r w:rsidR="00EC26FF" w:rsidRPr="00EC26FF">
          <w:rPr>
            <w:rStyle w:val="ab"/>
            <w:noProof/>
            <w:sz w:val="28"/>
            <w:szCs w:val="28"/>
          </w:rPr>
          <w:t>17</w:t>
        </w:r>
        <w:r w:rsidR="00EC26FF" w:rsidRPr="00EC26FF">
          <w:rPr>
            <w:rStyle w:val="ab"/>
            <w:rFonts w:hint="eastAsia"/>
            <w:noProof/>
            <w:sz w:val="28"/>
            <w:szCs w:val="28"/>
          </w:rPr>
          <w:t>條　適當資訊之獲取</w:t>
        </w:r>
        <w:r w:rsidR="00EC26FF" w:rsidRPr="00EC26FF">
          <w:rPr>
            <w:noProof/>
            <w:webHidden/>
            <w:sz w:val="28"/>
            <w:szCs w:val="28"/>
          </w:rPr>
          <w:tab/>
        </w:r>
        <w:r w:rsidR="00EC26FF" w:rsidRPr="00EC26FF">
          <w:rPr>
            <w:noProof/>
            <w:webHidden/>
            <w:sz w:val="28"/>
            <w:szCs w:val="28"/>
          </w:rPr>
          <w:fldChar w:fldCharType="begin"/>
        </w:r>
        <w:r w:rsidR="00EC26FF" w:rsidRPr="00EC26FF">
          <w:rPr>
            <w:noProof/>
            <w:webHidden/>
            <w:sz w:val="28"/>
            <w:szCs w:val="28"/>
          </w:rPr>
          <w:instrText xml:space="preserve"> PAGEREF _Toc431072733 \h </w:instrText>
        </w:r>
        <w:r w:rsidR="00EC26FF" w:rsidRPr="00EC26FF">
          <w:rPr>
            <w:noProof/>
            <w:webHidden/>
            <w:sz w:val="28"/>
            <w:szCs w:val="28"/>
          </w:rPr>
        </w:r>
        <w:r w:rsidR="00EC26FF" w:rsidRPr="00EC26FF">
          <w:rPr>
            <w:noProof/>
            <w:webHidden/>
            <w:sz w:val="28"/>
            <w:szCs w:val="28"/>
          </w:rPr>
          <w:fldChar w:fldCharType="separate"/>
        </w:r>
        <w:r w:rsidR="00DA394E">
          <w:rPr>
            <w:noProof/>
            <w:webHidden/>
            <w:sz w:val="28"/>
            <w:szCs w:val="28"/>
          </w:rPr>
          <w:t>84</w:t>
        </w:r>
        <w:r w:rsidR="00EC26FF" w:rsidRPr="00EC26FF">
          <w:rPr>
            <w:noProof/>
            <w:webHidden/>
            <w:sz w:val="28"/>
            <w:szCs w:val="28"/>
          </w:rPr>
          <w:fldChar w:fldCharType="end"/>
        </w:r>
      </w:hyperlink>
    </w:p>
    <w:p w14:paraId="51B30EB7" w14:textId="77777777" w:rsidR="00EC26FF" w:rsidRPr="00EC26FF" w:rsidRDefault="00EE5529">
      <w:pPr>
        <w:pStyle w:val="11"/>
        <w:rPr>
          <w:rFonts w:asciiTheme="minorHAnsi" w:eastAsiaTheme="minorEastAsia" w:hAnsiTheme="minorHAnsi" w:cstheme="minorBidi"/>
          <w:noProof/>
          <w:sz w:val="28"/>
          <w:szCs w:val="28"/>
        </w:rPr>
      </w:pPr>
      <w:hyperlink w:anchor="_Toc431072734" w:history="1">
        <w:r w:rsidR="00EC26FF" w:rsidRPr="00EC26FF">
          <w:rPr>
            <w:rStyle w:val="ab"/>
            <w:rFonts w:hint="eastAsia"/>
            <w:noProof/>
            <w:sz w:val="28"/>
            <w:szCs w:val="28"/>
          </w:rPr>
          <w:t>第</w:t>
        </w:r>
        <w:r w:rsidR="00EC26FF" w:rsidRPr="00EC26FF">
          <w:rPr>
            <w:rStyle w:val="ab"/>
            <w:noProof/>
            <w:sz w:val="28"/>
            <w:szCs w:val="28"/>
          </w:rPr>
          <w:t>18</w:t>
        </w:r>
        <w:r w:rsidR="00EC26FF" w:rsidRPr="00EC26FF">
          <w:rPr>
            <w:rStyle w:val="ab"/>
            <w:rFonts w:hint="eastAsia"/>
            <w:noProof/>
            <w:sz w:val="28"/>
            <w:szCs w:val="28"/>
          </w:rPr>
          <w:t>條　父母之責任與國家之協助</w:t>
        </w:r>
        <w:r w:rsidR="00EC26FF" w:rsidRPr="00EC26FF">
          <w:rPr>
            <w:noProof/>
            <w:webHidden/>
            <w:sz w:val="28"/>
            <w:szCs w:val="28"/>
          </w:rPr>
          <w:tab/>
        </w:r>
        <w:r w:rsidR="00EC26FF" w:rsidRPr="00EC26FF">
          <w:rPr>
            <w:noProof/>
            <w:webHidden/>
            <w:sz w:val="28"/>
            <w:szCs w:val="28"/>
          </w:rPr>
          <w:fldChar w:fldCharType="begin"/>
        </w:r>
        <w:r w:rsidR="00EC26FF" w:rsidRPr="00EC26FF">
          <w:rPr>
            <w:noProof/>
            <w:webHidden/>
            <w:sz w:val="28"/>
            <w:szCs w:val="28"/>
          </w:rPr>
          <w:instrText xml:space="preserve"> PAGEREF _Toc431072734 \h </w:instrText>
        </w:r>
        <w:r w:rsidR="00EC26FF" w:rsidRPr="00EC26FF">
          <w:rPr>
            <w:noProof/>
            <w:webHidden/>
            <w:sz w:val="28"/>
            <w:szCs w:val="28"/>
          </w:rPr>
        </w:r>
        <w:r w:rsidR="00EC26FF" w:rsidRPr="00EC26FF">
          <w:rPr>
            <w:noProof/>
            <w:webHidden/>
            <w:sz w:val="28"/>
            <w:szCs w:val="28"/>
          </w:rPr>
          <w:fldChar w:fldCharType="separate"/>
        </w:r>
        <w:r w:rsidR="00DA394E">
          <w:rPr>
            <w:noProof/>
            <w:webHidden/>
            <w:sz w:val="28"/>
            <w:szCs w:val="28"/>
          </w:rPr>
          <w:t>90</w:t>
        </w:r>
        <w:r w:rsidR="00EC26FF" w:rsidRPr="00EC26FF">
          <w:rPr>
            <w:noProof/>
            <w:webHidden/>
            <w:sz w:val="28"/>
            <w:szCs w:val="28"/>
          </w:rPr>
          <w:fldChar w:fldCharType="end"/>
        </w:r>
      </w:hyperlink>
    </w:p>
    <w:p w14:paraId="5D4853B4" w14:textId="77777777" w:rsidR="00EC26FF" w:rsidRPr="00EC26FF" w:rsidRDefault="00EE5529">
      <w:pPr>
        <w:pStyle w:val="11"/>
        <w:rPr>
          <w:rFonts w:asciiTheme="minorHAnsi" w:eastAsiaTheme="minorEastAsia" w:hAnsiTheme="minorHAnsi" w:cstheme="minorBidi"/>
          <w:noProof/>
          <w:sz w:val="28"/>
          <w:szCs w:val="28"/>
        </w:rPr>
      </w:pPr>
      <w:hyperlink w:anchor="_Toc431072735" w:history="1">
        <w:r w:rsidR="00EC26FF" w:rsidRPr="00EC26FF">
          <w:rPr>
            <w:rStyle w:val="ab"/>
            <w:rFonts w:hint="eastAsia"/>
            <w:noProof/>
            <w:sz w:val="28"/>
            <w:szCs w:val="28"/>
          </w:rPr>
          <w:t>第</w:t>
        </w:r>
        <w:r w:rsidR="00EC26FF" w:rsidRPr="00EC26FF">
          <w:rPr>
            <w:rStyle w:val="ab"/>
            <w:noProof/>
            <w:sz w:val="28"/>
            <w:szCs w:val="28"/>
          </w:rPr>
          <w:t>19</w:t>
        </w:r>
        <w:r w:rsidR="00EC26FF" w:rsidRPr="00EC26FF">
          <w:rPr>
            <w:rStyle w:val="ab"/>
            <w:rFonts w:hint="eastAsia"/>
            <w:noProof/>
            <w:sz w:val="28"/>
            <w:szCs w:val="28"/>
          </w:rPr>
          <w:t>條　不受任何形式之不當對待</w:t>
        </w:r>
        <w:r w:rsidR="00EC26FF" w:rsidRPr="00EC26FF">
          <w:rPr>
            <w:noProof/>
            <w:webHidden/>
            <w:sz w:val="28"/>
            <w:szCs w:val="28"/>
          </w:rPr>
          <w:tab/>
        </w:r>
        <w:r w:rsidR="00EC26FF" w:rsidRPr="00EC26FF">
          <w:rPr>
            <w:noProof/>
            <w:webHidden/>
            <w:sz w:val="28"/>
            <w:szCs w:val="28"/>
          </w:rPr>
          <w:fldChar w:fldCharType="begin"/>
        </w:r>
        <w:r w:rsidR="00EC26FF" w:rsidRPr="00EC26FF">
          <w:rPr>
            <w:noProof/>
            <w:webHidden/>
            <w:sz w:val="28"/>
            <w:szCs w:val="28"/>
          </w:rPr>
          <w:instrText xml:space="preserve"> PAGEREF _Toc431072735 \h </w:instrText>
        </w:r>
        <w:r w:rsidR="00EC26FF" w:rsidRPr="00EC26FF">
          <w:rPr>
            <w:noProof/>
            <w:webHidden/>
            <w:sz w:val="28"/>
            <w:szCs w:val="28"/>
          </w:rPr>
        </w:r>
        <w:r w:rsidR="00EC26FF" w:rsidRPr="00EC26FF">
          <w:rPr>
            <w:noProof/>
            <w:webHidden/>
            <w:sz w:val="28"/>
            <w:szCs w:val="28"/>
          </w:rPr>
          <w:fldChar w:fldCharType="separate"/>
        </w:r>
        <w:r w:rsidR="00DA394E">
          <w:rPr>
            <w:noProof/>
            <w:webHidden/>
            <w:sz w:val="28"/>
            <w:szCs w:val="28"/>
          </w:rPr>
          <w:t>95</w:t>
        </w:r>
        <w:r w:rsidR="00EC26FF" w:rsidRPr="00EC26FF">
          <w:rPr>
            <w:noProof/>
            <w:webHidden/>
            <w:sz w:val="28"/>
            <w:szCs w:val="28"/>
          </w:rPr>
          <w:fldChar w:fldCharType="end"/>
        </w:r>
      </w:hyperlink>
    </w:p>
    <w:p w14:paraId="3ABFF656" w14:textId="77777777" w:rsidR="00EC26FF" w:rsidRPr="00EC26FF" w:rsidRDefault="00EE5529">
      <w:pPr>
        <w:pStyle w:val="11"/>
        <w:rPr>
          <w:rFonts w:asciiTheme="minorHAnsi" w:eastAsiaTheme="minorEastAsia" w:hAnsiTheme="minorHAnsi" w:cstheme="minorBidi"/>
          <w:noProof/>
          <w:sz w:val="28"/>
          <w:szCs w:val="28"/>
        </w:rPr>
      </w:pPr>
      <w:hyperlink w:anchor="_Toc431072736" w:history="1">
        <w:r w:rsidR="00EC26FF" w:rsidRPr="00EC26FF">
          <w:rPr>
            <w:rStyle w:val="ab"/>
            <w:rFonts w:hint="eastAsia"/>
            <w:noProof/>
            <w:sz w:val="28"/>
            <w:szCs w:val="28"/>
          </w:rPr>
          <w:t>第</w:t>
        </w:r>
        <w:r w:rsidR="00EC26FF" w:rsidRPr="00EC26FF">
          <w:rPr>
            <w:rStyle w:val="ab"/>
            <w:noProof/>
            <w:sz w:val="28"/>
            <w:szCs w:val="28"/>
          </w:rPr>
          <w:t>20</w:t>
        </w:r>
        <w:r w:rsidR="00EC26FF" w:rsidRPr="00EC26FF">
          <w:rPr>
            <w:rStyle w:val="ab"/>
            <w:rFonts w:hint="eastAsia"/>
            <w:noProof/>
            <w:sz w:val="28"/>
            <w:szCs w:val="28"/>
          </w:rPr>
          <w:t>條　喪失家庭環境之兒童</w:t>
        </w:r>
        <w:r w:rsidR="00EC26FF" w:rsidRPr="00EC26FF">
          <w:rPr>
            <w:noProof/>
            <w:webHidden/>
            <w:sz w:val="28"/>
            <w:szCs w:val="28"/>
          </w:rPr>
          <w:tab/>
        </w:r>
        <w:r w:rsidR="00EC26FF" w:rsidRPr="00EC26FF">
          <w:rPr>
            <w:noProof/>
            <w:webHidden/>
            <w:sz w:val="28"/>
            <w:szCs w:val="28"/>
          </w:rPr>
          <w:fldChar w:fldCharType="begin"/>
        </w:r>
        <w:r w:rsidR="00EC26FF" w:rsidRPr="00EC26FF">
          <w:rPr>
            <w:noProof/>
            <w:webHidden/>
            <w:sz w:val="28"/>
            <w:szCs w:val="28"/>
          </w:rPr>
          <w:instrText xml:space="preserve"> PAGEREF _Toc431072736 \h </w:instrText>
        </w:r>
        <w:r w:rsidR="00EC26FF" w:rsidRPr="00EC26FF">
          <w:rPr>
            <w:noProof/>
            <w:webHidden/>
            <w:sz w:val="28"/>
            <w:szCs w:val="28"/>
          </w:rPr>
        </w:r>
        <w:r w:rsidR="00EC26FF" w:rsidRPr="00EC26FF">
          <w:rPr>
            <w:noProof/>
            <w:webHidden/>
            <w:sz w:val="28"/>
            <w:szCs w:val="28"/>
          </w:rPr>
          <w:fldChar w:fldCharType="separate"/>
        </w:r>
        <w:r w:rsidR="00DA394E">
          <w:rPr>
            <w:noProof/>
            <w:webHidden/>
            <w:sz w:val="28"/>
            <w:szCs w:val="28"/>
          </w:rPr>
          <w:t>103</w:t>
        </w:r>
        <w:r w:rsidR="00EC26FF" w:rsidRPr="00EC26FF">
          <w:rPr>
            <w:noProof/>
            <w:webHidden/>
            <w:sz w:val="28"/>
            <w:szCs w:val="28"/>
          </w:rPr>
          <w:fldChar w:fldCharType="end"/>
        </w:r>
      </w:hyperlink>
    </w:p>
    <w:p w14:paraId="715A01D4" w14:textId="77777777" w:rsidR="00EC26FF" w:rsidRPr="00EC26FF" w:rsidRDefault="00EE5529">
      <w:pPr>
        <w:pStyle w:val="11"/>
        <w:rPr>
          <w:rFonts w:asciiTheme="minorHAnsi" w:eastAsiaTheme="minorEastAsia" w:hAnsiTheme="minorHAnsi" w:cstheme="minorBidi"/>
          <w:noProof/>
          <w:sz w:val="28"/>
          <w:szCs w:val="28"/>
        </w:rPr>
      </w:pPr>
      <w:hyperlink w:anchor="_Toc431072737" w:history="1">
        <w:r w:rsidR="00EC26FF" w:rsidRPr="00EC26FF">
          <w:rPr>
            <w:rStyle w:val="ab"/>
            <w:rFonts w:hint="eastAsia"/>
            <w:noProof/>
            <w:sz w:val="28"/>
            <w:szCs w:val="28"/>
          </w:rPr>
          <w:t>第</w:t>
        </w:r>
        <w:r w:rsidR="00EC26FF" w:rsidRPr="00EC26FF">
          <w:rPr>
            <w:rStyle w:val="ab"/>
            <w:noProof/>
            <w:sz w:val="28"/>
            <w:szCs w:val="28"/>
          </w:rPr>
          <w:t>21</w:t>
        </w:r>
        <w:r w:rsidR="00EC26FF" w:rsidRPr="00EC26FF">
          <w:rPr>
            <w:rStyle w:val="ab"/>
            <w:rFonts w:hint="eastAsia"/>
            <w:noProof/>
            <w:sz w:val="28"/>
            <w:szCs w:val="28"/>
          </w:rPr>
          <w:t>條　收養</w:t>
        </w:r>
        <w:r w:rsidR="00EC26FF" w:rsidRPr="00EC26FF">
          <w:rPr>
            <w:noProof/>
            <w:webHidden/>
            <w:sz w:val="28"/>
            <w:szCs w:val="28"/>
          </w:rPr>
          <w:tab/>
        </w:r>
        <w:r w:rsidR="00EC26FF" w:rsidRPr="00EC26FF">
          <w:rPr>
            <w:noProof/>
            <w:webHidden/>
            <w:sz w:val="28"/>
            <w:szCs w:val="28"/>
          </w:rPr>
          <w:fldChar w:fldCharType="begin"/>
        </w:r>
        <w:r w:rsidR="00EC26FF" w:rsidRPr="00EC26FF">
          <w:rPr>
            <w:noProof/>
            <w:webHidden/>
            <w:sz w:val="28"/>
            <w:szCs w:val="28"/>
          </w:rPr>
          <w:instrText xml:space="preserve"> PAGEREF _Toc431072737 \h </w:instrText>
        </w:r>
        <w:r w:rsidR="00EC26FF" w:rsidRPr="00EC26FF">
          <w:rPr>
            <w:noProof/>
            <w:webHidden/>
            <w:sz w:val="28"/>
            <w:szCs w:val="28"/>
          </w:rPr>
        </w:r>
        <w:r w:rsidR="00EC26FF" w:rsidRPr="00EC26FF">
          <w:rPr>
            <w:noProof/>
            <w:webHidden/>
            <w:sz w:val="28"/>
            <w:szCs w:val="28"/>
          </w:rPr>
          <w:fldChar w:fldCharType="separate"/>
        </w:r>
        <w:r w:rsidR="00DA394E">
          <w:rPr>
            <w:noProof/>
            <w:webHidden/>
            <w:sz w:val="28"/>
            <w:szCs w:val="28"/>
          </w:rPr>
          <w:t>109</w:t>
        </w:r>
        <w:r w:rsidR="00EC26FF" w:rsidRPr="00EC26FF">
          <w:rPr>
            <w:noProof/>
            <w:webHidden/>
            <w:sz w:val="28"/>
            <w:szCs w:val="28"/>
          </w:rPr>
          <w:fldChar w:fldCharType="end"/>
        </w:r>
      </w:hyperlink>
    </w:p>
    <w:p w14:paraId="250511E3" w14:textId="77777777" w:rsidR="00EC26FF" w:rsidRPr="00EC26FF" w:rsidRDefault="00EE5529">
      <w:pPr>
        <w:pStyle w:val="11"/>
        <w:rPr>
          <w:rFonts w:asciiTheme="minorHAnsi" w:eastAsiaTheme="minorEastAsia" w:hAnsiTheme="minorHAnsi" w:cstheme="minorBidi"/>
          <w:noProof/>
          <w:sz w:val="28"/>
          <w:szCs w:val="28"/>
        </w:rPr>
      </w:pPr>
      <w:hyperlink w:anchor="_Toc431072738" w:history="1">
        <w:r w:rsidR="00EC26FF" w:rsidRPr="00EC26FF">
          <w:rPr>
            <w:rStyle w:val="ab"/>
            <w:rFonts w:hint="eastAsia"/>
            <w:noProof/>
            <w:sz w:val="28"/>
            <w:szCs w:val="28"/>
          </w:rPr>
          <w:t>第</w:t>
        </w:r>
        <w:r w:rsidR="00EC26FF" w:rsidRPr="00EC26FF">
          <w:rPr>
            <w:rStyle w:val="ab"/>
            <w:noProof/>
            <w:sz w:val="28"/>
            <w:szCs w:val="28"/>
          </w:rPr>
          <w:t>22</w:t>
        </w:r>
        <w:r w:rsidR="00EC26FF" w:rsidRPr="00EC26FF">
          <w:rPr>
            <w:rStyle w:val="ab"/>
            <w:rFonts w:hint="eastAsia"/>
            <w:noProof/>
            <w:sz w:val="28"/>
            <w:szCs w:val="28"/>
          </w:rPr>
          <w:t>條　難民兒童</w:t>
        </w:r>
        <w:r w:rsidR="00EC26FF" w:rsidRPr="00EC26FF">
          <w:rPr>
            <w:noProof/>
            <w:webHidden/>
            <w:sz w:val="28"/>
            <w:szCs w:val="28"/>
          </w:rPr>
          <w:tab/>
        </w:r>
        <w:r w:rsidR="00EC26FF" w:rsidRPr="00EC26FF">
          <w:rPr>
            <w:noProof/>
            <w:webHidden/>
            <w:sz w:val="28"/>
            <w:szCs w:val="28"/>
          </w:rPr>
          <w:fldChar w:fldCharType="begin"/>
        </w:r>
        <w:r w:rsidR="00EC26FF" w:rsidRPr="00EC26FF">
          <w:rPr>
            <w:noProof/>
            <w:webHidden/>
            <w:sz w:val="28"/>
            <w:szCs w:val="28"/>
          </w:rPr>
          <w:instrText xml:space="preserve"> PAGEREF _Toc431072738 \h </w:instrText>
        </w:r>
        <w:r w:rsidR="00EC26FF" w:rsidRPr="00EC26FF">
          <w:rPr>
            <w:noProof/>
            <w:webHidden/>
            <w:sz w:val="28"/>
            <w:szCs w:val="28"/>
          </w:rPr>
        </w:r>
        <w:r w:rsidR="00EC26FF" w:rsidRPr="00EC26FF">
          <w:rPr>
            <w:noProof/>
            <w:webHidden/>
            <w:sz w:val="28"/>
            <w:szCs w:val="28"/>
          </w:rPr>
          <w:fldChar w:fldCharType="separate"/>
        </w:r>
        <w:r w:rsidR="00DA394E">
          <w:rPr>
            <w:noProof/>
            <w:webHidden/>
            <w:sz w:val="28"/>
            <w:szCs w:val="28"/>
          </w:rPr>
          <w:t>115</w:t>
        </w:r>
        <w:r w:rsidR="00EC26FF" w:rsidRPr="00EC26FF">
          <w:rPr>
            <w:noProof/>
            <w:webHidden/>
            <w:sz w:val="28"/>
            <w:szCs w:val="28"/>
          </w:rPr>
          <w:fldChar w:fldCharType="end"/>
        </w:r>
      </w:hyperlink>
    </w:p>
    <w:p w14:paraId="4E8BEC48" w14:textId="77777777" w:rsidR="00EC26FF" w:rsidRPr="00EC26FF" w:rsidRDefault="00EE5529">
      <w:pPr>
        <w:pStyle w:val="11"/>
        <w:rPr>
          <w:rFonts w:asciiTheme="minorHAnsi" w:eastAsiaTheme="minorEastAsia" w:hAnsiTheme="minorHAnsi" w:cstheme="minorBidi"/>
          <w:noProof/>
          <w:sz w:val="28"/>
          <w:szCs w:val="28"/>
        </w:rPr>
      </w:pPr>
      <w:hyperlink w:anchor="_Toc431072739" w:history="1">
        <w:r w:rsidR="00EC26FF" w:rsidRPr="00EC26FF">
          <w:rPr>
            <w:rStyle w:val="ab"/>
            <w:rFonts w:hint="eastAsia"/>
            <w:noProof/>
            <w:sz w:val="28"/>
            <w:szCs w:val="28"/>
          </w:rPr>
          <w:t>第</w:t>
        </w:r>
        <w:r w:rsidR="00EC26FF" w:rsidRPr="00EC26FF">
          <w:rPr>
            <w:rStyle w:val="ab"/>
            <w:noProof/>
            <w:sz w:val="28"/>
            <w:szCs w:val="28"/>
          </w:rPr>
          <w:t>23</w:t>
        </w:r>
        <w:r w:rsidR="00EC26FF" w:rsidRPr="00EC26FF">
          <w:rPr>
            <w:rStyle w:val="ab"/>
            <w:rFonts w:hint="eastAsia"/>
            <w:noProof/>
            <w:sz w:val="28"/>
            <w:szCs w:val="28"/>
          </w:rPr>
          <w:t>條　身障兒童</w:t>
        </w:r>
        <w:r w:rsidR="00EC26FF" w:rsidRPr="00EC26FF">
          <w:rPr>
            <w:noProof/>
            <w:webHidden/>
            <w:sz w:val="28"/>
            <w:szCs w:val="28"/>
          </w:rPr>
          <w:tab/>
        </w:r>
        <w:r w:rsidR="00EC26FF" w:rsidRPr="00EC26FF">
          <w:rPr>
            <w:noProof/>
            <w:webHidden/>
            <w:sz w:val="28"/>
            <w:szCs w:val="28"/>
          </w:rPr>
          <w:fldChar w:fldCharType="begin"/>
        </w:r>
        <w:r w:rsidR="00EC26FF" w:rsidRPr="00EC26FF">
          <w:rPr>
            <w:noProof/>
            <w:webHidden/>
            <w:sz w:val="28"/>
            <w:szCs w:val="28"/>
          </w:rPr>
          <w:instrText xml:space="preserve"> PAGEREF _Toc431072739 \h </w:instrText>
        </w:r>
        <w:r w:rsidR="00EC26FF" w:rsidRPr="00EC26FF">
          <w:rPr>
            <w:noProof/>
            <w:webHidden/>
            <w:sz w:val="28"/>
            <w:szCs w:val="28"/>
          </w:rPr>
        </w:r>
        <w:r w:rsidR="00EC26FF" w:rsidRPr="00EC26FF">
          <w:rPr>
            <w:noProof/>
            <w:webHidden/>
            <w:sz w:val="28"/>
            <w:szCs w:val="28"/>
          </w:rPr>
          <w:fldChar w:fldCharType="separate"/>
        </w:r>
        <w:r w:rsidR="00DA394E">
          <w:rPr>
            <w:noProof/>
            <w:webHidden/>
            <w:sz w:val="28"/>
            <w:szCs w:val="28"/>
          </w:rPr>
          <w:t>120</w:t>
        </w:r>
        <w:r w:rsidR="00EC26FF" w:rsidRPr="00EC26FF">
          <w:rPr>
            <w:noProof/>
            <w:webHidden/>
            <w:sz w:val="28"/>
            <w:szCs w:val="28"/>
          </w:rPr>
          <w:fldChar w:fldCharType="end"/>
        </w:r>
      </w:hyperlink>
    </w:p>
    <w:p w14:paraId="68F4768C" w14:textId="77777777" w:rsidR="00EC26FF" w:rsidRPr="00EC26FF" w:rsidRDefault="00EE5529">
      <w:pPr>
        <w:pStyle w:val="11"/>
        <w:rPr>
          <w:rFonts w:asciiTheme="minorHAnsi" w:eastAsiaTheme="minorEastAsia" w:hAnsiTheme="minorHAnsi" w:cstheme="minorBidi"/>
          <w:noProof/>
          <w:sz w:val="28"/>
          <w:szCs w:val="28"/>
        </w:rPr>
      </w:pPr>
      <w:hyperlink w:anchor="_Toc431072740" w:history="1">
        <w:r w:rsidR="00EC26FF" w:rsidRPr="00EC26FF">
          <w:rPr>
            <w:rStyle w:val="ab"/>
            <w:rFonts w:hint="eastAsia"/>
            <w:noProof/>
            <w:sz w:val="28"/>
            <w:szCs w:val="28"/>
          </w:rPr>
          <w:t>第</w:t>
        </w:r>
        <w:r w:rsidR="00EC26FF" w:rsidRPr="00EC26FF">
          <w:rPr>
            <w:rStyle w:val="ab"/>
            <w:noProof/>
            <w:sz w:val="28"/>
            <w:szCs w:val="28"/>
          </w:rPr>
          <w:t>24</w:t>
        </w:r>
        <w:r w:rsidR="00EC26FF" w:rsidRPr="00EC26FF">
          <w:rPr>
            <w:rStyle w:val="ab"/>
            <w:rFonts w:hint="eastAsia"/>
            <w:noProof/>
            <w:sz w:val="28"/>
            <w:szCs w:val="28"/>
          </w:rPr>
          <w:t>條　健康照護</w:t>
        </w:r>
        <w:r w:rsidR="00EC26FF" w:rsidRPr="00EC26FF">
          <w:rPr>
            <w:noProof/>
            <w:webHidden/>
            <w:sz w:val="28"/>
            <w:szCs w:val="28"/>
          </w:rPr>
          <w:tab/>
        </w:r>
        <w:r w:rsidR="00EC26FF" w:rsidRPr="00EC26FF">
          <w:rPr>
            <w:noProof/>
            <w:webHidden/>
            <w:sz w:val="28"/>
            <w:szCs w:val="28"/>
          </w:rPr>
          <w:fldChar w:fldCharType="begin"/>
        </w:r>
        <w:r w:rsidR="00EC26FF" w:rsidRPr="00EC26FF">
          <w:rPr>
            <w:noProof/>
            <w:webHidden/>
            <w:sz w:val="28"/>
            <w:szCs w:val="28"/>
          </w:rPr>
          <w:instrText xml:space="preserve"> PAGEREF _Toc431072740 \h </w:instrText>
        </w:r>
        <w:r w:rsidR="00EC26FF" w:rsidRPr="00EC26FF">
          <w:rPr>
            <w:noProof/>
            <w:webHidden/>
            <w:sz w:val="28"/>
            <w:szCs w:val="28"/>
          </w:rPr>
        </w:r>
        <w:r w:rsidR="00EC26FF" w:rsidRPr="00EC26FF">
          <w:rPr>
            <w:noProof/>
            <w:webHidden/>
            <w:sz w:val="28"/>
            <w:szCs w:val="28"/>
          </w:rPr>
          <w:fldChar w:fldCharType="separate"/>
        </w:r>
        <w:r w:rsidR="00DA394E">
          <w:rPr>
            <w:noProof/>
            <w:webHidden/>
            <w:sz w:val="28"/>
            <w:szCs w:val="28"/>
          </w:rPr>
          <w:t>126</w:t>
        </w:r>
        <w:r w:rsidR="00EC26FF" w:rsidRPr="00EC26FF">
          <w:rPr>
            <w:noProof/>
            <w:webHidden/>
            <w:sz w:val="28"/>
            <w:szCs w:val="28"/>
          </w:rPr>
          <w:fldChar w:fldCharType="end"/>
        </w:r>
      </w:hyperlink>
    </w:p>
    <w:p w14:paraId="0574C463" w14:textId="77777777" w:rsidR="00EC26FF" w:rsidRPr="00EC26FF" w:rsidRDefault="00EE5529">
      <w:pPr>
        <w:pStyle w:val="11"/>
        <w:rPr>
          <w:rFonts w:asciiTheme="minorHAnsi" w:eastAsiaTheme="minorEastAsia" w:hAnsiTheme="minorHAnsi" w:cstheme="minorBidi"/>
          <w:noProof/>
          <w:sz w:val="28"/>
          <w:szCs w:val="28"/>
        </w:rPr>
      </w:pPr>
      <w:hyperlink w:anchor="_Toc431072741" w:history="1">
        <w:r w:rsidR="00EC26FF" w:rsidRPr="00EC26FF">
          <w:rPr>
            <w:rStyle w:val="ab"/>
            <w:rFonts w:hint="eastAsia"/>
            <w:noProof/>
            <w:sz w:val="28"/>
            <w:szCs w:val="28"/>
          </w:rPr>
          <w:t>第</w:t>
        </w:r>
        <w:r w:rsidR="00EC26FF" w:rsidRPr="00EC26FF">
          <w:rPr>
            <w:rStyle w:val="ab"/>
            <w:noProof/>
            <w:sz w:val="28"/>
            <w:szCs w:val="28"/>
          </w:rPr>
          <w:t>25</w:t>
        </w:r>
        <w:r w:rsidR="00EC26FF" w:rsidRPr="00EC26FF">
          <w:rPr>
            <w:rStyle w:val="ab"/>
            <w:rFonts w:hint="eastAsia"/>
            <w:noProof/>
            <w:sz w:val="28"/>
            <w:szCs w:val="28"/>
          </w:rPr>
          <w:t>條　安置之定期評估</w:t>
        </w:r>
        <w:r w:rsidR="00EC26FF" w:rsidRPr="00EC26FF">
          <w:rPr>
            <w:noProof/>
            <w:webHidden/>
            <w:sz w:val="28"/>
            <w:szCs w:val="28"/>
          </w:rPr>
          <w:tab/>
        </w:r>
        <w:r w:rsidR="00EC26FF" w:rsidRPr="00EC26FF">
          <w:rPr>
            <w:noProof/>
            <w:webHidden/>
            <w:sz w:val="28"/>
            <w:szCs w:val="28"/>
          </w:rPr>
          <w:fldChar w:fldCharType="begin"/>
        </w:r>
        <w:r w:rsidR="00EC26FF" w:rsidRPr="00EC26FF">
          <w:rPr>
            <w:noProof/>
            <w:webHidden/>
            <w:sz w:val="28"/>
            <w:szCs w:val="28"/>
          </w:rPr>
          <w:instrText xml:space="preserve"> PAGEREF _Toc431072741 \h </w:instrText>
        </w:r>
        <w:r w:rsidR="00EC26FF" w:rsidRPr="00EC26FF">
          <w:rPr>
            <w:noProof/>
            <w:webHidden/>
            <w:sz w:val="28"/>
            <w:szCs w:val="28"/>
          </w:rPr>
        </w:r>
        <w:r w:rsidR="00EC26FF" w:rsidRPr="00EC26FF">
          <w:rPr>
            <w:noProof/>
            <w:webHidden/>
            <w:sz w:val="28"/>
            <w:szCs w:val="28"/>
          </w:rPr>
          <w:fldChar w:fldCharType="separate"/>
        </w:r>
        <w:r w:rsidR="00DA394E">
          <w:rPr>
            <w:noProof/>
            <w:webHidden/>
            <w:sz w:val="28"/>
            <w:szCs w:val="28"/>
          </w:rPr>
          <w:t>131</w:t>
        </w:r>
        <w:r w:rsidR="00EC26FF" w:rsidRPr="00EC26FF">
          <w:rPr>
            <w:noProof/>
            <w:webHidden/>
            <w:sz w:val="28"/>
            <w:szCs w:val="28"/>
          </w:rPr>
          <w:fldChar w:fldCharType="end"/>
        </w:r>
      </w:hyperlink>
    </w:p>
    <w:p w14:paraId="6B9EB02D" w14:textId="77777777" w:rsidR="00EC26FF" w:rsidRPr="00EC26FF" w:rsidRDefault="00EE5529">
      <w:pPr>
        <w:pStyle w:val="11"/>
        <w:rPr>
          <w:rFonts w:asciiTheme="minorHAnsi" w:eastAsiaTheme="minorEastAsia" w:hAnsiTheme="minorHAnsi" w:cstheme="minorBidi"/>
          <w:noProof/>
          <w:sz w:val="28"/>
          <w:szCs w:val="28"/>
        </w:rPr>
      </w:pPr>
      <w:hyperlink w:anchor="_Toc431072742" w:history="1">
        <w:r w:rsidR="00EC26FF" w:rsidRPr="00EC26FF">
          <w:rPr>
            <w:rStyle w:val="ab"/>
            <w:rFonts w:hint="eastAsia"/>
            <w:noProof/>
            <w:sz w:val="28"/>
            <w:szCs w:val="28"/>
          </w:rPr>
          <w:t>第</w:t>
        </w:r>
        <w:r w:rsidR="00EC26FF" w:rsidRPr="00EC26FF">
          <w:rPr>
            <w:rStyle w:val="ab"/>
            <w:noProof/>
            <w:sz w:val="28"/>
            <w:szCs w:val="28"/>
          </w:rPr>
          <w:t>26</w:t>
        </w:r>
        <w:r w:rsidR="00EC26FF" w:rsidRPr="00EC26FF">
          <w:rPr>
            <w:rStyle w:val="ab"/>
            <w:rFonts w:hint="eastAsia"/>
            <w:noProof/>
            <w:sz w:val="28"/>
            <w:szCs w:val="28"/>
          </w:rPr>
          <w:t>條　社會安全</w:t>
        </w:r>
        <w:r w:rsidR="00EC26FF" w:rsidRPr="00EC26FF">
          <w:rPr>
            <w:noProof/>
            <w:webHidden/>
            <w:sz w:val="28"/>
            <w:szCs w:val="28"/>
          </w:rPr>
          <w:tab/>
        </w:r>
        <w:r w:rsidR="00EC26FF" w:rsidRPr="00EC26FF">
          <w:rPr>
            <w:noProof/>
            <w:webHidden/>
            <w:sz w:val="28"/>
            <w:szCs w:val="28"/>
          </w:rPr>
          <w:fldChar w:fldCharType="begin"/>
        </w:r>
        <w:r w:rsidR="00EC26FF" w:rsidRPr="00EC26FF">
          <w:rPr>
            <w:noProof/>
            <w:webHidden/>
            <w:sz w:val="28"/>
            <w:szCs w:val="28"/>
          </w:rPr>
          <w:instrText xml:space="preserve"> PAGEREF _Toc431072742 \h </w:instrText>
        </w:r>
        <w:r w:rsidR="00EC26FF" w:rsidRPr="00EC26FF">
          <w:rPr>
            <w:noProof/>
            <w:webHidden/>
            <w:sz w:val="28"/>
            <w:szCs w:val="28"/>
          </w:rPr>
        </w:r>
        <w:r w:rsidR="00EC26FF" w:rsidRPr="00EC26FF">
          <w:rPr>
            <w:noProof/>
            <w:webHidden/>
            <w:sz w:val="28"/>
            <w:szCs w:val="28"/>
          </w:rPr>
          <w:fldChar w:fldCharType="separate"/>
        </w:r>
        <w:r w:rsidR="00DA394E">
          <w:rPr>
            <w:noProof/>
            <w:webHidden/>
            <w:sz w:val="28"/>
            <w:szCs w:val="28"/>
          </w:rPr>
          <w:t>135</w:t>
        </w:r>
        <w:r w:rsidR="00EC26FF" w:rsidRPr="00EC26FF">
          <w:rPr>
            <w:noProof/>
            <w:webHidden/>
            <w:sz w:val="28"/>
            <w:szCs w:val="28"/>
          </w:rPr>
          <w:fldChar w:fldCharType="end"/>
        </w:r>
      </w:hyperlink>
    </w:p>
    <w:p w14:paraId="41D9A09D" w14:textId="77777777" w:rsidR="00EC26FF" w:rsidRPr="00EC26FF" w:rsidRDefault="00EE5529">
      <w:pPr>
        <w:pStyle w:val="11"/>
        <w:rPr>
          <w:rFonts w:asciiTheme="minorHAnsi" w:eastAsiaTheme="minorEastAsia" w:hAnsiTheme="minorHAnsi" w:cstheme="minorBidi"/>
          <w:noProof/>
          <w:sz w:val="28"/>
          <w:szCs w:val="28"/>
        </w:rPr>
      </w:pPr>
      <w:hyperlink w:anchor="_Toc431072743" w:history="1">
        <w:r w:rsidR="00EC26FF" w:rsidRPr="00EC26FF">
          <w:rPr>
            <w:rStyle w:val="ab"/>
            <w:rFonts w:hint="eastAsia"/>
            <w:noProof/>
            <w:sz w:val="28"/>
            <w:szCs w:val="28"/>
          </w:rPr>
          <w:t>第</w:t>
        </w:r>
        <w:r w:rsidR="00EC26FF" w:rsidRPr="00EC26FF">
          <w:rPr>
            <w:rStyle w:val="ab"/>
            <w:noProof/>
            <w:sz w:val="28"/>
            <w:szCs w:val="28"/>
          </w:rPr>
          <w:t>27</w:t>
        </w:r>
        <w:r w:rsidR="00EC26FF" w:rsidRPr="00EC26FF">
          <w:rPr>
            <w:rStyle w:val="ab"/>
            <w:rFonts w:hint="eastAsia"/>
            <w:noProof/>
            <w:sz w:val="28"/>
            <w:szCs w:val="28"/>
          </w:rPr>
          <w:t>條　適於兒童之生活水準</w:t>
        </w:r>
        <w:r w:rsidR="00EC26FF" w:rsidRPr="00EC26FF">
          <w:rPr>
            <w:noProof/>
            <w:webHidden/>
            <w:sz w:val="28"/>
            <w:szCs w:val="28"/>
          </w:rPr>
          <w:tab/>
        </w:r>
        <w:r w:rsidR="00EC26FF" w:rsidRPr="00EC26FF">
          <w:rPr>
            <w:noProof/>
            <w:webHidden/>
            <w:sz w:val="28"/>
            <w:szCs w:val="28"/>
          </w:rPr>
          <w:fldChar w:fldCharType="begin"/>
        </w:r>
        <w:r w:rsidR="00EC26FF" w:rsidRPr="00EC26FF">
          <w:rPr>
            <w:noProof/>
            <w:webHidden/>
            <w:sz w:val="28"/>
            <w:szCs w:val="28"/>
          </w:rPr>
          <w:instrText xml:space="preserve"> PAGEREF _Toc431072743 \h </w:instrText>
        </w:r>
        <w:r w:rsidR="00EC26FF" w:rsidRPr="00EC26FF">
          <w:rPr>
            <w:noProof/>
            <w:webHidden/>
            <w:sz w:val="28"/>
            <w:szCs w:val="28"/>
          </w:rPr>
        </w:r>
        <w:r w:rsidR="00EC26FF" w:rsidRPr="00EC26FF">
          <w:rPr>
            <w:noProof/>
            <w:webHidden/>
            <w:sz w:val="28"/>
            <w:szCs w:val="28"/>
          </w:rPr>
          <w:fldChar w:fldCharType="separate"/>
        </w:r>
        <w:r w:rsidR="00DA394E">
          <w:rPr>
            <w:noProof/>
            <w:webHidden/>
            <w:sz w:val="28"/>
            <w:szCs w:val="28"/>
          </w:rPr>
          <w:t>139</w:t>
        </w:r>
        <w:r w:rsidR="00EC26FF" w:rsidRPr="00EC26FF">
          <w:rPr>
            <w:noProof/>
            <w:webHidden/>
            <w:sz w:val="28"/>
            <w:szCs w:val="28"/>
          </w:rPr>
          <w:fldChar w:fldCharType="end"/>
        </w:r>
      </w:hyperlink>
    </w:p>
    <w:p w14:paraId="54F38106" w14:textId="77777777" w:rsidR="00EC26FF" w:rsidRPr="00EC26FF" w:rsidRDefault="00EE5529">
      <w:pPr>
        <w:pStyle w:val="11"/>
        <w:rPr>
          <w:rFonts w:asciiTheme="minorHAnsi" w:eastAsiaTheme="minorEastAsia" w:hAnsiTheme="minorHAnsi" w:cstheme="minorBidi"/>
          <w:noProof/>
          <w:sz w:val="28"/>
          <w:szCs w:val="28"/>
        </w:rPr>
      </w:pPr>
      <w:hyperlink w:anchor="_Toc431072744" w:history="1">
        <w:r w:rsidR="00EC26FF" w:rsidRPr="00EC26FF">
          <w:rPr>
            <w:rStyle w:val="ab"/>
            <w:rFonts w:hint="eastAsia"/>
            <w:noProof/>
            <w:sz w:val="28"/>
            <w:szCs w:val="28"/>
          </w:rPr>
          <w:t>第</w:t>
        </w:r>
        <w:r w:rsidR="00EC26FF" w:rsidRPr="00EC26FF">
          <w:rPr>
            <w:rStyle w:val="ab"/>
            <w:noProof/>
            <w:sz w:val="28"/>
            <w:szCs w:val="28"/>
          </w:rPr>
          <w:t>28</w:t>
        </w:r>
        <w:r w:rsidR="00EC26FF" w:rsidRPr="00EC26FF">
          <w:rPr>
            <w:rStyle w:val="ab"/>
            <w:rFonts w:hint="eastAsia"/>
            <w:noProof/>
            <w:sz w:val="28"/>
            <w:szCs w:val="28"/>
          </w:rPr>
          <w:t>條　教育權</w:t>
        </w:r>
        <w:r w:rsidR="00EC26FF" w:rsidRPr="00EC26FF">
          <w:rPr>
            <w:noProof/>
            <w:webHidden/>
            <w:sz w:val="28"/>
            <w:szCs w:val="28"/>
          </w:rPr>
          <w:tab/>
        </w:r>
        <w:r w:rsidR="00EC26FF" w:rsidRPr="00EC26FF">
          <w:rPr>
            <w:noProof/>
            <w:webHidden/>
            <w:sz w:val="28"/>
            <w:szCs w:val="28"/>
          </w:rPr>
          <w:fldChar w:fldCharType="begin"/>
        </w:r>
        <w:r w:rsidR="00EC26FF" w:rsidRPr="00EC26FF">
          <w:rPr>
            <w:noProof/>
            <w:webHidden/>
            <w:sz w:val="28"/>
            <w:szCs w:val="28"/>
          </w:rPr>
          <w:instrText xml:space="preserve"> PAGEREF _Toc431072744 \h </w:instrText>
        </w:r>
        <w:r w:rsidR="00EC26FF" w:rsidRPr="00EC26FF">
          <w:rPr>
            <w:noProof/>
            <w:webHidden/>
            <w:sz w:val="28"/>
            <w:szCs w:val="28"/>
          </w:rPr>
        </w:r>
        <w:r w:rsidR="00EC26FF" w:rsidRPr="00EC26FF">
          <w:rPr>
            <w:noProof/>
            <w:webHidden/>
            <w:sz w:val="28"/>
            <w:szCs w:val="28"/>
          </w:rPr>
          <w:fldChar w:fldCharType="separate"/>
        </w:r>
        <w:r w:rsidR="00DA394E">
          <w:rPr>
            <w:noProof/>
            <w:webHidden/>
            <w:sz w:val="28"/>
            <w:szCs w:val="28"/>
          </w:rPr>
          <w:t>145</w:t>
        </w:r>
        <w:r w:rsidR="00EC26FF" w:rsidRPr="00EC26FF">
          <w:rPr>
            <w:noProof/>
            <w:webHidden/>
            <w:sz w:val="28"/>
            <w:szCs w:val="28"/>
          </w:rPr>
          <w:fldChar w:fldCharType="end"/>
        </w:r>
      </w:hyperlink>
    </w:p>
    <w:p w14:paraId="1CA9A2CA" w14:textId="77777777" w:rsidR="00EC26FF" w:rsidRPr="00EC26FF" w:rsidRDefault="00EE5529">
      <w:pPr>
        <w:pStyle w:val="11"/>
        <w:rPr>
          <w:rFonts w:asciiTheme="minorHAnsi" w:eastAsiaTheme="minorEastAsia" w:hAnsiTheme="minorHAnsi" w:cstheme="minorBidi"/>
          <w:noProof/>
          <w:sz w:val="28"/>
          <w:szCs w:val="28"/>
        </w:rPr>
      </w:pPr>
      <w:hyperlink w:anchor="_Toc431072745" w:history="1">
        <w:r w:rsidR="00EC26FF" w:rsidRPr="00EC26FF">
          <w:rPr>
            <w:rStyle w:val="ab"/>
            <w:rFonts w:hint="eastAsia"/>
            <w:noProof/>
            <w:sz w:val="28"/>
            <w:szCs w:val="28"/>
          </w:rPr>
          <w:t>第</w:t>
        </w:r>
        <w:r w:rsidR="00EC26FF" w:rsidRPr="00EC26FF">
          <w:rPr>
            <w:rStyle w:val="ab"/>
            <w:noProof/>
            <w:sz w:val="28"/>
            <w:szCs w:val="28"/>
          </w:rPr>
          <w:t>29</w:t>
        </w:r>
        <w:r w:rsidR="00EC26FF" w:rsidRPr="00EC26FF">
          <w:rPr>
            <w:rStyle w:val="ab"/>
            <w:rFonts w:hint="eastAsia"/>
            <w:noProof/>
            <w:sz w:val="28"/>
            <w:szCs w:val="28"/>
          </w:rPr>
          <w:t>條　教育之目的</w:t>
        </w:r>
        <w:r w:rsidR="00EC26FF" w:rsidRPr="00EC26FF">
          <w:rPr>
            <w:noProof/>
            <w:webHidden/>
            <w:sz w:val="28"/>
            <w:szCs w:val="28"/>
          </w:rPr>
          <w:tab/>
        </w:r>
        <w:r w:rsidR="00EC26FF" w:rsidRPr="00EC26FF">
          <w:rPr>
            <w:noProof/>
            <w:webHidden/>
            <w:sz w:val="28"/>
            <w:szCs w:val="28"/>
          </w:rPr>
          <w:fldChar w:fldCharType="begin"/>
        </w:r>
        <w:r w:rsidR="00EC26FF" w:rsidRPr="00EC26FF">
          <w:rPr>
            <w:noProof/>
            <w:webHidden/>
            <w:sz w:val="28"/>
            <w:szCs w:val="28"/>
          </w:rPr>
          <w:instrText xml:space="preserve"> PAGEREF _Toc431072745 \h </w:instrText>
        </w:r>
        <w:r w:rsidR="00EC26FF" w:rsidRPr="00EC26FF">
          <w:rPr>
            <w:noProof/>
            <w:webHidden/>
            <w:sz w:val="28"/>
            <w:szCs w:val="28"/>
          </w:rPr>
        </w:r>
        <w:r w:rsidR="00EC26FF" w:rsidRPr="00EC26FF">
          <w:rPr>
            <w:noProof/>
            <w:webHidden/>
            <w:sz w:val="28"/>
            <w:szCs w:val="28"/>
          </w:rPr>
          <w:fldChar w:fldCharType="separate"/>
        </w:r>
        <w:r w:rsidR="00DA394E">
          <w:rPr>
            <w:noProof/>
            <w:webHidden/>
            <w:sz w:val="28"/>
            <w:szCs w:val="28"/>
          </w:rPr>
          <w:t>151</w:t>
        </w:r>
        <w:r w:rsidR="00EC26FF" w:rsidRPr="00EC26FF">
          <w:rPr>
            <w:noProof/>
            <w:webHidden/>
            <w:sz w:val="28"/>
            <w:szCs w:val="28"/>
          </w:rPr>
          <w:fldChar w:fldCharType="end"/>
        </w:r>
      </w:hyperlink>
    </w:p>
    <w:p w14:paraId="32D6F088" w14:textId="77777777" w:rsidR="00EC26FF" w:rsidRPr="00EC26FF" w:rsidRDefault="00EE5529">
      <w:pPr>
        <w:pStyle w:val="11"/>
        <w:rPr>
          <w:rFonts w:asciiTheme="minorHAnsi" w:eastAsiaTheme="minorEastAsia" w:hAnsiTheme="minorHAnsi" w:cstheme="minorBidi"/>
          <w:noProof/>
          <w:sz w:val="28"/>
          <w:szCs w:val="28"/>
        </w:rPr>
      </w:pPr>
      <w:hyperlink w:anchor="_Toc431072746" w:history="1">
        <w:r w:rsidR="00EC26FF" w:rsidRPr="00EC26FF">
          <w:rPr>
            <w:rStyle w:val="ab"/>
            <w:rFonts w:hint="eastAsia"/>
            <w:noProof/>
            <w:sz w:val="28"/>
            <w:szCs w:val="28"/>
          </w:rPr>
          <w:t>第</w:t>
        </w:r>
        <w:r w:rsidR="00EC26FF" w:rsidRPr="00EC26FF">
          <w:rPr>
            <w:rStyle w:val="ab"/>
            <w:noProof/>
            <w:sz w:val="28"/>
            <w:szCs w:val="28"/>
          </w:rPr>
          <w:t>30</w:t>
        </w:r>
        <w:r w:rsidR="00EC26FF" w:rsidRPr="00EC26FF">
          <w:rPr>
            <w:rStyle w:val="ab"/>
            <w:rFonts w:hint="eastAsia"/>
            <w:noProof/>
            <w:sz w:val="28"/>
            <w:szCs w:val="28"/>
          </w:rPr>
          <w:t>條　少數民族與原住民兒童</w:t>
        </w:r>
        <w:r w:rsidR="00EC26FF" w:rsidRPr="00EC26FF">
          <w:rPr>
            <w:noProof/>
            <w:webHidden/>
            <w:sz w:val="28"/>
            <w:szCs w:val="28"/>
          </w:rPr>
          <w:tab/>
        </w:r>
        <w:r w:rsidR="00EC26FF" w:rsidRPr="00EC26FF">
          <w:rPr>
            <w:noProof/>
            <w:webHidden/>
            <w:sz w:val="28"/>
            <w:szCs w:val="28"/>
          </w:rPr>
          <w:fldChar w:fldCharType="begin"/>
        </w:r>
        <w:r w:rsidR="00EC26FF" w:rsidRPr="00EC26FF">
          <w:rPr>
            <w:noProof/>
            <w:webHidden/>
            <w:sz w:val="28"/>
            <w:szCs w:val="28"/>
          </w:rPr>
          <w:instrText xml:space="preserve"> PAGEREF _Toc431072746 \h </w:instrText>
        </w:r>
        <w:r w:rsidR="00EC26FF" w:rsidRPr="00EC26FF">
          <w:rPr>
            <w:noProof/>
            <w:webHidden/>
            <w:sz w:val="28"/>
            <w:szCs w:val="28"/>
          </w:rPr>
        </w:r>
        <w:r w:rsidR="00EC26FF" w:rsidRPr="00EC26FF">
          <w:rPr>
            <w:noProof/>
            <w:webHidden/>
            <w:sz w:val="28"/>
            <w:szCs w:val="28"/>
          </w:rPr>
          <w:fldChar w:fldCharType="separate"/>
        </w:r>
        <w:r w:rsidR="00DA394E">
          <w:rPr>
            <w:noProof/>
            <w:webHidden/>
            <w:sz w:val="28"/>
            <w:szCs w:val="28"/>
          </w:rPr>
          <w:t>157</w:t>
        </w:r>
        <w:r w:rsidR="00EC26FF" w:rsidRPr="00EC26FF">
          <w:rPr>
            <w:noProof/>
            <w:webHidden/>
            <w:sz w:val="28"/>
            <w:szCs w:val="28"/>
          </w:rPr>
          <w:fldChar w:fldCharType="end"/>
        </w:r>
      </w:hyperlink>
    </w:p>
    <w:p w14:paraId="7AD66061" w14:textId="77777777" w:rsidR="00EC26FF" w:rsidRPr="00EC26FF" w:rsidRDefault="00EE5529">
      <w:pPr>
        <w:pStyle w:val="11"/>
        <w:rPr>
          <w:rFonts w:asciiTheme="minorHAnsi" w:eastAsiaTheme="minorEastAsia" w:hAnsiTheme="minorHAnsi" w:cstheme="minorBidi"/>
          <w:noProof/>
          <w:sz w:val="28"/>
          <w:szCs w:val="28"/>
        </w:rPr>
      </w:pPr>
      <w:hyperlink w:anchor="_Toc431072747" w:history="1">
        <w:r w:rsidR="00EC26FF" w:rsidRPr="00EC26FF">
          <w:rPr>
            <w:rStyle w:val="ab"/>
            <w:rFonts w:hint="eastAsia"/>
            <w:noProof/>
            <w:sz w:val="28"/>
            <w:szCs w:val="28"/>
          </w:rPr>
          <w:t>第</w:t>
        </w:r>
        <w:r w:rsidR="00EC26FF" w:rsidRPr="00EC26FF">
          <w:rPr>
            <w:rStyle w:val="ab"/>
            <w:noProof/>
            <w:sz w:val="28"/>
            <w:szCs w:val="28"/>
          </w:rPr>
          <w:t>31</w:t>
        </w:r>
        <w:r w:rsidR="00EC26FF" w:rsidRPr="00EC26FF">
          <w:rPr>
            <w:rStyle w:val="ab"/>
            <w:rFonts w:hint="eastAsia"/>
            <w:noProof/>
            <w:sz w:val="28"/>
            <w:szCs w:val="28"/>
          </w:rPr>
          <w:t>條　遊戲權</w:t>
        </w:r>
        <w:r w:rsidR="00EC26FF" w:rsidRPr="00EC26FF">
          <w:rPr>
            <w:noProof/>
            <w:webHidden/>
            <w:sz w:val="28"/>
            <w:szCs w:val="28"/>
          </w:rPr>
          <w:tab/>
        </w:r>
        <w:r w:rsidR="00EC26FF" w:rsidRPr="00EC26FF">
          <w:rPr>
            <w:noProof/>
            <w:webHidden/>
            <w:sz w:val="28"/>
            <w:szCs w:val="28"/>
          </w:rPr>
          <w:fldChar w:fldCharType="begin"/>
        </w:r>
        <w:r w:rsidR="00EC26FF" w:rsidRPr="00EC26FF">
          <w:rPr>
            <w:noProof/>
            <w:webHidden/>
            <w:sz w:val="28"/>
            <w:szCs w:val="28"/>
          </w:rPr>
          <w:instrText xml:space="preserve"> PAGEREF _Toc431072747 \h </w:instrText>
        </w:r>
        <w:r w:rsidR="00EC26FF" w:rsidRPr="00EC26FF">
          <w:rPr>
            <w:noProof/>
            <w:webHidden/>
            <w:sz w:val="28"/>
            <w:szCs w:val="28"/>
          </w:rPr>
        </w:r>
        <w:r w:rsidR="00EC26FF" w:rsidRPr="00EC26FF">
          <w:rPr>
            <w:noProof/>
            <w:webHidden/>
            <w:sz w:val="28"/>
            <w:szCs w:val="28"/>
          </w:rPr>
          <w:fldChar w:fldCharType="separate"/>
        </w:r>
        <w:r w:rsidR="00DA394E">
          <w:rPr>
            <w:noProof/>
            <w:webHidden/>
            <w:sz w:val="28"/>
            <w:szCs w:val="28"/>
          </w:rPr>
          <w:t>161</w:t>
        </w:r>
        <w:r w:rsidR="00EC26FF" w:rsidRPr="00EC26FF">
          <w:rPr>
            <w:noProof/>
            <w:webHidden/>
            <w:sz w:val="28"/>
            <w:szCs w:val="28"/>
          </w:rPr>
          <w:fldChar w:fldCharType="end"/>
        </w:r>
      </w:hyperlink>
    </w:p>
    <w:p w14:paraId="0D3C5450" w14:textId="77777777" w:rsidR="00EC26FF" w:rsidRPr="00EC26FF" w:rsidRDefault="00EE5529">
      <w:pPr>
        <w:pStyle w:val="11"/>
        <w:rPr>
          <w:rFonts w:asciiTheme="minorHAnsi" w:eastAsiaTheme="minorEastAsia" w:hAnsiTheme="minorHAnsi" w:cstheme="minorBidi"/>
          <w:noProof/>
          <w:sz w:val="28"/>
          <w:szCs w:val="28"/>
        </w:rPr>
      </w:pPr>
      <w:hyperlink w:anchor="_Toc431072748" w:history="1">
        <w:r w:rsidR="00EC26FF" w:rsidRPr="00EC26FF">
          <w:rPr>
            <w:rStyle w:val="ab"/>
            <w:rFonts w:hint="eastAsia"/>
            <w:noProof/>
            <w:sz w:val="28"/>
            <w:szCs w:val="28"/>
          </w:rPr>
          <w:t>第</w:t>
        </w:r>
        <w:r w:rsidR="00EC26FF" w:rsidRPr="00EC26FF">
          <w:rPr>
            <w:rStyle w:val="ab"/>
            <w:noProof/>
            <w:sz w:val="28"/>
            <w:szCs w:val="28"/>
          </w:rPr>
          <w:t>32</w:t>
        </w:r>
        <w:r w:rsidR="00EC26FF" w:rsidRPr="00EC26FF">
          <w:rPr>
            <w:rStyle w:val="ab"/>
            <w:rFonts w:hint="eastAsia"/>
            <w:noProof/>
            <w:sz w:val="28"/>
            <w:szCs w:val="28"/>
          </w:rPr>
          <w:t>條　經濟剝削</w:t>
        </w:r>
        <w:r w:rsidR="00EC26FF" w:rsidRPr="00EC26FF">
          <w:rPr>
            <w:noProof/>
            <w:webHidden/>
            <w:sz w:val="28"/>
            <w:szCs w:val="28"/>
          </w:rPr>
          <w:tab/>
        </w:r>
        <w:r w:rsidR="00EC26FF" w:rsidRPr="00EC26FF">
          <w:rPr>
            <w:noProof/>
            <w:webHidden/>
            <w:sz w:val="28"/>
            <w:szCs w:val="28"/>
          </w:rPr>
          <w:fldChar w:fldCharType="begin"/>
        </w:r>
        <w:r w:rsidR="00EC26FF" w:rsidRPr="00EC26FF">
          <w:rPr>
            <w:noProof/>
            <w:webHidden/>
            <w:sz w:val="28"/>
            <w:szCs w:val="28"/>
          </w:rPr>
          <w:instrText xml:space="preserve"> PAGEREF _Toc431072748 \h </w:instrText>
        </w:r>
        <w:r w:rsidR="00EC26FF" w:rsidRPr="00EC26FF">
          <w:rPr>
            <w:noProof/>
            <w:webHidden/>
            <w:sz w:val="28"/>
            <w:szCs w:val="28"/>
          </w:rPr>
        </w:r>
        <w:r w:rsidR="00EC26FF" w:rsidRPr="00EC26FF">
          <w:rPr>
            <w:noProof/>
            <w:webHidden/>
            <w:sz w:val="28"/>
            <w:szCs w:val="28"/>
          </w:rPr>
          <w:fldChar w:fldCharType="separate"/>
        </w:r>
        <w:r w:rsidR="00DA394E">
          <w:rPr>
            <w:noProof/>
            <w:webHidden/>
            <w:sz w:val="28"/>
            <w:szCs w:val="28"/>
          </w:rPr>
          <w:t>167</w:t>
        </w:r>
        <w:r w:rsidR="00EC26FF" w:rsidRPr="00EC26FF">
          <w:rPr>
            <w:noProof/>
            <w:webHidden/>
            <w:sz w:val="28"/>
            <w:szCs w:val="28"/>
          </w:rPr>
          <w:fldChar w:fldCharType="end"/>
        </w:r>
      </w:hyperlink>
    </w:p>
    <w:p w14:paraId="5E7B4A44" w14:textId="77777777" w:rsidR="00EC26FF" w:rsidRPr="00EC26FF" w:rsidRDefault="00EE5529">
      <w:pPr>
        <w:pStyle w:val="11"/>
        <w:rPr>
          <w:rFonts w:asciiTheme="minorHAnsi" w:eastAsiaTheme="minorEastAsia" w:hAnsiTheme="minorHAnsi" w:cstheme="minorBidi"/>
          <w:noProof/>
          <w:sz w:val="28"/>
          <w:szCs w:val="28"/>
        </w:rPr>
      </w:pPr>
      <w:hyperlink w:anchor="_Toc431072749" w:history="1">
        <w:r w:rsidR="00EC26FF" w:rsidRPr="00EC26FF">
          <w:rPr>
            <w:rStyle w:val="ab"/>
            <w:rFonts w:hint="eastAsia"/>
            <w:noProof/>
            <w:sz w:val="28"/>
            <w:szCs w:val="28"/>
          </w:rPr>
          <w:t>第</w:t>
        </w:r>
        <w:r w:rsidR="00EC26FF" w:rsidRPr="00EC26FF">
          <w:rPr>
            <w:rStyle w:val="ab"/>
            <w:noProof/>
            <w:sz w:val="28"/>
            <w:szCs w:val="28"/>
          </w:rPr>
          <w:t>33</w:t>
        </w:r>
        <w:r w:rsidR="00EC26FF" w:rsidRPr="00EC26FF">
          <w:rPr>
            <w:rStyle w:val="ab"/>
            <w:rFonts w:hint="eastAsia"/>
            <w:noProof/>
            <w:sz w:val="28"/>
            <w:szCs w:val="28"/>
          </w:rPr>
          <w:t>條　非法麻醉藥品及精神藥物</w:t>
        </w:r>
        <w:r w:rsidR="00EC26FF" w:rsidRPr="00EC26FF">
          <w:rPr>
            <w:noProof/>
            <w:webHidden/>
            <w:sz w:val="28"/>
            <w:szCs w:val="28"/>
          </w:rPr>
          <w:tab/>
        </w:r>
        <w:r w:rsidR="00EC26FF" w:rsidRPr="00EC26FF">
          <w:rPr>
            <w:noProof/>
            <w:webHidden/>
            <w:sz w:val="28"/>
            <w:szCs w:val="28"/>
          </w:rPr>
          <w:fldChar w:fldCharType="begin"/>
        </w:r>
        <w:r w:rsidR="00EC26FF" w:rsidRPr="00EC26FF">
          <w:rPr>
            <w:noProof/>
            <w:webHidden/>
            <w:sz w:val="28"/>
            <w:szCs w:val="28"/>
          </w:rPr>
          <w:instrText xml:space="preserve"> PAGEREF _Toc431072749 \h </w:instrText>
        </w:r>
        <w:r w:rsidR="00EC26FF" w:rsidRPr="00EC26FF">
          <w:rPr>
            <w:noProof/>
            <w:webHidden/>
            <w:sz w:val="28"/>
            <w:szCs w:val="28"/>
          </w:rPr>
        </w:r>
        <w:r w:rsidR="00EC26FF" w:rsidRPr="00EC26FF">
          <w:rPr>
            <w:noProof/>
            <w:webHidden/>
            <w:sz w:val="28"/>
            <w:szCs w:val="28"/>
          </w:rPr>
          <w:fldChar w:fldCharType="separate"/>
        </w:r>
        <w:r w:rsidR="00DA394E">
          <w:rPr>
            <w:noProof/>
            <w:webHidden/>
            <w:sz w:val="28"/>
            <w:szCs w:val="28"/>
          </w:rPr>
          <w:t>174</w:t>
        </w:r>
        <w:r w:rsidR="00EC26FF" w:rsidRPr="00EC26FF">
          <w:rPr>
            <w:noProof/>
            <w:webHidden/>
            <w:sz w:val="28"/>
            <w:szCs w:val="28"/>
          </w:rPr>
          <w:fldChar w:fldCharType="end"/>
        </w:r>
      </w:hyperlink>
    </w:p>
    <w:p w14:paraId="3ADCFE4D" w14:textId="77777777" w:rsidR="00EC26FF" w:rsidRPr="00EC26FF" w:rsidRDefault="00EE5529">
      <w:pPr>
        <w:pStyle w:val="11"/>
        <w:rPr>
          <w:rFonts w:asciiTheme="minorHAnsi" w:eastAsiaTheme="minorEastAsia" w:hAnsiTheme="minorHAnsi" w:cstheme="minorBidi"/>
          <w:noProof/>
          <w:sz w:val="28"/>
          <w:szCs w:val="28"/>
        </w:rPr>
      </w:pPr>
      <w:hyperlink w:anchor="_Toc431072750" w:history="1">
        <w:r w:rsidR="00EC26FF" w:rsidRPr="00EC26FF">
          <w:rPr>
            <w:rStyle w:val="ab"/>
            <w:rFonts w:hint="eastAsia"/>
            <w:noProof/>
            <w:sz w:val="28"/>
            <w:szCs w:val="28"/>
          </w:rPr>
          <w:t>第</w:t>
        </w:r>
        <w:r w:rsidR="00EC26FF" w:rsidRPr="00EC26FF">
          <w:rPr>
            <w:rStyle w:val="ab"/>
            <w:noProof/>
            <w:sz w:val="28"/>
            <w:szCs w:val="28"/>
          </w:rPr>
          <w:t>34</w:t>
        </w:r>
        <w:r w:rsidR="00EC26FF" w:rsidRPr="00EC26FF">
          <w:rPr>
            <w:rStyle w:val="ab"/>
            <w:rFonts w:hint="eastAsia"/>
            <w:noProof/>
            <w:sz w:val="28"/>
            <w:szCs w:val="28"/>
          </w:rPr>
          <w:t>條　性剝削</w:t>
        </w:r>
        <w:r w:rsidR="00EC26FF" w:rsidRPr="00EC26FF">
          <w:rPr>
            <w:noProof/>
            <w:webHidden/>
            <w:sz w:val="28"/>
            <w:szCs w:val="28"/>
          </w:rPr>
          <w:tab/>
        </w:r>
        <w:r w:rsidR="00EC26FF" w:rsidRPr="00EC26FF">
          <w:rPr>
            <w:noProof/>
            <w:webHidden/>
            <w:sz w:val="28"/>
            <w:szCs w:val="28"/>
          </w:rPr>
          <w:fldChar w:fldCharType="begin"/>
        </w:r>
        <w:r w:rsidR="00EC26FF" w:rsidRPr="00EC26FF">
          <w:rPr>
            <w:noProof/>
            <w:webHidden/>
            <w:sz w:val="28"/>
            <w:szCs w:val="28"/>
          </w:rPr>
          <w:instrText xml:space="preserve"> PAGEREF _Toc431072750 \h </w:instrText>
        </w:r>
        <w:r w:rsidR="00EC26FF" w:rsidRPr="00EC26FF">
          <w:rPr>
            <w:noProof/>
            <w:webHidden/>
            <w:sz w:val="28"/>
            <w:szCs w:val="28"/>
          </w:rPr>
        </w:r>
        <w:r w:rsidR="00EC26FF" w:rsidRPr="00EC26FF">
          <w:rPr>
            <w:noProof/>
            <w:webHidden/>
            <w:sz w:val="28"/>
            <w:szCs w:val="28"/>
          </w:rPr>
          <w:fldChar w:fldCharType="separate"/>
        </w:r>
        <w:r w:rsidR="00DA394E">
          <w:rPr>
            <w:noProof/>
            <w:webHidden/>
            <w:sz w:val="28"/>
            <w:szCs w:val="28"/>
          </w:rPr>
          <w:t>182</w:t>
        </w:r>
        <w:r w:rsidR="00EC26FF" w:rsidRPr="00EC26FF">
          <w:rPr>
            <w:noProof/>
            <w:webHidden/>
            <w:sz w:val="28"/>
            <w:szCs w:val="28"/>
          </w:rPr>
          <w:fldChar w:fldCharType="end"/>
        </w:r>
      </w:hyperlink>
    </w:p>
    <w:p w14:paraId="4B14A384" w14:textId="77777777" w:rsidR="00EC26FF" w:rsidRPr="00EC26FF" w:rsidRDefault="00EE5529">
      <w:pPr>
        <w:pStyle w:val="11"/>
        <w:rPr>
          <w:rFonts w:asciiTheme="minorHAnsi" w:eastAsiaTheme="minorEastAsia" w:hAnsiTheme="minorHAnsi" w:cstheme="minorBidi"/>
          <w:noProof/>
          <w:sz w:val="28"/>
          <w:szCs w:val="28"/>
        </w:rPr>
      </w:pPr>
      <w:hyperlink w:anchor="_Toc431072751" w:history="1">
        <w:r w:rsidR="00EC26FF" w:rsidRPr="00EC26FF">
          <w:rPr>
            <w:rStyle w:val="ab"/>
            <w:rFonts w:hint="eastAsia"/>
            <w:noProof/>
            <w:sz w:val="28"/>
            <w:szCs w:val="28"/>
          </w:rPr>
          <w:t>第</w:t>
        </w:r>
        <w:r w:rsidR="00EC26FF" w:rsidRPr="00EC26FF">
          <w:rPr>
            <w:rStyle w:val="ab"/>
            <w:noProof/>
            <w:sz w:val="28"/>
            <w:szCs w:val="28"/>
          </w:rPr>
          <w:t>35</w:t>
        </w:r>
        <w:r w:rsidR="00EC26FF" w:rsidRPr="00EC26FF">
          <w:rPr>
            <w:rStyle w:val="ab"/>
            <w:rFonts w:hint="eastAsia"/>
            <w:noProof/>
            <w:sz w:val="28"/>
            <w:szCs w:val="28"/>
          </w:rPr>
          <w:t>條　誘拐、買賣或販運</w:t>
        </w:r>
        <w:r w:rsidR="00EC26FF" w:rsidRPr="00EC26FF">
          <w:rPr>
            <w:noProof/>
            <w:webHidden/>
            <w:sz w:val="28"/>
            <w:szCs w:val="28"/>
          </w:rPr>
          <w:tab/>
        </w:r>
        <w:r w:rsidR="00EC26FF" w:rsidRPr="00EC26FF">
          <w:rPr>
            <w:noProof/>
            <w:webHidden/>
            <w:sz w:val="28"/>
            <w:szCs w:val="28"/>
          </w:rPr>
          <w:fldChar w:fldCharType="begin"/>
        </w:r>
        <w:r w:rsidR="00EC26FF" w:rsidRPr="00EC26FF">
          <w:rPr>
            <w:noProof/>
            <w:webHidden/>
            <w:sz w:val="28"/>
            <w:szCs w:val="28"/>
          </w:rPr>
          <w:instrText xml:space="preserve"> PAGEREF _Toc431072751 \h </w:instrText>
        </w:r>
        <w:r w:rsidR="00EC26FF" w:rsidRPr="00EC26FF">
          <w:rPr>
            <w:noProof/>
            <w:webHidden/>
            <w:sz w:val="28"/>
            <w:szCs w:val="28"/>
          </w:rPr>
        </w:r>
        <w:r w:rsidR="00EC26FF" w:rsidRPr="00EC26FF">
          <w:rPr>
            <w:noProof/>
            <w:webHidden/>
            <w:sz w:val="28"/>
            <w:szCs w:val="28"/>
          </w:rPr>
          <w:fldChar w:fldCharType="separate"/>
        </w:r>
        <w:r w:rsidR="00DA394E">
          <w:rPr>
            <w:noProof/>
            <w:webHidden/>
            <w:sz w:val="28"/>
            <w:szCs w:val="28"/>
          </w:rPr>
          <w:t>187</w:t>
        </w:r>
        <w:r w:rsidR="00EC26FF" w:rsidRPr="00EC26FF">
          <w:rPr>
            <w:noProof/>
            <w:webHidden/>
            <w:sz w:val="28"/>
            <w:szCs w:val="28"/>
          </w:rPr>
          <w:fldChar w:fldCharType="end"/>
        </w:r>
      </w:hyperlink>
    </w:p>
    <w:p w14:paraId="71D1ED18" w14:textId="77777777" w:rsidR="00EC26FF" w:rsidRPr="00EC26FF" w:rsidRDefault="00EE5529">
      <w:pPr>
        <w:pStyle w:val="11"/>
        <w:rPr>
          <w:rFonts w:asciiTheme="minorHAnsi" w:eastAsiaTheme="minorEastAsia" w:hAnsiTheme="minorHAnsi" w:cstheme="minorBidi"/>
          <w:noProof/>
          <w:sz w:val="28"/>
          <w:szCs w:val="28"/>
        </w:rPr>
      </w:pPr>
      <w:hyperlink w:anchor="_Toc431072752" w:history="1">
        <w:r w:rsidR="00EC26FF" w:rsidRPr="00EC26FF">
          <w:rPr>
            <w:rStyle w:val="ab"/>
            <w:rFonts w:hint="eastAsia"/>
            <w:noProof/>
            <w:sz w:val="28"/>
            <w:szCs w:val="28"/>
          </w:rPr>
          <w:t>第</w:t>
        </w:r>
        <w:r w:rsidR="00EC26FF" w:rsidRPr="00EC26FF">
          <w:rPr>
            <w:rStyle w:val="ab"/>
            <w:noProof/>
            <w:sz w:val="28"/>
            <w:szCs w:val="28"/>
          </w:rPr>
          <w:t>36</w:t>
        </w:r>
        <w:r w:rsidR="00EC26FF" w:rsidRPr="00EC26FF">
          <w:rPr>
            <w:rStyle w:val="ab"/>
            <w:rFonts w:hint="eastAsia"/>
            <w:noProof/>
            <w:sz w:val="28"/>
            <w:szCs w:val="28"/>
          </w:rPr>
          <w:t>條　任何形式之剝削</w:t>
        </w:r>
        <w:r w:rsidR="00EC26FF" w:rsidRPr="00EC26FF">
          <w:rPr>
            <w:noProof/>
            <w:webHidden/>
            <w:sz w:val="28"/>
            <w:szCs w:val="28"/>
          </w:rPr>
          <w:tab/>
        </w:r>
        <w:r w:rsidR="00EC26FF" w:rsidRPr="00EC26FF">
          <w:rPr>
            <w:noProof/>
            <w:webHidden/>
            <w:sz w:val="28"/>
            <w:szCs w:val="28"/>
          </w:rPr>
          <w:fldChar w:fldCharType="begin"/>
        </w:r>
        <w:r w:rsidR="00EC26FF" w:rsidRPr="00EC26FF">
          <w:rPr>
            <w:noProof/>
            <w:webHidden/>
            <w:sz w:val="28"/>
            <w:szCs w:val="28"/>
          </w:rPr>
          <w:instrText xml:space="preserve"> PAGEREF _Toc431072752 \h </w:instrText>
        </w:r>
        <w:r w:rsidR="00EC26FF" w:rsidRPr="00EC26FF">
          <w:rPr>
            <w:noProof/>
            <w:webHidden/>
            <w:sz w:val="28"/>
            <w:szCs w:val="28"/>
          </w:rPr>
        </w:r>
        <w:r w:rsidR="00EC26FF" w:rsidRPr="00EC26FF">
          <w:rPr>
            <w:noProof/>
            <w:webHidden/>
            <w:sz w:val="28"/>
            <w:szCs w:val="28"/>
          </w:rPr>
          <w:fldChar w:fldCharType="separate"/>
        </w:r>
        <w:r w:rsidR="00DA394E">
          <w:rPr>
            <w:noProof/>
            <w:webHidden/>
            <w:sz w:val="28"/>
            <w:szCs w:val="28"/>
          </w:rPr>
          <w:t>191</w:t>
        </w:r>
        <w:r w:rsidR="00EC26FF" w:rsidRPr="00EC26FF">
          <w:rPr>
            <w:noProof/>
            <w:webHidden/>
            <w:sz w:val="28"/>
            <w:szCs w:val="28"/>
          </w:rPr>
          <w:fldChar w:fldCharType="end"/>
        </w:r>
      </w:hyperlink>
    </w:p>
    <w:p w14:paraId="1D81B260" w14:textId="77777777" w:rsidR="00EC26FF" w:rsidRPr="00EC26FF" w:rsidRDefault="00EE5529">
      <w:pPr>
        <w:pStyle w:val="11"/>
        <w:rPr>
          <w:rFonts w:asciiTheme="minorHAnsi" w:eastAsiaTheme="minorEastAsia" w:hAnsiTheme="minorHAnsi" w:cstheme="minorBidi"/>
          <w:noProof/>
          <w:sz w:val="28"/>
          <w:szCs w:val="28"/>
        </w:rPr>
      </w:pPr>
      <w:hyperlink w:anchor="_Toc431072753" w:history="1">
        <w:r w:rsidR="00EC26FF" w:rsidRPr="00EC26FF">
          <w:rPr>
            <w:rStyle w:val="ab"/>
            <w:rFonts w:hint="eastAsia"/>
            <w:noProof/>
            <w:sz w:val="28"/>
            <w:szCs w:val="28"/>
          </w:rPr>
          <w:t>第</w:t>
        </w:r>
        <w:r w:rsidR="00EC26FF" w:rsidRPr="00EC26FF">
          <w:rPr>
            <w:rStyle w:val="ab"/>
            <w:noProof/>
            <w:sz w:val="28"/>
            <w:szCs w:val="28"/>
          </w:rPr>
          <w:t>37</w:t>
        </w:r>
        <w:r w:rsidR="00EC26FF" w:rsidRPr="00EC26FF">
          <w:rPr>
            <w:rStyle w:val="ab"/>
            <w:rFonts w:hint="eastAsia"/>
            <w:noProof/>
            <w:sz w:val="28"/>
            <w:szCs w:val="28"/>
          </w:rPr>
          <w:t>條　殘忍、不人道或有辱人格之待遇</w:t>
        </w:r>
        <w:r w:rsidR="00EC26FF" w:rsidRPr="00EC26FF">
          <w:rPr>
            <w:noProof/>
            <w:webHidden/>
            <w:sz w:val="28"/>
            <w:szCs w:val="28"/>
          </w:rPr>
          <w:tab/>
        </w:r>
        <w:r w:rsidR="00EC26FF" w:rsidRPr="00EC26FF">
          <w:rPr>
            <w:noProof/>
            <w:webHidden/>
            <w:sz w:val="28"/>
            <w:szCs w:val="28"/>
          </w:rPr>
          <w:fldChar w:fldCharType="begin"/>
        </w:r>
        <w:r w:rsidR="00EC26FF" w:rsidRPr="00EC26FF">
          <w:rPr>
            <w:noProof/>
            <w:webHidden/>
            <w:sz w:val="28"/>
            <w:szCs w:val="28"/>
          </w:rPr>
          <w:instrText xml:space="preserve"> PAGEREF _Toc431072753 \h </w:instrText>
        </w:r>
        <w:r w:rsidR="00EC26FF" w:rsidRPr="00EC26FF">
          <w:rPr>
            <w:noProof/>
            <w:webHidden/>
            <w:sz w:val="28"/>
            <w:szCs w:val="28"/>
          </w:rPr>
        </w:r>
        <w:r w:rsidR="00EC26FF" w:rsidRPr="00EC26FF">
          <w:rPr>
            <w:noProof/>
            <w:webHidden/>
            <w:sz w:val="28"/>
            <w:szCs w:val="28"/>
          </w:rPr>
          <w:fldChar w:fldCharType="separate"/>
        </w:r>
        <w:r w:rsidR="00DA394E">
          <w:rPr>
            <w:noProof/>
            <w:webHidden/>
            <w:sz w:val="28"/>
            <w:szCs w:val="28"/>
          </w:rPr>
          <w:t>195</w:t>
        </w:r>
        <w:r w:rsidR="00EC26FF" w:rsidRPr="00EC26FF">
          <w:rPr>
            <w:noProof/>
            <w:webHidden/>
            <w:sz w:val="28"/>
            <w:szCs w:val="28"/>
          </w:rPr>
          <w:fldChar w:fldCharType="end"/>
        </w:r>
      </w:hyperlink>
    </w:p>
    <w:p w14:paraId="13A4BBB5" w14:textId="77777777" w:rsidR="00EC26FF" w:rsidRPr="00EC26FF" w:rsidRDefault="00EE5529">
      <w:pPr>
        <w:pStyle w:val="11"/>
        <w:rPr>
          <w:rFonts w:asciiTheme="minorHAnsi" w:eastAsiaTheme="minorEastAsia" w:hAnsiTheme="minorHAnsi" w:cstheme="minorBidi"/>
          <w:noProof/>
          <w:sz w:val="28"/>
          <w:szCs w:val="28"/>
        </w:rPr>
      </w:pPr>
      <w:hyperlink w:anchor="_Toc431072754" w:history="1">
        <w:r w:rsidR="00EC26FF" w:rsidRPr="00EC26FF">
          <w:rPr>
            <w:rStyle w:val="ab"/>
            <w:rFonts w:hint="eastAsia"/>
            <w:noProof/>
            <w:sz w:val="28"/>
            <w:szCs w:val="28"/>
          </w:rPr>
          <w:t>第</w:t>
        </w:r>
        <w:r w:rsidR="00EC26FF" w:rsidRPr="00EC26FF">
          <w:rPr>
            <w:rStyle w:val="ab"/>
            <w:noProof/>
            <w:sz w:val="28"/>
            <w:szCs w:val="28"/>
          </w:rPr>
          <w:t>38</w:t>
        </w:r>
        <w:r w:rsidR="00EC26FF" w:rsidRPr="00EC26FF">
          <w:rPr>
            <w:rStyle w:val="ab"/>
            <w:rFonts w:hint="eastAsia"/>
            <w:noProof/>
            <w:sz w:val="28"/>
            <w:szCs w:val="28"/>
          </w:rPr>
          <w:t>條　武裝衝突</w:t>
        </w:r>
        <w:r w:rsidR="00EC26FF" w:rsidRPr="00EC26FF">
          <w:rPr>
            <w:noProof/>
            <w:webHidden/>
            <w:sz w:val="28"/>
            <w:szCs w:val="28"/>
          </w:rPr>
          <w:tab/>
        </w:r>
        <w:r w:rsidR="00EC26FF" w:rsidRPr="00EC26FF">
          <w:rPr>
            <w:noProof/>
            <w:webHidden/>
            <w:sz w:val="28"/>
            <w:szCs w:val="28"/>
          </w:rPr>
          <w:fldChar w:fldCharType="begin"/>
        </w:r>
        <w:r w:rsidR="00EC26FF" w:rsidRPr="00EC26FF">
          <w:rPr>
            <w:noProof/>
            <w:webHidden/>
            <w:sz w:val="28"/>
            <w:szCs w:val="28"/>
          </w:rPr>
          <w:instrText xml:space="preserve"> PAGEREF _Toc431072754 \h </w:instrText>
        </w:r>
        <w:r w:rsidR="00EC26FF" w:rsidRPr="00EC26FF">
          <w:rPr>
            <w:noProof/>
            <w:webHidden/>
            <w:sz w:val="28"/>
            <w:szCs w:val="28"/>
          </w:rPr>
        </w:r>
        <w:r w:rsidR="00EC26FF" w:rsidRPr="00EC26FF">
          <w:rPr>
            <w:noProof/>
            <w:webHidden/>
            <w:sz w:val="28"/>
            <w:szCs w:val="28"/>
          </w:rPr>
          <w:fldChar w:fldCharType="separate"/>
        </w:r>
        <w:r w:rsidR="00DA394E">
          <w:rPr>
            <w:noProof/>
            <w:webHidden/>
            <w:sz w:val="28"/>
            <w:szCs w:val="28"/>
          </w:rPr>
          <w:t>202</w:t>
        </w:r>
        <w:r w:rsidR="00EC26FF" w:rsidRPr="00EC26FF">
          <w:rPr>
            <w:noProof/>
            <w:webHidden/>
            <w:sz w:val="28"/>
            <w:szCs w:val="28"/>
          </w:rPr>
          <w:fldChar w:fldCharType="end"/>
        </w:r>
      </w:hyperlink>
    </w:p>
    <w:p w14:paraId="31C1D663" w14:textId="77777777" w:rsidR="00EC26FF" w:rsidRPr="00EC26FF" w:rsidRDefault="00EE5529">
      <w:pPr>
        <w:pStyle w:val="11"/>
        <w:rPr>
          <w:rFonts w:asciiTheme="minorHAnsi" w:eastAsiaTheme="minorEastAsia" w:hAnsiTheme="minorHAnsi" w:cstheme="minorBidi"/>
          <w:noProof/>
          <w:sz w:val="28"/>
          <w:szCs w:val="28"/>
        </w:rPr>
      </w:pPr>
      <w:hyperlink w:anchor="_Toc431072755" w:history="1">
        <w:r w:rsidR="00EC26FF" w:rsidRPr="00EC26FF">
          <w:rPr>
            <w:rStyle w:val="ab"/>
            <w:rFonts w:hint="eastAsia"/>
            <w:noProof/>
            <w:sz w:val="28"/>
            <w:szCs w:val="28"/>
          </w:rPr>
          <w:t>第</w:t>
        </w:r>
        <w:r w:rsidR="00EC26FF" w:rsidRPr="00EC26FF">
          <w:rPr>
            <w:rStyle w:val="ab"/>
            <w:noProof/>
            <w:sz w:val="28"/>
            <w:szCs w:val="28"/>
          </w:rPr>
          <w:t>39</w:t>
        </w:r>
        <w:r w:rsidR="00EC26FF" w:rsidRPr="00EC26FF">
          <w:rPr>
            <w:rStyle w:val="ab"/>
            <w:rFonts w:hint="eastAsia"/>
            <w:noProof/>
            <w:sz w:val="28"/>
            <w:szCs w:val="28"/>
          </w:rPr>
          <w:t>條　被害兒童之康復與重返社會</w:t>
        </w:r>
        <w:r w:rsidR="00EC26FF" w:rsidRPr="00EC26FF">
          <w:rPr>
            <w:noProof/>
            <w:webHidden/>
            <w:sz w:val="28"/>
            <w:szCs w:val="28"/>
          </w:rPr>
          <w:tab/>
        </w:r>
        <w:r w:rsidR="00EC26FF" w:rsidRPr="00EC26FF">
          <w:rPr>
            <w:noProof/>
            <w:webHidden/>
            <w:sz w:val="28"/>
            <w:szCs w:val="28"/>
          </w:rPr>
          <w:fldChar w:fldCharType="begin"/>
        </w:r>
        <w:r w:rsidR="00EC26FF" w:rsidRPr="00EC26FF">
          <w:rPr>
            <w:noProof/>
            <w:webHidden/>
            <w:sz w:val="28"/>
            <w:szCs w:val="28"/>
          </w:rPr>
          <w:instrText xml:space="preserve"> PAGEREF _Toc431072755 \h </w:instrText>
        </w:r>
        <w:r w:rsidR="00EC26FF" w:rsidRPr="00EC26FF">
          <w:rPr>
            <w:noProof/>
            <w:webHidden/>
            <w:sz w:val="28"/>
            <w:szCs w:val="28"/>
          </w:rPr>
        </w:r>
        <w:r w:rsidR="00EC26FF" w:rsidRPr="00EC26FF">
          <w:rPr>
            <w:noProof/>
            <w:webHidden/>
            <w:sz w:val="28"/>
            <w:szCs w:val="28"/>
          </w:rPr>
          <w:fldChar w:fldCharType="separate"/>
        </w:r>
        <w:r w:rsidR="00DA394E">
          <w:rPr>
            <w:noProof/>
            <w:webHidden/>
            <w:sz w:val="28"/>
            <w:szCs w:val="28"/>
          </w:rPr>
          <w:t>208</w:t>
        </w:r>
        <w:r w:rsidR="00EC26FF" w:rsidRPr="00EC26FF">
          <w:rPr>
            <w:noProof/>
            <w:webHidden/>
            <w:sz w:val="28"/>
            <w:szCs w:val="28"/>
          </w:rPr>
          <w:fldChar w:fldCharType="end"/>
        </w:r>
      </w:hyperlink>
    </w:p>
    <w:p w14:paraId="744A6050" w14:textId="77777777" w:rsidR="00EC26FF" w:rsidRPr="00EC26FF" w:rsidRDefault="00EE5529">
      <w:pPr>
        <w:pStyle w:val="11"/>
        <w:rPr>
          <w:rFonts w:asciiTheme="minorHAnsi" w:eastAsiaTheme="minorEastAsia" w:hAnsiTheme="minorHAnsi" w:cstheme="minorBidi"/>
          <w:noProof/>
          <w:sz w:val="28"/>
          <w:szCs w:val="28"/>
        </w:rPr>
      </w:pPr>
      <w:hyperlink w:anchor="_Toc431072756" w:history="1">
        <w:r w:rsidR="00EC26FF" w:rsidRPr="00EC26FF">
          <w:rPr>
            <w:rStyle w:val="ab"/>
            <w:rFonts w:hint="eastAsia"/>
            <w:noProof/>
            <w:sz w:val="28"/>
            <w:szCs w:val="28"/>
          </w:rPr>
          <w:t>第</w:t>
        </w:r>
        <w:r w:rsidR="00EC26FF" w:rsidRPr="00EC26FF">
          <w:rPr>
            <w:rStyle w:val="ab"/>
            <w:noProof/>
            <w:sz w:val="28"/>
            <w:szCs w:val="28"/>
          </w:rPr>
          <w:t>40</w:t>
        </w:r>
        <w:r w:rsidR="00EC26FF" w:rsidRPr="00EC26FF">
          <w:rPr>
            <w:rStyle w:val="ab"/>
            <w:rFonts w:hint="eastAsia"/>
            <w:noProof/>
            <w:sz w:val="28"/>
            <w:szCs w:val="28"/>
          </w:rPr>
          <w:t>條　刑事司法</w:t>
        </w:r>
        <w:r w:rsidR="00EC26FF" w:rsidRPr="00EC26FF">
          <w:rPr>
            <w:noProof/>
            <w:webHidden/>
            <w:sz w:val="28"/>
            <w:szCs w:val="28"/>
          </w:rPr>
          <w:tab/>
        </w:r>
        <w:r w:rsidR="00EC26FF" w:rsidRPr="00EC26FF">
          <w:rPr>
            <w:noProof/>
            <w:webHidden/>
            <w:sz w:val="28"/>
            <w:szCs w:val="28"/>
          </w:rPr>
          <w:fldChar w:fldCharType="begin"/>
        </w:r>
        <w:r w:rsidR="00EC26FF" w:rsidRPr="00EC26FF">
          <w:rPr>
            <w:noProof/>
            <w:webHidden/>
            <w:sz w:val="28"/>
            <w:szCs w:val="28"/>
          </w:rPr>
          <w:instrText xml:space="preserve"> PAGEREF _Toc431072756 \h </w:instrText>
        </w:r>
        <w:r w:rsidR="00EC26FF" w:rsidRPr="00EC26FF">
          <w:rPr>
            <w:noProof/>
            <w:webHidden/>
            <w:sz w:val="28"/>
            <w:szCs w:val="28"/>
          </w:rPr>
        </w:r>
        <w:r w:rsidR="00EC26FF" w:rsidRPr="00EC26FF">
          <w:rPr>
            <w:noProof/>
            <w:webHidden/>
            <w:sz w:val="28"/>
            <w:szCs w:val="28"/>
          </w:rPr>
          <w:fldChar w:fldCharType="separate"/>
        </w:r>
        <w:r w:rsidR="00DA394E">
          <w:rPr>
            <w:noProof/>
            <w:webHidden/>
            <w:sz w:val="28"/>
            <w:szCs w:val="28"/>
          </w:rPr>
          <w:t>213</w:t>
        </w:r>
        <w:r w:rsidR="00EC26FF" w:rsidRPr="00EC26FF">
          <w:rPr>
            <w:noProof/>
            <w:webHidden/>
            <w:sz w:val="28"/>
            <w:szCs w:val="28"/>
          </w:rPr>
          <w:fldChar w:fldCharType="end"/>
        </w:r>
      </w:hyperlink>
    </w:p>
    <w:p w14:paraId="645DE0C9" w14:textId="77777777" w:rsidR="007C1E25" w:rsidRPr="005E758A" w:rsidRDefault="00371A18" w:rsidP="007C1E25">
      <w:pPr>
        <w:rPr>
          <w:sz w:val="28"/>
          <w:szCs w:val="28"/>
        </w:rPr>
      </w:pPr>
      <w:r w:rsidRPr="00EC26FF">
        <w:rPr>
          <w:sz w:val="28"/>
          <w:szCs w:val="28"/>
        </w:rPr>
        <w:fldChar w:fldCharType="end"/>
      </w:r>
    </w:p>
    <w:p w14:paraId="00856573" w14:textId="77777777" w:rsidR="007C1E25" w:rsidRPr="005E758A" w:rsidRDefault="007C1E25" w:rsidP="007C1E25">
      <w:pPr>
        <w:rPr>
          <w:sz w:val="28"/>
          <w:szCs w:val="28"/>
        </w:rPr>
        <w:sectPr w:rsidR="007C1E25" w:rsidRPr="005E758A" w:rsidSect="006075E6">
          <w:footnotePr>
            <w:numRestart w:val="eachSect"/>
          </w:footnotePr>
          <w:endnotePr>
            <w:numFmt w:val="decimal"/>
            <w:numRestart w:val="eachSect"/>
          </w:endnotePr>
          <w:pgSz w:w="11906" w:h="16838"/>
          <w:pgMar w:top="1440" w:right="1797" w:bottom="1440" w:left="1797" w:header="851" w:footer="992" w:gutter="0"/>
          <w:pgNumType w:start="1"/>
          <w:cols w:space="425"/>
          <w:docGrid w:linePitch="360"/>
        </w:sectPr>
      </w:pPr>
    </w:p>
    <w:p w14:paraId="1891ABDF" w14:textId="77777777" w:rsidR="006075E6" w:rsidRPr="005E758A" w:rsidRDefault="006075E6" w:rsidP="006075E6">
      <w:pPr>
        <w:pStyle w:val="1"/>
      </w:pPr>
      <w:bookmarkStart w:id="1" w:name="_Toc427238525"/>
      <w:bookmarkStart w:id="2" w:name="_Toc431072716"/>
      <w:bookmarkStart w:id="3" w:name="_Toc427238526"/>
      <w:r w:rsidRPr="005E758A">
        <w:lastRenderedPageBreak/>
        <w:t>逐條要義撰寫總說明</w:t>
      </w:r>
      <w:bookmarkEnd w:id="1"/>
      <w:bookmarkEnd w:id="2"/>
    </w:p>
    <w:p w14:paraId="277B3B3E" w14:textId="77777777" w:rsidR="006075E6" w:rsidRPr="005E758A" w:rsidRDefault="006075E6" w:rsidP="006075E6">
      <w:pPr>
        <w:snapToGrid w:val="0"/>
        <w:spacing w:before="100" w:beforeAutospacing="1" w:after="100" w:afterAutospacing="1"/>
        <w:ind w:firstLineChars="200" w:firstLine="560"/>
        <w:jc w:val="both"/>
        <w:rPr>
          <w:sz w:val="28"/>
          <w:szCs w:val="28"/>
        </w:rPr>
      </w:pPr>
      <w:r w:rsidRPr="005E758A">
        <w:rPr>
          <w:sz w:val="28"/>
          <w:szCs w:val="28"/>
        </w:rPr>
        <w:t>我國立法院於民國</w:t>
      </w:r>
      <w:r w:rsidRPr="005E758A">
        <w:rPr>
          <w:sz w:val="28"/>
          <w:szCs w:val="28"/>
        </w:rPr>
        <w:t>103</w:t>
      </w:r>
      <w:r w:rsidRPr="005E758A">
        <w:rPr>
          <w:sz w:val="28"/>
          <w:szCs w:val="28"/>
        </w:rPr>
        <w:t>年</w:t>
      </w:r>
      <w:r w:rsidRPr="005E758A">
        <w:rPr>
          <w:sz w:val="28"/>
          <w:szCs w:val="28"/>
        </w:rPr>
        <w:t>5</w:t>
      </w:r>
      <w:r w:rsidRPr="005E758A">
        <w:rPr>
          <w:sz w:val="28"/>
          <w:szCs w:val="28"/>
        </w:rPr>
        <w:t>月</w:t>
      </w:r>
      <w:r w:rsidRPr="005E758A">
        <w:rPr>
          <w:sz w:val="28"/>
          <w:szCs w:val="28"/>
        </w:rPr>
        <w:t>20</w:t>
      </w:r>
      <w:r w:rsidRPr="005E758A">
        <w:rPr>
          <w:sz w:val="28"/>
          <w:szCs w:val="28"/>
        </w:rPr>
        <w:t>日三讀通過兒童權利公約施行法，</w:t>
      </w:r>
      <w:r w:rsidRPr="005E758A">
        <w:rPr>
          <w:sz w:val="28"/>
          <w:szCs w:val="28"/>
        </w:rPr>
        <w:t>6</w:t>
      </w:r>
      <w:r w:rsidRPr="005E758A">
        <w:rPr>
          <w:sz w:val="28"/>
          <w:szCs w:val="28"/>
        </w:rPr>
        <w:t>月</w:t>
      </w:r>
      <w:r w:rsidRPr="005E758A">
        <w:rPr>
          <w:sz w:val="28"/>
          <w:szCs w:val="28"/>
        </w:rPr>
        <w:t>4</w:t>
      </w:r>
      <w:r w:rsidRPr="005E758A">
        <w:rPr>
          <w:sz w:val="28"/>
          <w:szCs w:val="28"/>
        </w:rPr>
        <w:t>日總統公布全文</w:t>
      </w:r>
      <w:r w:rsidRPr="005E758A">
        <w:rPr>
          <w:sz w:val="28"/>
          <w:szCs w:val="28"/>
        </w:rPr>
        <w:t>10</w:t>
      </w:r>
      <w:r w:rsidRPr="005E758A">
        <w:rPr>
          <w:sz w:val="28"/>
          <w:szCs w:val="28"/>
        </w:rPr>
        <w:t>條，並自</w:t>
      </w:r>
      <w:r w:rsidRPr="005E758A">
        <w:rPr>
          <w:sz w:val="28"/>
          <w:szCs w:val="28"/>
        </w:rPr>
        <w:t>11</w:t>
      </w:r>
      <w:r w:rsidRPr="005E758A">
        <w:rPr>
          <w:sz w:val="28"/>
          <w:szCs w:val="28"/>
        </w:rPr>
        <w:t>月</w:t>
      </w:r>
      <w:r w:rsidRPr="005E758A">
        <w:rPr>
          <w:sz w:val="28"/>
          <w:szCs w:val="28"/>
        </w:rPr>
        <w:t>20</w:t>
      </w:r>
      <w:r w:rsidRPr="005E758A">
        <w:rPr>
          <w:sz w:val="28"/>
          <w:szCs w:val="28"/>
        </w:rPr>
        <w:t>日世界兒童日施行，落實保障及促進兒童權利。本逐條要義說明旨在提供公約條文明確易讀之解釋，以供各部門參照。逐條要義說明之範圍為第</w:t>
      </w:r>
      <w:r w:rsidRPr="005E758A">
        <w:rPr>
          <w:sz w:val="28"/>
          <w:szCs w:val="28"/>
        </w:rPr>
        <w:t>1</w:t>
      </w:r>
      <w:r w:rsidRPr="005E758A">
        <w:rPr>
          <w:sz w:val="28"/>
          <w:szCs w:val="28"/>
        </w:rPr>
        <w:t>條至第</w:t>
      </w:r>
      <w:r w:rsidRPr="005E758A">
        <w:rPr>
          <w:sz w:val="28"/>
          <w:szCs w:val="28"/>
        </w:rPr>
        <w:t>40</w:t>
      </w:r>
      <w:r w:rsidRPr="005E758A">
        <w:rPr>
          <w:sz w:val="28"/>
          <w:szCs w:val="28"/>
        </w:rPr>
        <w:t>條關於兒童之具體權利。第</w:t>
      </w:r>
      <w:r w:rsidRPr="005E758A">
        <w:rPr>
          <w:sz w:val="28"/>
          <w:szCs w:val="28"/>
        </w:rPr>
        <w:t>41</w:t>
      </w:r>
      <w:r w:rsidRPr="005E758A">
        <w:rPr>
          <w:sz w:val="28"/>
          <w:szCs w:val="28"/>
        </w:rPr>
        <w:t>條以後為程序性規定，由於我國目前非聯合國成員，不具關聯性，故不在逐條要義說明之範圍。</w:t>
      </w:r>
    </w:p>
    <w:p w14:paraId="3D9C8577" w14:textId="77777777" w:rsidR="006075E6" w:rsidRPr="005E758A" w:rsidRDefault="006075E6" w:rsidP="006075E6">
      <w:pPr>
        <w:snapToGrid w:val="0"/>
        <w:spacing w:before="100" w:beforeAutospacing="1" w:after="100" w:afterAutospacing="1"/>
        <w:ind w:firstLineChars="200" w:firstLine="560"/>
        <w:jc w:val="both"/>
        <w:rPr>
          <w:sz w:val="28"/>
          <w:szCs w:val="28"/>
        </w:rPr>
      </w:pPr>
      <w:r w:rsidRPr="005E758A">
        <w:rPr>
          <w:sz w:val="28"/>
          <w:szCs w:val="28"/>
        </w:rPr>
        <w:t>本逐條要義之資料來源包括：</w:t>
      </w:r>
    </w:p>
    <w:p w14:paraId="38B8F073" w14:textId="77777777" w:rsidR="006075E6" w:rsidRPr="005E758A" w:rsidRDefault="006075E6" w:rsidP="006075E6">
      <w:pPr>
        <w:pStyle w:val="a0"/>
        <w:numPr>
          <w:ilvl w:val="0"/>
          <w:numId w:val="101"/>
        </w:numPr>
        <w:snapToGrid w:val="0"/>
        <w:spacing w:before="100" w:beforeAutospacing="1" w:after="100" w:afterAutospacing="1"/>
        <w:ind w:leftChars="0"/>
        <w:jc w:val="both"/>
        <w:rPr>
          <w:rFonts w:ascii="Times New Roman" w:eastAsia="標楷體" w:hAnsi="Times New Roman"/>
          <w:sz w:val="28"/>
          <w:szCs w:val="28"/>
        </w:rPr>
      </w:pPr>
      <w:r w:rsidRPr="005E758A">
        <w:rPr>
          <w:rFonts w:ascii="Times New Roman" w:eastAsia="標楷體" w:hAnsi="Times New Roman"/>
          <w:sz w:val="28"/>
          <w:szCs w:val="28"/>
        </w:rPr>
        <w:t>聯合國官方資料</w:t>
      </w:r>
    </w:p>
    <w:p w14:paraId="29ED2F37" w14:textId="77777777" w:rsidR="006075E6" w:rsidRPr="005E758A" w:rsidRDefault="006075E6" w:rsidP="006075E6">
      <w:pPr>
        <w:pStyle w:val="a0"/>
        <w:snapToGrid w:val="0"/>
        <w:spacing w:before="100" w:beforeAutospacing="1" w:after="100" w:afterAutospacing="1"/>
        <w:ind w:leftChars="0" w:left="920"/>
        <w:jc w:val="both"/>
        <w:rPr>
          <w:rFonts w:ascii="Times New Roman" w:eastAsia="標楷體" w:hAnsi="Times New Roman"/>
          <w:sz w:val="28"/>
          <w:szCs w:val="28"/>
        </w:rPr>
      </w:pPr>
      <w:r w:rsidRPr="005E758A">
        <w:rPr>
          <w:rFonts w:ascii="Times New Roman" w:eastAsia="標楷體" w:hAnsi="Times New Roman"/>
          <w:sz w:val="28"/>
          <w:szCs w:val="28"/>
        </w:rPr>
        <w:t>包括兒童權利委員會做成之一般性意見、審查國家報告後通過之結論性意見、提交首次報告及定期報告之準則、各屆會期報告等。公約立法歷史以及其它聯合國機構或單位相關報告亦在參考範圍之內。其中一般性意見目前共有</w:t>
      </w:r>
      <w:r w:rsidRPr="005E758A">
        <w:rPr>
          <w:rFonts w:ascii="Times New Roman" w:eastAsia="標楷體" w:hAnsi="Times New Roman"/>
          <w:sz w:val="28"/>
          <w:szCs w:val="28"/>
        </w:rPr>
        <w:t>18</w:t>
      </w:r>
      <w:r w:rsidRPr="005E758A">
        <w:rPr>
          <w:rFonts w:ascii="Times New Roman" w:eastAsia="標楷體" w:hAnsi="Times New Roman"/>
          <w:sz w:val="28"/>
          <w:szCs w:val="28"/>
        </w:rPr>
        <w:t>號，將於各相關條文要義說明中介紹。</w:t>
      </w:r>
    </w:p>
    <w:p w14:paraId="0B3916BE" w14:textId="77777777" w:rsidR="006075E6" w:rsidRPr="005E758A" w:rsidRDefault="006075E6" w:rsidP="006075E6">
      <w:pPr>
        <w:pStyle w:val="a0"/>
        <w:numPr>
          <w:ilvl w:val="0"/>
          <w:numId w:val="101"/>
        </w:numPr>
        <w:snapToGrid w:val="0"/>
        <w:spacing w:before="100" w:beforeAutospacing="1" w:after="100" w:afterAutospacing="1"/>
        <w:ind w:leftChars="0"/>
        <w:jc w:val="both"/>
        <w:rPr>
          <w:rFonts w:ascii="Times New Roman" w:eastAsia="標楷體" w:hAnsi="Times New Roman"/>
          <w:sz w:val="28"/>
          <w:szCs w:val="28"/>
        </w:rPr>
      </w:pPr>
      <w:r w:rsidRPr="005E758A">
        <w:rPr>
          <w:rFonts w:ascii="Times New Roman" w:eastAsia="標楷體" w:hAnsi="Times New Roman"/>
          <w:sz w:val="28"/>
          <w:szCs w:val="28"/>
        </w:rPr>
        <w:t>國際性、區域性及各國法院判決和立法例</w:t>
      </w:r>
    </w:p>
    <w:p w14:paraId="282A2E9F" w14:textId="77777777" w:rsidR="006075E6" w:rsidRPr="005E758A" w:rsidRDefault="00FA6B21" w:rsidP="006075E6">
      <w:pPr>
        <w:pStyle w:val="a0"/>
        <w:snapToGrid w:val="0"/>
        <w:spacing w:before="100" w:beforeAutospacing="1" w:after="100" w:afterAutospacing="1"/>
        <w:ind w:leftChars="0" w:left="920"/>
        <w:jc w:val="both"/>
        <w:rPr>
          <w:rFonts w:ascii="Times New Roman" w:eastAsia="標楷體" w:hAnsi="Times New Roman"/>
          <w:sz w:val="28"/>
          <w:szCs w:val="28"/>
        </w:rPr>
      </w:pPr>
      <w:r w:rsidRPr="005E758A">
        <w:rPr>
          <w:rFonts w:ascii="Times New Roman" w:eastAsia="標楷體" w:hAnsi="Times New Roman"/>
          <w:sz w:val="28"/>
          <w:szCs w:val="28"/>
        </w:rPr>
        <w:t>針對每條條文選擇一至二</w:t>
      </w:r>
      <w:r w:rsidR="006075E6" w:rsidRPr="005E758A">
        <w:rPr>
          <w:rFonts w:ascii="Times New Roman" w:eastAsia="標楷體" w:hAnsi="Times New Roman"/>
          <w:sz w:val="28"/>
          <w:szCs w:val="28"/>
        </w:rPr>
        <w:t>個</w:t>
      </w:r>
      <w:r w:rsidRPr="005E758A">
        <w:rPr>
          <w:rFonts w:ascii="Times New Roman" w:eastAsia="標楷體" w:hAnsi="Times New Roman"/>
          <w:sz w:val="28"/>
          <w:szCs w:val="28"/>
        </w:rPr>
        <w:t>具代表性</w:t>
      </w:r>
      <w:r w:rsidR="006075E6" w:rsidRPr="005E758A">
        <w:rPr>
          <w:rFonts w:ascii="Times New Roman" w:eastAsia="標楷體" w:hAnsi="Times New Roman"/>
          <w:sz w:val="28"/>
          <w:szCs w:val="28"/>
        </w:rPr>
        <w:t>案例，原則上以判決中有引用或討論公約各該條文之國際、區域及他國法院案例為主，選擇能增進讀者了解條文規定內涵及詮釋者，惟在研究資源及語言的限制下，有些條文的案例選擇不多，僅能就找到的少數相關案件</w:t>
      </w:r>
      <w:r w:rsidRPr="005E758A">
        <w:rPr>
          <w:rFonts w:ascii="Times New Roman" w:eastAsia="標楷體" w:hAnsi="Times New Roman"/>
          <w:sz w:val="28"/>
          <w:szCs w:val="28"/>
        </w:rPr>
        <w:t>或</w:t>
      </w:r>
      <w:proofErr w:type="gramStart"/>
      <w:r w:rsidRPr="005E758A">
        <w:rPr>
          <w:rFonts w:ascii="Times New Roman" w:eastAsia="標楷體" w:hAnsi="Times New Roman"/>
          <w:sz w:val="28"/>
          <w:szCs w:val="28"/>
        </w:rPr>
        <w:t>立法例</w:t>
      </w:r>
      <w:r w:rsidR="006075E6" w:rsidRPr="005E758A">
        <w:rPr>
          <w:rFonts w:ascii="Times New Roman" w:eastAsia="標楷體" w:hAnsi="Times New Roman"/>
          <w:sz w:val="28"/>
          <w:szCs w:val="28"/>
        </w:rPr>
        <w:t>作介紹</w:t>
      </w:r>
      <w:proofErr w:type="gramEnd"/>
      <w:r w:rsidR="006075E6" w:rsidRPr="005E758A">
        <w:rPr>
          <w:rFonts w:ascii="Times New Roman" w:eastAsia="標楷體" w:hAnsi="Times New Roman"/>
          <w:sz w:val="28"/>
          <w:szCs w:val="28"/>
        </w:rPr>
        <w:t>。</w:t>
      </w:r>
    </w:p>
    <w:p w14:paraId="754B5B0E" w14:textId="77777777" w:rsidR="006075E6" w:rsidRPr="005E758A" w:rsidRDefault="006075E6" w:rsidP="006075E6">
      <w:pPr>
        <w:pStyle w:val="a0"/>
        <w:numPr>
          <w:ilvl w:val="0"/>
          <w:numId w:val="101"/>
        </w:numPr>
        <w:snapToGrid w:val="0"/>
        <w:spacing w:before="100" w:beforeAutospacing="1" w:after="100" w:afterAutospacing="1"/>
        <w:ind w:leftChars="0"/>
        <w:jc w:val="both"/>
        <w:rPr>
          <w:rFonts w:ascii="Times New Roman" w:eastAsia="標楷體" w:hAnsi="Times New Roman"/>
          <w:sz w:val="28"/>
          <w:szCs w:val="28"/>
        </w:rPr>
      </w:pPr>
      <w:r w:rsidRPr="005E758A">
        <w:rPr>
          <w:rFonts w:ascii="Times New Roman" w:eastAsia="標楷體" w:hAnsi="Times New Roman"/>
          <w:sz w:val="28"/>
          <w:szCs w:val="28"/>
        </w:rPr>
        <w:t>外國期刊專書及研究報告</w:t>
      </w:r>
    </w:p>
    <w:p w14:paraId="66F12B5C" w14:textId="77777777" w:rsidR="006075E6" w:rsidRPr="005E758A" w:rsidRDefault="006075E6" w:rsidP="00FA6B21">
      <w:pPr>
        <w:pStyle w:val="a0"/>
        <w:snapToGrid w:val="0"/>
        <w:spacing w:before="100" w:beforeAutospacing="1" w:after="100" w:afterAutospacing="1"/>
        <w:ind w:leftChars="0" w:left="920"/>
        <w:jc w:val="both"/>
        <w:rPr>
          <w:rFonts w:ascii="Times New Roman" w:eastAsia="標楷體" w:hAnsi="Times New Roman"/>
          <w:sz w:val="28"/>
          <w:szCs w:val="28"/>
        </w:rPr>
      </w:pPr>
      <w:r w:rsidRPr="005E758A">
        <w:rPr>
          <w:rFonts w:ascii="Times New Roman" w:eastAsia="標楷體" w:hAnsi="Times New Roman"/>
          <w:sz w:val="28"/>
          <w:szCs w:val="28"/>
        </w:rPr>
        <w:t>包括聯合國兒童基金會委託專家撰寫之執行公約手冊</w:t>
      </w:r>
      <w:r w:rsidRPr="005E758A">
        <w:rPr>
          <w:rFonts w:ascii="Times New Roman" w:eastAsia="標楷體" w:hAnsi="Times New Roman"/>
          <w:i/>
          <w:sz w:val="28"/>
          <w:szCs w:val="28"/>
        </w:rPr>
        <w:t>Implementation Handbook for the Convention on the Rights of the Child</w:t>
      </w:r>
      <w:r w:rsidRPr="005E758A">
        <w:rPr>
          <w:rFonts w:ascii="Times New Roman" w:eastAsia="標楷體" w:hAnsi="Times New Roman"/>
          <w:sz w:val="28"/>
          <w:szCs w:val="28"/>
        </w:rPr>
        <w:t>及</w:t>
      </w:r>
      <w:r w:rsidRPr="005E758A">
        <w:rPr>
          <w:rFonts w:ascii="Times New Roman" w:eastAsia="標楷體" w:hAnsi="Times New Roman"/>
          <w:sz w:val="28"/>
          <w:szCs w:val="28"/>
        </w:rPr>
        <w:t>André Alen</w:t>
      </w:r>
      <w:r w:rsidRPr="005E758A">
        <w:rPr>
          <w:rFonts w:ascii="Times New Roman" w:eastAsia="標楷體" w:hAnsi="Times New Roman"/>
          <w:sz w:val="28"/>
          <w:szCs w:val="28"/>
        </w:rPr>
        <w:t>等人編著之公約逐條釋義套書</w:t>
      </w:r>
      <w:r w:rsidRPr="005E758A">
        <w:rPr>
          <w:rFonts w:ascii="Times New Roman" w:eastAsia="標楷體" w:hAnsi="Times New Roman"/>
          <w:i/>
          <w:sz w:val="28"/>
          <w:szCs w:val="28"/>
        </w:rPr>
        <w:t>A Commentary on the United Nations Convention on the Rights of the Child</w:t>
      </w:r>
      <w:r w:rsidRPr="005E758A">
        <w:rPr>
          <w:rFonts w:ascii="Times New Roman" w:eastAsia="標楷體" w:hAnsi="Times New Roman"/>
          <w:sz w:val="28"/>
          <w:szCs w:val="28"/>
        </w:rPr>
        <w:t>。</w:t>
      </w:r>
    </w:p>
    <w:p w14:paraId="4D194B40" w14:textId="77777777" w:rsidR="000C010C" w:rsidRPr="005E758A" w:rsidRDefault="000C010C" w:rsidP="006075E6">
      <w:pPr>
        <w:pStyle w:val="a0"/>
        <w:numPr>
          <w:ilvl w:val="0"/>
          <w:numId w:val="101"/>
        </w:numPr>
        <w:snapToGrid w:val="0"/>
        <w:spacing w:before="100" w:beforeAutospacing="1" w:after="100" w:afterAutospacing="1"/>
        <w:ind w:leftChars="0"/>
        <w:jc w:val="both"/>
        <w:rPr>
          <w:rFonts w:ascii="Times New Roman" w:eastAsia="標楷體" w:hAnsi="Times New Roman"/>
          <w:sz w:val="28"/>
          <w:szCs w:val="28"/>
        </w:rPr>
      </w:pPr>
      <w:r w:rsidRPr="005E758A">
        <w:rPr>
          <w:rFonts w:ascii="Times New Roman" w:eastAsia="標楷體" w:hAnsi="Times New Roman"/>
          <w:sz w:val="28"/>
          <w:szCs w:val="28"/>
        </w:rPr>
        <w:t>國內相關論著</w:t>
      </w:r>
    </w:p>
    <w:p w14:paraId="5E68C67E" w14:textId="77777777" w:rsidR="006075E6" w:rsidRPr="005E758A" w:rsidRDefault="006075E6" w:rsidP="006075E6">
      <w:pPr>
        <w:pStyle w:val="a0"/>
        <w:numPr>
          <w:ilvl w:val="0"/>
          <w:numId w:val="101"/>
        </w:numPr>
        <w:snapToGrid w:val="0"/>
        <w:spacing w:before="100" w:beforeAutospacing="1" w:after="100" w:afterAutospacing="1"/>
        <w:ind w:leftChars="0"/>
        <w:jc w:val="both"/>
        <w:rPr>
          <w:rFonts w:ascii="Times New Roman" w:eastAsia="標楷體" w:hAnsi="Times New Roman"/>
          <w:sz w:val="28"/>
          <w:szCs w:val="28"/>
        </w:rPr>
      </w:pPr>
      <w:r w:rsidRPr="005E758A">
        <w:rPr>
          <w:rFonts w:ascii="Times New Roman" w:eastAsia="標楷體" w:hAnsi="Times New Roman"/>
          <w:sz w:val="28"/>
          <w:szCs w:val="28"/>
        </w:rPr>
        <w:t>其他網路資源</w:t>
      </w:r>
    </w:p>
    <w:p w14:paraId="7493AD5B" w14:textId="77777777" w:rsidR="006075E6" w:rsidRPr="005E758A" w:rsidRDefault="006075E6" w:rsidP="006075E6">
      <w:pPr>
        <w:pStyle w:val="a0"/>
        <w:snapToGrid w:val="0"/>
        <w:spacing w:before="100" w:beforeAutospacing="1" w:after="100" w:afterAutospacing="1"/>
        <w:ind w:leftChars="0" w:left="920"/>
        <w:jc w:val="both"/>
        <w:rPr>
          <w:rFonts w:ascii="Times New Roman" w:eastAsia="標楷體" w:hAnsi="Times New Roman"/>
          <w:sz w:val="28"/>
          <w:szCs w:val="28"/>
        </w:rPr>
      </w:pPr>
      <w:r w:rsidRPr="005E758A">
        <w:rPr>
          <w:rFonts w:ascii="Times New Roman" w:eastAsia="標楷體" w:hAnsi="Times New Roman"/>
          <w:sz w:val="28"/>
          <w:szCs w:val="28"/>
        </w:rPr>
        <w:t>包括聯合國建置之人權資料庫</w:t>
      </w:r>
      <w:r w:rsidRPr="005E758A">
        <w:rPr>
          <w:rFonts w:ascii="Times New Roman" w:eastAsia="標楷體" w:hAnsi="Times New Roman"/>
          <w:sz w:val="28"/>
          <w:szCs w:val="28"/>
        </w:rPr>
        <w:t xml:space="preserve">Universal Human Rights Index </w:t>
      </w:r>
      <w:r w:rsidRPr="005E758A">
        <w:rPr>
          <w:rFonts w:ascii="Times New Roman" w:eastAsia="標楷體" w:hAnsi="Times New Roman"/>
          <w:sz w:val="28"/>
          <w:szCs w:val="28"/>
        </w:rPr>
        <w:lastRenderedPageBreak/>
        <w:t>(</w:t>
      </w:r>
      <w:hyperlink r:id="rId10" w:history="1">
        <w:r w:rsidRPr="005E758A">
          <w:rPr>
            <w:rStyle w:val="ab"/>
            <w:rFonts w:ascii="Times New Roman" w:eastAsia="標楷體" w:hAnsi="Times New Roman"/>
            <w:sz w:val="28"/>
            <w:szCs w:val="28"/>
          </w:rPr>
          <w:t>http://uhri.ohchr.org/en</w:t>
        </w:r>
      </w:hyperlink>
      <w:r w:rsidRPr="005E758A">
        <w:rPr>
          <w:rFonts w:ascii="Times New Roman" w:eastAsia="標楷體" w:hAnsi="Times New Roman"/>
          <w:sz w:val="28"/>
          <w:szCs w:val="28"/>
        </w:rPr>
        <w:t>)</w:t>
      </w:r>
      <w:r w:rsidRPr="005E758A">
        <w:rPr>
          <w:rFonts w:ascii="Times New Roman" w:eastAsia="標楷體" w:hAnsi="Times New Roman"/>
          <w:sz w:val="28"/>
          <w:szCs w:val="28"/>
        </w:rPr>
        <w:t>、條約機構資料庫</w:t>
      </w:r>
      <w:r w:rsidRPr="005E758A">
        <w:rPr>
          <w:rFonts w:ascii="Times New Roman" w:eastAsia="標楷體" w:hAnsi="Times New Roman"/>
          <w:sz w:val="28"/>
          <w:szCs w:val="28"/>
        </w:rPr>
        <w:t>(</w:t>
      </w:r>
      <w:hyperlink r:id="rId11" w:history="1">
        <w:r w:rsidRPr="005E758A">
          <w:rPr>
            <w:rStyle w:val="ab"/>
            <w:rFonts w:ascii="Times New Roman" w:eastAsia="標楷體" w:hAnsi="Times New Roman"/>
            <w:sz w:val="28"/>
            <w:szCs w:val="28"/>
          </w:rPr>
          <w:t>http://tbinternet.ohchr.org/</w:t>
        </w:r>
      </w:hyperlink>
      <w:r w:rsidRPr="005E758A">
        <w:rPr>
          <w:rFonts w:ascii="Times New Roman" w:eastAsia="標楷體" w:hAnsi="Times New Roman"/>
          <w:sz w:val="28"/>
          <w:szCs w:val="28"/>
        </w:rPr>
        <w:t>)</w:t>
      </w:r>
      <w:r w:rsidRPr="005E758A">
        <w:rPr>
          <w:rFonts w:ascii="Times New Roman" w:eastAsia="標楷體" w:hAnsi="Times New Roman"/>
          <w:sz w:val="28"/>
          <w:szCs w:val="28"/>
        </w:rPr>
        <w:t>及非政府國際組織</w:t>
      </w:r>
      <w:r w:rsidRPr="005E758A">
        <w:rPr>
          <w:rFonts w:ascii="Times New Roman" w:eastAsia="標楷體" w:hAnsi="Times New Roman"/>
          <w:sz w:val="28"/>
          <w:szCs w:val="28"/>
        </w:rPr>
        <w:t>Child Rights International Network (CRIN)</w:t>
      </w:r>
      <w:r w:rsidRPr="005E758A">
        <w:rPr>
          <w:rFonts w:ascii="Times New Roman" w:eastAsia="標楷體" w:hAnsi="Times New Roman"/>
          <w:sz w:val="28"/>
          <w:szCs w:val="28"/>
        </w:rPr>
        <w:t>所建置之法律資料庫</w:t>
      </w:r>
      <w:r w:rsidRPr="005E758A">
        <w:rPr>
          <w:rFonts w:ascii="Times New Roman" w:eastAsia="標楷體" w:hAnsi="Times New Roman"/>
          <w:sz w:val="28"/>
          <w:szCs w:val="28"/>
        </w:rPr>
        <w:t>(</w:t>
      </w:r>
      <w:hyperlink r:id="rId12" w:history="1">
        <w:r w:rsidRPr="005E758A">
          <w:rPr>
            <w:rStyle w:val="ab"/>
            <w:rFonts w:ascii="Times New Roman" w:eastAsia="標楷體" w:hAnsi="Times New Roman"/>
            <w:sz w:val="28"/>
            <w:szCs w:val="28"/>
          </w:rPr>
          <w:t>https://www.crin.org/en/library/legal-database</w:t>
        </w:r>
      </w:hyperlink>
      <w:r w:rsidRPr="005E758A">
        <w:rPr>
          <w:rFonts w:ascii="Times New Roman" w:eastAsia="標楷體" w:hAnsi="Times New Roman"/>
          <w:sz w:val="28"/>
          <w:szCs w:val="28"/>
        </w:rPr>
        <w:t>)</w:t>
      </w:r>
      <w:r w:rsidRPr="005E758A">
        <w:rPr>
          <w:rFonts w:ascii="Times New Roman" w:eastAsia="標楷體" w:hAnsi="Times New Roman"/>
          <w:sz w:val="28"/>
          <w:szCs w:val="28"/>
        </w:rPr>
        <w:t>。</w:t>
      </w:r>
    </w:p>
    <w:p w14:paraId="606E773D" w14:textId="77777777" w:rsidR="006075E6" w:rsidRPr="005E758A" w:rsidRDefault="006075E6" w:rsidP="006075E6">
      <w:pPr>
        <w:snapToGrid w:val="0"/>
        <w:spacing w:before="100" w:beforeAutospacing="1" w:after="100" w:afterAutospacing="1"/>
        <w:ind w:firstLineChars="200" w:firstLine="560"/>
        <w:jc w:val="both"/>
        <w:rPr>
          <w:sz w:val="28"/>
          <w:szCs w:val="28"/>
        </w:rPr>
      </w:pPr>
      <w:r w:rsidRPr="005E758A">
        <w:rPr>
          <w:sz w:val="28"/>
          <w:szCs w:val="28"/>
        </w:rPr>
        <w:t>每項逐條要義</w:t>
      </w:r>
      <w:r w:rsidR="00601F15" w:rsidRPr="005E758A">
        <w:rPr>
          <w:sz w:val="28"/>
          <w:szCs w:val="28"/>
        </w:rPr>
        <w:t>在引述</w:t>
      </w:r>
      <w:r w:rsidR="00B76870" w:rsidRPr="005E758A">
        <w:rPr>
          <w:sz w:val="28"/>
          <w:szCs w:val="28"/>
        </w:rPr>
        <w:t>各公約</w:t>
      </w:r>
      <w:r w:rsidR="00601F15" w:rsidRPr="005E758A">
        <w:rPr>
          <w:sz w:val="28"/>
          <w:szCs w:val="28"/>
        </w:rPr>
        <w:t>條文原文後，</w:t>
      </w:r>
      <w:r w:rsidRPr="005E758A">
        <w:rPr>
          <w:sz w:val="28"/>
          <w:szCs w:val="28"/>
        </w:rPr>
        <w:t>共分為以下五部分</w:t>
      </w:r>
      <w:r w:rsidR="00601F15" w:rsidRPr="005E758A">
        <w:rPr>
          <w:sz w:val="28"/>
          <w:szCs w:val="28"/>
        </w:rPr>
        <w:t>說明</w:t>
      </w:r>
      <w:r w:rsidRPr="005E758A">
        <w:rPr>
          <w:sz w:val="28"/>
          <w:szCs w:val="28"/>
        </w:rPr>
        <w:t>：</w:t>
      </w:r>
    </w:p>
    <w:p w14:paraId="08E150AE" w14:textId="77777777" w:rsidR="006075E6" w:rsidRPr="005E758A" w:rsidRDefault="006075E6" w:rsidP="006075E6">
      <w:pPr>
        <w:pStyle w:val="a0"/>
        <w:numPr>
          <w:ilvl w:val="0"/>
          <w:numId w:val="102"/>
        </w:numPr>
        <w:snapToGrid w:val="0"/>
        <w:spacing w:before="100" w:beforeAutospacing="1" w:after="100" w:afterAutospacing="1"/>
        <w:ind w:leftChars="0"/>
        <w:jc w:val="both"/>
        <w:rPr>
          <w:rFonts w:ascii="Times New Roman" w:eastAsia="標楷體" w:hAnsi="Times New Roman"/>
          <w:sz w:val="28"/>
          <w:szCs w:val="28"/>
        </w:rPr>
      </w:pPr>
      <w:r w:rsidRPr="005E758A">
        <w:rPr>
          <w:rFonts w:ascii="Times New Roman" w:eastAsia="標楷體" w:hAnsi="Times New Roman"/>
          <w:sz w:val="28"/>
          <w:szCs w:val="28"/>
        </w:rPr>
        <w:t>規範宗旨；</w:t>
      </w:r>
    </w:p>
    <w:p w14:paraId="46E0DDCE" w14:textId="77777777" w:rsidR="006075E6" w:rsidRPr="005E758A" w:rsidRDefault="006075E6" w:rsidP="006075E6">
      <w:pPr>
        <w:pStyle w:val="a0"/>
        <w:numPr>
          <w:ilvl w:val="0"/>
          <w:numId w:val="102"/>
        </w:numPr>
        <w:snapToGrid w:val="0"/>
        <w:spacing w:before="100" w:beforeAutospacing="1" w:after="100" w:afterAutospacing="1"/>
        <w:ind w:leftChars="0"/>
        <w:jc w:val="both"/>
        <w:rPr>
          <w:rFonts w:ascii="Times New Roman" w:eastAsia="標楷體" w:hAnsi="Times New Roman"/>
          <w:sz w:val="28"/>
          <w:szCs w:val="28"/>
        </w:rPr>
      </w:pPr>
      <w:r w:rsidRPr="005E758A">
        <w:rPr>
          <w:rFonts w:ascii="Times New Roman" w:eastAsia="標楷體" w:hAnsi="Times New Roman"/>
          <w:sz w:val="28"/>
          <w:szCs w:val="28"/>
        </w:rPr>
        <w:t>條文要義；</w:t>
      </w:r>
    </w:p>
    <w:p w14:paraId="3BAA0353" w14:textId="77777777" w:rsidR="006075E6" w:rsidRPr="005E758A" w:rsidRDefault="006075E6" w:rsidP="006075E6">
      <w:pPr>
        <w:pStyle w:val="a0"/>
        <w:numPr>
          <w:ilvl w:val="0"/>
          <w:numId w:val="102"/>
        </w:numPr>
        <w:snapToGrid w:val="0"/>
        <w:spacing w:before="100" w:beforeAutospacing="1" w:after="100" w:afterAutospacing="1"/>
        <w:ind w:leftChars="0"/>
        <w:jc w:val="both"/>
        <w:rPr>
          <w:rFonts w:ascii="Times New Roman" w:eastAsia="標楷體" w:hAnsi="Times New Roman"/>
          <w:sz w:val="28"/>
          <w:szCs w:val="28"/>
        </w:rPr>
      </w:pPr>
      <w:r w:rsidRPr="005E758A">
        <w:rPr>
          <w:rFonts w:ascii="Times New Roman" w:eastAsia="標楷體" w:hAnsi="Times New Roman"/>
          <w:sz w:val="28"/>
          <w:szCs w:val="28"/>
        </w:rPr>
        <w:t>案例介紹：為增進對各條文實際運用之認識，本逐條要義特別蒐集各國相關案例，將其摘要</w:t>
      </w:r>
      <w:proofErr w:type="gramStart"/>
      <w:r w:rsidRPr="005E758A">
        <w:rPr>
          <w:rFonts w:ascii="Times New Roman" w:eastAsia="標楷體" w:hAnsi="Times New Roman"/>
          <w:sz w:val="28"/>
          <w:szCs w:val="28"/>
        </w:rPr>
        <w:t>臚</w:t>
      </w:r>
      <w:proofErr w:type="gramEnd"/>
      <w:r w:rsidRPr="005E758A">
        <w:rPr>
          <w:rFonts w:ascii="Times New Roman" w:eastAsia="標楷體" w:hAnsi="Times New Roman"/>
          <w:sz w:val="28"/>
          <w:szCs w:val="28"/>
        </w:rPr>
        <w:t>列於條文解釋之後。案例介紹涵蓋締約國及美國的重要司法判決及立法例；</w:t>
      </w:r>
    </w:p>
    <w:p w14:paraId="044E58AE" w14:textId="77777777" w:rsidR="006075E6" w:rsidRPr="005E758A" w:rsidRDefault="006075E6" w:rsidP="006075E6">
      <w:pPr>
        <w:pStyle w:val="a0"/>
        <w:numPr>
          <w:ilvl w:val="0"/>
          <w:numId w:val="102"/>
        </w:numPr>
        <w:snapToGrid w:val="0"/>
        <w:spacing w:before="100" w:beforeAutospacing="1" w:after="100" w:afterAutospacing="1"/>
        <w:ind w:leftChars="0"/>
        <w:jc w:val="both"/>
        <w:rPr>
          <w:rFonts w:ascii="Times New Roman" w:eastAsia="標楷體" w:hAnsi="Times New Roman"/>
          <w:sz w:val="28"/>
          <w:szCs w:val="28"/>
        </w:rPr>
      </w:pPr>
      <w:r w:rsidRPr="005E758A">
        <w:rPr>
          <w:rFonts w:ascii="Times New Roman" w:eastAsia="標楷體" w:hAnsi="Times New Roman"/>
          <w:sz w:val="28"/>
          <w:szCs w:val="28"/>
        </w:rPr>
        <w:t>綜合分析；</w:t>
      </w:r>
    </w:p>
    <w:p w14:paraId="4CACB04D" w14:textId="77777777" w:rsidR="006075E6" w:rsidRPr="005E758A" w:rsidRDefault="006075E6" w:rsidP="006075E6">
      <w:pPr>
        <w:pStyle w:val="a0"/>
        <w:numPr>
          <w:ilvl w:val="0"/>
          <w:numId w:val="102"/>
        </w:numPr>
        <w:snapToGrid w:val="0"/>
        <w:spacing w:before="100" w:beforeAutospacing="1" w:after="100" w:afterAutospacing="1"/>
        <w:ind w:leftChars="0"/>
        <w:jc w:val="both"/>
        <w:rPr>
          <w:rFonts w:ascii="Times New Roman" w:eastAsia="標楷體" w:hAnsi="Times New Roman"/>
          <w:sz w:val="28"/>
          <w:szCs w:val="28"/>
        </w:rPr>
      </w:pPr>
      <w:r w:rsidRPr="005E758A">
        <w:rPr>
          <w:rFonts w:ascii="Times New Roman" w:eastAsia="標楷體" w:hAnsi="Times New Roman"/>
          <w:sz w:val="28"/>
          <w:szCs w:val="28"/>
        </w:rPr>
        <w:t>參考資料。</w:t>
      </w:r>
    </w:p>
    <w:p w14:paraId="17F45071" w14:textId="77777777" w:rsidR="006075E6" w:rsidRPr="005E758A" w:rsidRDefault="006075E6" w:rsidP="00745DE3">
      <w:pPr>
        <w:pStyle w:val="1"/>
        <w:sectPr w:rsidR="006075E6" w:rsidRPr="005E758A" w:rsidSect="00135FC9">
          <w:endnotePr>
            <w:numFmt w:val="decimal"/>
            <w:numRestart w:val="eachSect"/>
          </w:endnotePr>
          <w:pgSz w:w="11906" w:h="16838"/>
          <w:pgMar w:top="1440" w:right="1797" w:bottom="1440" w:left="1797" w:header="851" w:footer="992" w:gutter="0"/>
          <w:cols w:space="425"/>
          <w:docGrid w:linePitch="360"/>
        </w:sectPr>
      </w:pPr>
    </w:p>
    <w:tbl>
      <w:tblPr>
        <w:tblpPr w:leftFromText="180" w:rightFromText="180" w:horzAnchor="margin" w:tblpY="90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8220"/>
      </w:tblGrid>
      <w:tr w:rsidR="007C1E25" w:rsidRPr="005E758A" w14:paraId="3C5A4E1B" w14:textId="77777777" w:rsidTr="00E81E68">
        <w:tc>
          <w:tcPr>
            <w:tcW w:w="8220" w:type="dxa"/>
          </w:tcPr>
          <w:p w14:paraId="12BECA0F" w14:textId="77777777" w:rsidR="007C1E25" w:rsidRPr="005E758A" w:rsidRDefault="007C1E25" w:rsidP="00E81E68">
            <w:pPr>
              <w:snapToGrid w:val="0"/>
              <w:spacing w:before="100" w:beforeAutospacing="1" w:after="100" w:afterAutospacing="1"/>
              <w:ind w:left="-23"/>
            </w:pPr>
            <w:r w:rsidRPr="005E758A">
              <w:rPr>
                <w:sz w:val="28"/>
              </w:rPr>
              <w:lastRenderedPageBreak/>
              <w:t>為本公約之目的，兒童係指未滿十八歲之人，但其所適用之法律規定未滿十八歲為成年者，不在此限。</w:t>
            </w:r>
          </w:p>
        </w:tc>
      </w:tr>
    </w:tbl>
    <w:p w14:paraId="6F734589" w14:textId="77777777" w:rsidR="00E81E68" w:rsidRDefault="00E81E68" w:rsidP="00E81E68">
      <w:pPr>
        <w:pStyle w:val="1"/>
      </w:pPr>
      <w:bookmarkStart w:id="4" w:name="_Toc431072717"/>
      <w:bookmarkEnd w:id="3"/>
      <w:r w:rsidRPr="005E758A">
        <w:t>第</w:t>
      </w:r>
      <w:r w:rsidRPr="005E758A">
        <w:t>1</w:t>
      </w:r>
      <w:r w:rsidRPr="005E758A">
        <w:t>條</w:t>
      </w:r>
      <w:r w:rsidR="00764009">
        <w:rPr>
          <w:rFonts w:hint="eastAsia"/>
        </w:rPr>
        <w:t xml:space="preserve">　</w:t>
      </w:r>
      <w:r w:rsidRPr="00E81E68">
        <w:rPr>
          <w:rFonts w:hint="eastAsia"/>
        </w:rPr>
        <w:t>兒童之定義</w:t>
      </w:r>
      <w:bookmarkEnd w:id="4"/>
    </w:p>
    <w:p w14:paraId="343F8FE8" w14:textId="77777777" w:rsidR="00E81E68" w:rsidRPr="00E81E68" w:rsidRDefault="00E81E68" w:rsidP="00E81E68">
      <w:pPr>
        <w:snapToGrid w:val="0"/>
        <w:spacing w:before="100" w:beforeAutospacing="1" w:after="100" w:afterAutospacing="1"/>
        <w:jc w:val="both"/>
        <w:rPr>
          <w:sz w:val="28"/>
        </w:rPr>
      </w:pPr>
    </w:p>
    <w:p w14:paraId="058089EE" w14:textId="77777777" w:rsidR="007C1E25" w:rsidRPr="005E758A" w:rsidRDefault="007C1E25" w:rsidP="007C1E25">
      <w:pPr>
        <w:pStyle w:val="2"/>
      </w:pPr>
      <w:r w:rsidRPr="005E758A">
        <w:t>規範宗旨</w:t>
      </w:r>
    </w:p>
    <w:p w14:paraId="2F38305A" w14:textId="77777777" w:rsidR="007C1E25" w:rsidRPr="005E758A" w:rsidRDefault="007C1E25" w:rsidP="007C1E25">
      <w:pPr>
        <w:snapToGrid w:val="0"/>
        <w:spacing w:before="100" w:beforeAutospacing="1" w:after="100" w:afterAutospacing="1"/>
        <w:ind w:firstLineChars="200" w:firstLine="560"/>
        <w:jc w:val="both"/>
        <w:rPr>
          <w:sz w:val="28"/>
        </w:rPr>
      </w:pPr>
      <w:r w:rsidRPr="005E758A">
        <w:rPr>
          <w:sz w:val="28"/>
        </w:rPr>
        <w:t>本條所稱之「兒童」為年齡之界定，規定所有未滿</w:t>
      </w:r>
      <w:r w:rsidRPr="005E758A">
        <w:rPr>
          <w:sz w:val="28"/>
        </w:rPr>
        <w:t>18</w:t>
      </w:r>
      <w:r w:rsidRPr="005E758A">
        <w:rPr>
          <w:sz w:val="28"/>
        </w:rPr>
        <w:t>歲之人皆屬公約所保障之「兒童」，除非相關法律有以較低年齡者為成年之規定。至於特定領域之「兒童最低年</w:t>
      </w:r>
      <w:r w:rsidR="00FA6B21" w:rsidRPr="005E758A">
        <w:rPr>
          <w:sz w:val="28"/>
        </w:rPr>
        <w:t>齡門檻」，例如兒童刑事責任之減免、最低勞動年齡等，公約雖未設定個</w:t>
      </w:r>
      <w:r w:rsidRPr="005E758A">
        <w:rPr>
          <w:sz w:val="28"/>
        </w:rPr>
        <w:t>別之年齡限制，但兒童權利委員會強調締約國於訂定相關年齡門檻時應符合公約整體之規範精神及主要原則，包括以兒童最佳利益為優先考量、禁止歧視及確保兒童能獲得最大程度之生存及發展等</w:t>
      </w:r>
      <w:bookmarkStart w:id="5" w:name="_Ref427058663"/>
      <w:r w:rsidRPr="005E758A">
        <w:rPr>
          <w:rStyle w:val="af3"/>
          <w:sz w:val="28"/>
        </w:rPr>
        <w:endnoteReference w:id="1"/>
      </w:r>
      <w:bookmarkEnd w:id="5"/>
      <w:r w:rsidRPr="005E758A">
        <w:rPr>
          <w:sz w:val="28"/>
        </w:rPr>
        <w:t>。</w:t>
      </w:r>
    </w:p>
    <w:p w14:paraId="19A3ABB6" w14:textId="77777777" w:rsidR="007C1E25" w:rsidRPr="005E758A" w:rsidRDefault="007C1E25" w:rsidP="007C1E25">
      <w:pPr>
        <w:pStyle w:val="2"/>
      </w:pPr>
      <w:r w:rsidRPr="005E758A">
        <w:t>條文要義</w:t>
      </w:r>
    </w:p>
    <w:p w14:paraId="36FF35BE" w14:textId="77777777" w:rsidR="007C1E25" w:rsidRPr="005E758A" w:rsidRDefault="007C1E25" w:rsidP="007119F4">
      <w:pPr>
        <w:pStyle w:val="a0"/>
        <w:numPr>
          <w:ilvl w:val="1"/>
          <w:numId w:val="28"/>
        </w:numPr>
        <w:snapToGrid w:val="0"/>
        <w:spacing w:before="100" w:beforeAutospacing="1" w:after="100" w:afterAutospacing="1"/>
        <w:ind w:leftChars="0" w:left="482" w:hanging="482"/>
        <w:jc w:val="both"/>
        <w:rPr>
          <w:rFonts w:ascii="Times New Roman" w:eastAsia="標楷體" w:hAnsi="Times New Roman"/>
          <w:sz w:val="28"/>
          <w:szCs w:val="28"/>
        </w:rPr>
      </w:pPr>
      <w:r w:rsidRPr="005E758A">
        <w:rPr>
          <w:rFonts w:ascii="Times New Roman" w:eastAsia="標楷體" w:hAnsi="Times New Roman"/>
          <w:sz w:val="28"/>
          <w:szCs w:val="28"/>
        </w:rPr>
        <w:t>未滿</w:t>
      </w:r>
      <w:r w:rsidRPr="005E758A">
        <w:rPr>
          <w:rFonts w:ascii="Times New Roman" w:eastAsia="標楷體" w:hAnsi="Times New Roman"/>
          <w:sz w:val="28"/>
          <w:szCs w:val="28"/>
        </w:rPr>
        <w:t>18</w:t>
      </w:r>
      <w:r w:rsidRPr="005E758A">
        <w:rPr>
          <w:rFonts w:ascii="Times New Roman" w:eastAsia="標楷體" w:hAnsi="Times New Roman"/>
          <w:sz w:val="28"/>
          <w:szCs w:val="28"/>
        </w:rPr>
        <w:t>歲之人</w:t>
      </w:r>
    </w:p>
    <w:p w14:paraId="77BD7E94" w14:textId="77777777" w:rsidR="007C1E25" w:rsidRPr="005E758A" w:rsidRDefault="007C1E25" w:rsidP="007C1E25">
      <w:pPr>
        <w:snapToGrid w:val="0"/>
        <w:spacing w:before="100" w:beforeAutospacing="1" w:after="100" w:afterAutospacing="1"/>
        <w:ind w:firstLineChars="200" w:firstLine="560"/>
        <w:jc w:val="both"/>
        <w:rPr>
          <w:sz w:val="28"/>
        </w:rPr>
      </w:pPr>
      <w:r w:rsidRPr="005E758A">
        <w:rPr>
          <w:sz w:val="28"/>
        </w:rPr>
        <w:t>未滿</w:t>
      </w:r>
      <w:r w:rsidRPr="005E758A">
        <w:rPr>
          <w:sz w:val="28"/>
        </w:rPr>
        <w:t>18</w:t>
      </w:r>
      <w:r w:rsidRPr="005E758A">
        <w:rPr>
          <w:sz w:val="28"/>
        </w:rPr>
        <w:t>歲之人是否以已出生者為前提，或包括尚未出生之胎兒，當初公約起草</w:t>
      </w:r>
      <w:proofErr w:type="gramStart"/>
      <w:r w:rsidRPr="005E758A">
        <w:rPr>
          <w:sz w:val="28"/>
        </w:rPr>
        <w:t>時迭生爭議</w:t>
      </w:r>
      <w:proofErr w:type="gramEnd"/>
      <w:r w:rsidRPr="005E758A">
        <w:rPr>
          <w:sz w:val="28"/>
        </w:rPr>
        <w:t>。公約制定者為避免涉入墮胎是否合法之爭議，進而影響公約之普</w:t>
      </w:r>
      <w:proofErr w:type="gramStart"/>
      <w:r w:rsidRPr="005E758A">
        <w:rPr>
          <w:sz w:val="28"/>
        </w:rPr>
        <w:t>世</w:t>
      </w:r>
      <w:proofErr w:type="gramEnd"/>
      <w:r w:rsidRPr="005E758A">
        <w:rPr>
          <w:sz w:val="28"/>
        </w:rPr>
        <w:t>性</w:t>
      </w:r>
      <w:r w:rsidRPr="005E758A">
        <w:rPr>
          <w:rStyle w:val="af3"/>
          <w:sz w:val="28"/>
        </w:rPr>
        <w:endnoteReference w:id="2"/>
      </w:r>
      <w:r w:rsidRPr="005E758A">
        <w:rPr>
          <w:sz w:val="28"/>
        </w:rPr>
        <w:t>，故未明文規定「兒童」須以出生為前提。</w:t>
      </w:r>
    </w:p>
    <w:p w14:paraId="3BADFBB0" w14:textId="77777777" w:rsidR="007C1E25" w:rsidRPr="005E758A" w:rsidRDefault="007C1E25" w:rsidP="007119F4">
      <w:pPr>
        <w:pStyle w:val="a0"/>
        <w:numPr>
          <w:ilvl w:val="1"/>
          <w:numId w:val="28"/>
        </w:numPr>
        <w:snapToGrid w:val="0"/>
        <w:spacing w:before="100" w:beforeAutospacing="1" w:after="100" w:afterAutospacing="1"/>
        <w:ind w:leftChars="0" w:left="482" w:hanging="482"/>
        <w:jc w:val="both"/>
        <w:rPr>
          <w:rFonts w:ascii="Times New Roman" w:eastAsia="標楷體" w:hAnsi="Times New Roman"/>
          <w:sz w:val="28"/>
        </w:rPr>
      </w:pPr>
      <w:r w:rsidRPr="005E758A">
        <w:rPr>
          <w:rFonts w:ascii="Times New Roman" w:eastAsia="標楷體" w:hAnsi="Times New Roman"/>
          <w:sz w:val="28"/>
        </w:rPr>
        <w:t>「兒童」包括未滿</w:t>
      </w:r>
      <w:r w:rsidRPr="005E758A">
        <w:rPr>
          <w:rFonts w:ascii="Times New Roman" w:eastAsia="標楷體" w:hAnsi="Times New Roman"/>
          <w:sz w:val="28"/>
        </w:rPr>
        <w:t>18</w:t>
      </w:r>
      <w:r w:rsidRPr="005E758A">
        <w:rPr>
          <w:rFonts w:ascii="Times New Roman" w:eastAsia="標楷體" w:hAnsi="Times New Roman"/>
          <w:sz w:val="28"/>
        </w:rPr>
        <w:t>歲之「少年」</w:t>
      </w:r>
    </w:p>
    <w:p w14:paraId="1C9D5599" w14:textId="77777777" w:rsidR="007C1E25" w:rsidRPr="005E758A" w:rsidRDefault="007C1E25" w:rsidP="007C1E25">
      <w:pPr>
        <w:snapToGrid w:val="0"/>
        <w:spacing w:before="100" w:beforeAutospacing="1" w:after="100" w:afterAutospacing="1"/>
        <w:ind w:firstLineChars="200" w:firstLine="560"/>
        <w:jc w:val="both"/>
        <w:rPr>
          <w:sz w:val="28"/>
        </w:rPr>
      </w:pPr>
      <w:r w:rsidRPr="005E758A">
        <w:rPr>
          <w:sz w:val="28"/>
        </w:rPr>
        <w:t>公約並未另就「兒童」及「少年」為年齡之區分。針對部分國家國內法有此區分，兒童權利委員會亦曾指出，不論是兒童或少年，只要未滿</w:t>
      </w:r>
      <w:r w:rsidRPr="005E758A">
        <w:rPr>
          <w:sz w:val="28"/>
        </w:rPr>
        <w:t>18</w:t>
      </w:r>
      <w:r w:rsidRPr="005E758A">
        <w:rPr>
          <w:sz w:val="28"/>
        </w:rPr>
        <w:t>歲，一律皆應獲得公約之保障</w:t>
      </w:r>
      <w:r w:rsidRPr="005E758A">
        <w:rPr>
          <w:rStyle w:val="af3"/>
          <w:sz w:val="28"/>
        </w:rPr>
        <w:endnoteReference w:id="3"/>
      </w:r>
      <w:r w:rsidRPr="005E758A">
        <w:rPr>
          <w:sz w:val="28"/>
        </w:rPr>
        <w:t>。</w:t>
      </w:r>
    </w:p>
    <w:p w14:paraId="5AE98D12" w14:textId="77777777" w:rsidR="007C1E25" w:rsidRPr="005E758A" w:rsidRDefault="007C1E25" w:rsidP="007119F4">
      <w:pPr>
        <w:pStyle w:val="a0"/>
        <w:numPr>
          <w:ilvl w:val="1"/>
          <w:numId w:val="28"/>
        </w:numPr>
        <w:snapToGrid w:val="0"/>
        <w:spacing w:before="100" w:beforeAutospacing="1" w:after="100" w:afterAutospacing="1"/>
        <w:ind w:leftChars="0" w:left="482" w:hanging="482"/>
        <w:jc w:val="both"/>
        <w:rPr>
          <w:rFonts w:ascii="Times New Roman" w:eastAsia="標楷體" w:hAnsi="Times New Roman"/>
          <w:sz w:val="28"/>
        </w:rPr>
      </w:pPr>
      <w:r w:rsidRPr="005E758A">
        <w:rPr>
          <w:rFonts w:ascii="Times New Roman" w:eastAsia="標楷體" w:hAnsi="Times New Roman"/>
          <w:sz w:val="28"/>
        </w:rPr>
        <w:t>兒童之「年齡門檻」</w:t>
      </w:r>
    </w:p>
    <w:p w14:paraId="4CD5D81C" w14:textId="77777777" w:rsidR="007C1E25" w:rsidRPr="005E758A" w:rsidRDefault="007C1E25" w:rsidP="007C1E25">
      <w:pPr>
        <w:snapToGrid w:val="0"/>
        <w:spacing w:before="100" w:beforeAutospacing="1" w:after="100" w:afterAutospacing="1"/>
        <w:ind w:firstLineChars="200" w:firstLine="560"/>
        <w:jc w:val="both"/>
        <w:rPr>
          <w:sz w:val="28"/>
        </w:rPr>
      </w:pPr>
      <w:r w:rsidRPr="005E758A">
        <w:rPr>
          <w:sz w:val="28"/>
        </w:rPr>
        <w:t>兒童權利委員會強調各國於制定不同領域之兒童「年齡門檻」時，應以兒童最佳利益為優先考量、禁止歧視及確保兒童能獲得最大程度之生存及發展。例如，兒童權利委員會之「定期國家報告提交指導方針（</w:t>
      </w:r>
      <w:r w:rsidRPr="005E758A">
        <w:rPr>
          <w:sz w:val="28"/>
        </w:rPr>
        <w:t>2015</w:t>
      </w:r>
      <w:r w:rsidRPr="005E758A">
        <w:rPr>
          <w:sz w:val="28"/>
        </w:rPr>
        <w:t>年修訂版）」</w:t>
      </w:r>
      <w:r w:rsidRPr="005E758A">
        <w:rPr>
          <w:rStyle w:val="af3"/>
          <w:sz w:val="28"/>
        </w:rPr>
        <w:endnoteReference w:id="4"/>
      </w:r>
      <w:r w:rsidRPr="005E758A">
        <w:rPr>
          <w:sz w:val="28"/>
        </w:rPr>
        <w:t>要求各國之國家報告應註明其內國法有關男女最低結婚年齡之規定。而針對日本所提出之初次國家報告，該委員會即曾建議日本修正其民法有關男女最低結婚年齡之差別性規定（男</w:t>
      </w:r>
      <w:r w:rsidRPr="005E758A">
        <w:rPr>
          <w:sz w:val="28"/>
        </w:rPr>
        <w:t>18</w:t>
      </w:r>
      <w:r w:rsidRPr="005E758A">
        <w:rPr>
          <w:sz w:val="28"/>
        </w:rPr>
        <w:t>歲、女</w:t>
      </w:r>
      <w:r w:rsidRPr="005E758A">
        <w:rPr>
          <w:sz w:val="28"/>
        </w:rPr>
        <w:t>16</w:t>
      </w:r>
      <w:r w:rsidRPr="005E758A">
        <w:rPr>
          <w:sz w:val="28"/>
        </w:rPr>
        <w:t>歲），以使兩者歸於一致</w:t>
      </w:r>
      <w:r w:rsidRPr="005E758A">
        <w:rPr>
          <w:rStyle w:val="af3"/>
          <w:sz w:val="28"/>
        </w:rPr>
        <w:endnoteReference w:id="5"/>
      </w:r>
      <w:r w:rsidR="00C351A4" w:rsidRPr="005E758A">
        <w:rPr>
          <w:sz w:val="28"/>
        </w:rPr>
        <w:t>。</w:t>
      </w:r>
      <w:r w:rsidRPr="005E758A">
        <w:rPr>
          <w:sz w:val="28"/>
        </w:rPr>
        <w:t>至於兒童權利委員會於其最初所</w:t>
      </w:r>
      <w:r w:rsidRPr="005E758A">
        <w:rPr>
          <w:sz w:val="28"/>
        </w:rPr>
        <w:lastRenderedPageBreak/>
        <w:t>公布之「定期國家報告提交指導方針（</w:t>
      </w:r>
      <w:r w:rsidRPr="005E758A">
        <w:rPr>
          <w:sz w:val="28"/>
        </w:rPr>
        <w:t>1996</w:t>
      </w:r>
      <w:r w:rsidRPr="005E758A">
        <w:rPr>
          <w:sz w:val="28"/>
        </w:rPr>
        <w:t>年）」中，針對公約第</w:t>
      </w:r>
      <w:r w:rsidRPr="005E758A">
        <w:rPr>
          <w:sz w:val="28"/>
        </w:rPr>
        <w:t>1</w:t>
      </w:r>
      <w:r w:rsidRPr="005E758A">
        <w:rPr>
          <w:sz w:val="28"/>
        </w:rPr>
        <w:t>條，則係要求各國應說明其內國法是否就以下事項制定最低年齡</w:t>
      </w:r>
      <w:r w:rsidRPr="005E758A">
        <w:rPr>
          <w:rStyle w:val="af3"/>
          <w:sz w:val="28"/>
        </w:rPr>
        <w:endnoteReference w:id="6"/>
      </w:r>
      <w:r w:rsidRPr="005E758A">
        <w:rPr>
          <w:sz w:val="28"/>
        </w:rPr>
        <w:t>：</w:t>
      </w:r>
    </w:p>
    <w:p w14:paraId="42D08B94" w14:textId="77777777" w:rsidR="007C1E25" w:rsidRPr="005E758A" w:rsidRDefault="007C1E25" w:rsidP="007119F4">
      <w:pPr>
        <w:pStyle w:val="a0"/>
        <w:numPr>
          <w:ilvl w:val="2"/>
          <w:numId w:val="28"/>
        </w:numPr>
        <w:snapToGrid w:val="0"/>
        <w:spacing w:before="100" w:beforeAutospacing="1" w:after="100" w:afterAutospacing="1"/>
        <w:ind w:leftChars="0" w:left="924" w:right="567" w:hanging="357"/>
        <w:jc w:val="both"/>
        <w:rPr>
          <w:rFonts w:ascii="Times New Roman" w:eastAsia="標楷體" w:hAnsi="Times New Roman"/>
          <w:sz w:val="28"/>
        </w:rPr>
      </w:pPr>
      <w:r w:rsidRPr="005E758A">
        <w:rPr>
          <w:rFonts w:ascii="Times New Roman" w:eastAsia="標楷體" w:hAnsi="Times New Roman"/>
          <w:sz w:val="28"/>
        </w:rPr>
        <w:t>在無父母同意之情況下，獲得法律或醫療諮詢之最低年齡；</w:t>
      </w:r>
    </w:p>
    <w:p w14:paraId="55878BB3" w14:textId="77777777" w:rsidR="007C1E25" w:rsidRPr="005E758A" w:rsidRDefault="007C1E25" w:rsidP="007119F4">
      <w:pPr>
        <w:pStyle w:val="a0"/>
        <w:numPr>
          <w:ilvl w:val="2"/>
          <w:numId w:val="28"/>
        </w:numPr>
        <w:snapToGrid w:val="0"/>
        <w:spacing w:before="100" w:beforeAutospacing="1" w:after="100" w:afterAutospacing="1"/>
        <w:ind w:leftChars="0" w:left="924" w:right="567" w:hanging="357"/>
        <w:jc w:val="both"/>
        <w:rPr>
          <w:rFonts w:ascii="Times New Roman" w:eastAsia="標楷體" w:hAnsi="Times New Roman"/>
          <w:sz w:val="28"/>
        </w:rPr>
      </w:pPr>
      <w:r w:rsidRPr="005E758A">
        <w:rPr>
          <w:rFonts w:ascii="Times New Roman" w:eastAsia="標楷體" w:hAnsi="Times New Roman"/>
          <w:sz w:val="28"/>
        </w:rPr>
        <w:t>在無父母同意之情況下，獲得醫療治療或手術之最低年齡；</w:t>
      </w:r>
    </w:p>
    <w:p w14:paraId="4C073130" w14:textId="77777777" w:rsidR="007C1E25" w:rsidRPr="005E758A" w:rsidRDefault="007C1E25" w:rsidP="007119F4">
      <w:pPr>
        <w:pStyle w:val="a0"/>
        <w:numPr>
          <w:ilvl w:val="2"/>
          <w:numId w:val="28"/>
        </w:numPr>
        <w:snapToGrid w:val="0"/>
        <w:spacing w:before="100" w:beforeAutospacing="1" w:after="100" w:afterAutospacing="1"/>
        <w:ind w:leftChars="0" w:left="924" w:right="567" w:hanging="357"/>
        <w:jc w:val="both"/>
        <w:rPr>
          <w:rFonts w:ascii="Times New Roman" w:eastAsia="標楷體" w:hAnsi="Times New Roman"/>
          <w:sz w:val="28"/>
        </w:rPr>
      </w:pPr>
      <w:r w:rsidRPr="005E758A">
        <w:rPr>
          <w:rFonts w:ascii="Times New Roman" w:eastAsia="標楷體" w:hAnsi="Times New Roman"/>
          <w:sz w:val="28"/>
        </w:rPr>
        <w:t>完成義務教育之年齡；</w:t>
      </w:r>
    </w:p>
    <w:p w14:paraId="4AF6CC23" w14:textId="77777777" w:rsidR="007C1E25" w:rsidRPr="005E758A" w:rsidRDefault="007C1E25" w:rsidP="007119F4">
      <w:pPr>
        <w:pStyle w:val="a0"/>
        <w:numPr>
          <w:ilvl w:val="2"/>
          <w:numId w:val="28"/>
        </w:numPr>
        <w:snapToGrid w:val="0"/>
        <w:spacing w:before="100" w:beforeAutospacing="1" w:after="100" w:afterAutospacing="1"/>
        <w:ind w:leftChars="0" w:left="924" w:right="567" w:hanging="357"/>
        <w:jc w:val="both"/>
        <w:rPr>
          <w:rFonts w:ascii="Times New Roman" w:eastAsia="標楷體" w:hAnsi="Times New Roman"/>
          <w:sz w:val="28"/>
        </w:rPr>
      </w:pPr>
      <w:r w:rsidRPr="005E758A">
        <w:rPr>
          <w:rFonts w:ascii="Times New Roman" w:eastAsia="標楷體" w:hAnsi="Times New Roman"/>
          <w:sz w:val="28"/>
        </w:rPr>
        <w:t>童工之最低年齡（包括全職與兼職）以及從事危險行業之年齡限制；</w:t>
      </w:r>
    </w:p>
    <w:p w14:paraId="7902426A" w14:textId="77777777" w:rsidR="007C1E25" w:rsidRPr="005E758A" w:rsidRDefault="007C1E25" w:rsidP="007119F4">
      <w:pPr>
        <w:pStyle w:val="a0"/>
        <w:numPr>
          <w:ilvl w:val="2"/>
          <w:numId w:val="28"/>
        </w:numPr>
        <w:snapToGrid w:val="0"/>
        <w:spacing w:before="100" w:beforeAutospacing="1" w:after="100" w:afterAutospacing="1"/>
        <w:ind w:leftChars="0" w:left="924" w:right="567" w:hanging="357"/>
        <w:jc w:val="both"/>
        <w:rPr>
          <w:rFonts w:ascii="Times New Roman" w:eastAsia="標楷體" w:hAnsi="Times New Roman"/>
          <w:sz w:val="28"/>
        </w:rPr>
      </w:pPr>
      <w:r w:rsidRPr="005E758A">
        <w:rPr>
          <w:rFonts w:ascii="Times New Roman" w:eastAsia="標楷體" w:hAnsi="Times New Roman"/>
          <w:sz w:val="28"/>
        </w:rPr>
        <w:t>得結婚之年齡；</w:t>
      </w:r>
    </w:p>
    <w:p w14:paraId="66BAC555" w14:textId="77777777" w:rsidR="007C1E25" w:rsidRPr="005E758A" w:rsidRDefault="007C1E25" w:rsidP="007119F4">
      <w:pPr>
        <w:pStyle w:val="a0"/>
        <w:numPr>
          <w:ilvl w:val="2"/>
          <w:numId w:val="28"/>
        </w:numPr>
        <w:snapToGrid w:val="0"/>
        <w:spacing w:before="100" w:beforeAutospacing="1" w:after="100" w:afterAutospacing="1"/>
        <w:ind w:leftChars="0" w:left="924" w:right="567" w:hanging="357"/>
        <w:jc w:val="both"/>
        <w:rPr>
          <w:rFonts w:ascii="Times New Roman" w:eastAsia="標楷體" w:hAnsi="Times New Roman"/>
          <w:sz w:val="28"/>
        </w:rPr>
      </w:pPr>
      <w:r w:rsidRPr="005E758A">
        <w:rPr>
          <w:rFonts w:ascii="Times New Roman" w:eastAsia="標楷體" w:hAnsi="Times New Roman"/>
          <w:sz w:val="28"/>
        </w:rPr>
        <w:t>合意性行為之最低年齡；</w:t>
      </w:r>
    </w:p>
    <w:p w14:paraId="26312C37" w14:textId="77777777" w:rsidR="007C1E25" w:rsidRPr="005E758A" w:rsidRDefault="007C1E25" w:rsidP="007119F4">
      <w:pPr>
        <w:pStyle w:val="a0"/>
        <w:numPr>
          <w:ilvl w:val="2"/>
          <w:numId w:val="28"/>
        </w:numPr>
        <w:snapToGrid w:val="0"/>
        <w:spacing w:before="100" w:beforeAutospacing="1" w:after="100" w:afterAutospacing="1"/>
        <w:ind w:leftChars="0" w:left="924" w:right="567" w:hanging="357"/>
        <w:jc w:val="both"/>
        <w:rPr>
          <w:rFonts w:ascii="Times New Roman" w:eastAsia="標楷體" w:hAnsi="Times New Roman"/>
          <w:sz w:val="28"/>
        </w:rPr>
      </w:pPr>
      <w:r w:rsidRPr="005E758A">
        <w:rPr>
          <w:rFonts w:ascii="Times New Roman" w:eastAsia="標楷體" w:hAnsi="Times New Roman"/>
          <w:sz w:val="28"/>
        </w:rPr>
        <w:t>入伍之最低年齡（自願與強制）；</w:t>
      </w:r>
    </w:p>
    <w:p w14:paraId="477A07C2" w14:textId="77777777" w:rsidR="007C1E25" w:rsidRPr="005E758A" w:rsidRDefault="007C1E25" w:rsidP="007119F4">
      <w:pPr>
        <w:pStyle w:val="a0"/>
        <w:numPr>
          <w:ilvl w:val="2"/>
          <w:numId w:val="28"/>
        </w:numPr>
        <w:snapToGrid w:val="0"/>
        <w:spacing w:before="100" w:beforeAutospacing="1" w:after="100" w:afterAutospacing="1"/>
        <w:ind w:leftChars="0" w:left="924" w:right="567" w:hanging="357"/>
        <w:jc w:val="both"/>
        <w:rPr>
          <w:rFonts w:ascii="Times New Roman" w:eastAsia="標楷體" w:hAnsi="Times New Roman"/>
          <w:sz w:val="28"/>
        </w:rPr>
      </w:pPr>
      <w:r w:rsidRPr="005E758A">
        <w:rPr>
          <w:rFonts w:ascii="Times New Roman" w:eastAsia="標楷體" w:hAnsi="Times New Roman"/>
          <w:sz w:val="28"/>
        </w:rPr>
        <w:t>因司法、尋求庇護或福利措施而遭逮捕、拘禁等限制人身自由之情況；</w:t>
      </w:r>
    </w:p>
    <w:p w14:paraId="2F8865C9" w14:textId="77777777" w:rsidR="007C1E25" w:rsidRPr="005E758A" w:rsidRDefault="007C1E25" w:rsidP="007119F4">
      <w:pPr>
        <w:pStyle w:val="a0"/>
        <w:numPr>
          <w:ilvl w:val="2"/>
          <w:numId w:val="28"/>
        </w:numPr>
        <w:snapToGrid w:val="0"/>
        <w:spacing w:before="100" w:beforeAutospacing="1" w:after="100" w:afterAutospacing="1"/>
        <w:ind w:leftChars="0" w:left="924" w:right="567" w:hanging="357"/>
        <w:jc w:val="both"/>
        <w:rPr>
          <w:rFonts w:ascii="Times New Roman" w:eastAsia="標楷體" w:hAnsi="Times New Roman"/>
          <w:sz w:val="28"/>
        </w:rPr>
      </w:pPr>
      <w:r w:rsidRPr="005E758A">
        <w:rPr>
          <w:rFonts w:ascii="Times New Roman" w:eastAsia="標楷體" w:hAnsi="Times New Roman"/>
          <w:sz w:val="28"/>
        </w:rPr>
        <w:t>承擔刑事責任之最低年齡；</w:t>
      </w:r>
    </w:p>
    <w:p w14:paraId="1EB58E5D" w14:textId="77777777" w:rsidR="007C1E25" w:rsidRPr="005E758A" w:rsidRDefault="007C1E25" w:rsidP="007119F4">
      <w:pPr>
        <w:pStyle w:val="a0"/>
        <w:numPr>
          <w:ilvl w:val="2"/>
          <w:numId w:val="28"/>
        </w:numPr>
        <w:snapToGrid w:val="0"/>
        <w:spacing w:before="100" w:beforeAutospacing="1" w:after="100" w:afterAutospacing="1"/>
        <w:ind w:leftChars="0" w:left="924" w:right="567" w:hanging="357"/>
        <w:jc w:val="both"/>
        <w:rPr>
          <w:rFonts w:ascii="Times New Roman" w:eastAsia="標楷體" w:hAnsi="Times New Roman"/>
          <w:sz w:val="28"/>
        </w:rPr>
      </w:pPr>
      <w:r w:rsidRPr="005E758A">
        <w:rPr>
          <w:rFonts w:ascii="Times New Roman" w:eastAsia="標楷體" w:hAnsi="Times New Roman"/>
          <w:sz w:val="28"/>
        </w:rPr>
        <w:t>於民事及刑事法庭作證之最低年齡；</w:t>
      </w:r>
    </w:p>
    <w:p w14:paraId="36233E0F" w14:textId="77777777" w:rsidR="007C1E25" w:rsidRPr="005E758A" w:rsidRDefault="007C1E25" w:rsidP="007119F4">
      <w:pPr>
        <w:pStyle w:val="a0"/>
        <w:numPr>
          <w:ilvl w:val="2"/>
          <w:numId w:val="28"/>
        </w:numPr>
        <w:snapToGrid w:val="0"/>
        <w:spacing w:before="100" w:beforeAutospacing="1" w:after="100" w:afterAutospacing="1"/>
        <w:ind w:leftChars="0" w:left="924" w:right="567" w:hanging="357"/>
        <w:jc w:val="both"/>
        <w:rPr>
          <w:rFonts w:ascii="Times New Roman" w:eastAsia="標楷體" w:hAnsi="Times New Roman"/>
          <w:sz w:val="28"/>
        </w:rPr>
      </w:pPr>
      <w:r w:rsidRPr="005E758A">
        <w:rPr>
          <w:rFonts w:ascii="Times New Roman" w:eastAsia="標楷體" w:hAnsi="Times New Roman"/>
          <w:sz w:val="28"/>
        </w:rPr>
        <w:t>無法定代理人許可之情況下，是否得向法院或其他機關提出聲請或申訴；</w:t>
      </w:r>
    </w:p>
    <w:p w14:paraId="011088BD" w14:textId="77777777" w:rsidR="007C1E25" w:rsidRPr="005E758A" w:rsidRDefault="007C1E25" w:rsidP="007119F4">
      <w:pPr>
        <w:pStyle w:val="a0"/>
        <w:numPr>
          <w:ilvl w:val="2"/>
          <w:numId w:val="28"/>
        </w:numPr>
        <w:snapToGrid w:val="0"/>
        <w:spacing w:before="100" w:beforeAutospacing="1" w:after="100" w:afterAutospacing="1"/>
        <w:ind w:leftChars="0" w:left="924" w:right="567" w:hanging="357"/>
        <w:jc w:val="both"/>
        <w:rPr>
          <w:rFonts w:ascii="Times New Roman" w:eastAsia="標楷體" w:hAnsi="Times New Roman"/>
          <w:sz w:val="28"/>
        </w:rPr>
      </w:pPr>
      <w:r w:rsidRPr="005E758A">
        <w:rPr>
          <w:rFonts w:ascii="Times New Roman" w:eastAsia="標楷體" w:hAnsi="Times New Roman"/>
          <w:sz w:val="28"/>
        </w:rPr>
        <w:t>於司法及行政程序中是否得參與程序；</w:t>
      </w:r>
    </w:p>
    <w:p w14:paraId="725A727B" w14:textId="77777777" w:rsidR="007C1E25" w:rsidRPr="005E758A" w:rsidRDefault="007C1E25" w:rsidP="007119F4">
      <w:pPr>
        <w:pStyle w:val="a0"/>
        <w:numPr>
          <w:ilvl w:val="2"/>
          <w:numId w:val="28"/>
        </w:numPr>
        <w:snapToGrid w:val="0"/>
        <w:spacing w:before="100" w:beforeAutospacing="1" w:after="100" w:afterAutospacing="1"/>
        <w:ind w:leftChars="0" w:left="924" w:right="567" w:hanging="357"/>
        <w:jc w:val="both"/>
        <w:rPr>
          <w:rFonts w:ascii="Times New Roman" w:eastAsia="標楷體" w:hAnsi="Times New Roman"/>
          <w:sz w:val="28"/>
        </w:rPr>
      </w:pPr>
      <w:r w:rsidRPr="005E758A">
        <w:rPr>
          <w:rFonts w:ascii="Times New Roman" w:eastAsia="標楷體" w:hAnsi="Times New Roman"/>
          <w:sz w:val="28"/>
        </w:rPr>
        <w:t>具備「同意」改變其姓名、收</w:t>
      </w:r>
      <w:proofErr w:type="gramStart"/>
      <w:r w:rsidRPr="005E758A">
        <w:rPr>
          <w:rFonts w:ascii="Times New Roman" w:eastAsia="標楷體" w:hAnsi="Times New Roman"/>
          <w:sz w:val="28"/>
        </w:rPr>
        <w:t>出養等身分</w:t>
      </w:r>
      <w:proofErr w:type="gramEnd"/>
      <w:r w:rsidRPr="005E758A">
        <w:rPr>
          <w:rFonts w:ascii="Times New Roman" w:eastAsia="標楷體" w:hAnsi="Times New Roman"/>
          <w:sz w:val="28"/>
        </w:rPr>
        <w:t>事項之能力；</w:t>
      </w:r>
    </w:p>
    <w:p w14:paraId="12E6BEE4" w14:textId="77777777" w:rsidR="007C1E25" w:rsidRPr="005E758A" w:rsidRDefault="007C1E25" w:rsidP="007119F4">
      <w:pPr>
        <w:pStyle w:val="a0"/>
        <w:numPr>
          <w:ilvl w:val="2"/>
          <w:numId w:val="28"/>
        </w:numPr>
        <w:snapToGrid w:val="0"/>
        <w:spacing w:before="100" w:beforeAutospacing="1" w:after="100" w:afterAutospacing="1"/>
        <w:ind w:leftChars="0" w:left="924" w:right="567" w:hanging="357"/>
        <w:jc w:val="both"/>
        <w:rPr>
          <w:rFonts w:ascii="Times New Roman" w:eastAsia="標楷體" w:hAnsi="Times New Roman"/>
          <w:sz w:val="28"/>
        </w:rPr>
      </w:pPr>
      <w:r w:rsidRPr="005E758A">
        <w:rPr>
          <w:rFonts w:ascii="Times New Roman" w:eastAsia="標楷體" w:hAnsi="Times New Roman"/>
          <w:sz w:val="28"/>
        </w:rPr>
        <w:t>得取得有關其原生家庭資訊之年齡；</w:t>
      </w:r>
    </w:p>
    <w:p w14:paraId="3935E68D" w14:textId="77777777" w:rsidR="007C1E25" w:rsidRPr="005E758A" w:rsidRDefault="007C1E25" w:rsidP="007119F4">
      <w:pPr>
        <w:pStyle w:val="a0"/>
        <w:numPr>
          <w:ilvl w:val="2"/>
          <w:numId w:val="28"/>
        </w:numPr>
        <w:snapToGrid w:val="0"/>
        <w:spacing w:before="100" w:beforeAutospacing="1" w:after="100" w:afterAutospacing="1"/>
        <w:ind w:leftChars="0" w:left="924" w:right="567" w:hanging="357"/>
        <w:jc w:val="both"/>
        <w:rPr>
          <w:rFonts w:ascii="Times New Roman" w:eastAsia="標楷體" w:hAnsi="Times New Roman"/>
          <w:sz w:val="28"/>
        </w:rPr>
      </w:pPr>
      <w:r w:rsidRPr="005E758A">
        <w:rPr>
          <w:rFonts w:ascii="Times New Roman" w:eastAsia="標楷體" w:hAnsi="Times New Roman"/>
          <w:sz w:val="28"/>
        </w:rPr>
        <w:t>得投票之年齡。</w:t>
      </w:r>
    </w:p>
    <w:p w14:paraId="63DA9220" w14:textId="77777777" w:rsidR="007C1E25" w:rsidRPr="005E758A" w:rsidRDefault="007C1E25" w:rsidP="007C1E25">
      <w:pPr>
        <w:snapToGrid w:val="0"/>
        <w:spacing w:before="100" w:beforeAutospacing="1" w:after="100" w:afterAutospacing="1"/>
        <w:ind w:firstLineChars="200" w:firstLine="560"/>
        <w:jc w:val="both"/>
        <w:rPr>
          <w:sz w:val="28"/>
        </w:rPr>
      </w:pPr>
      <w:r w:rsidRPr="005E758A">
        <w:rPr>
          <w:sz w:val="28"/>
        </w:rPr>
        <w:t>上開規範之目的並不表示締約國應針對該等事項逐一訂定最低年齡</w:t>
      </w:r>
      <w:r w:rsidRPr="005E758A">
        <w:rPr>
          <w:vertAlign w:val="superscript"/>
        </w:rPr>
        <w:endnoteReference w:id="7"/>
      </w:r>
      <w:r w:rsidRPr="005E758A">
        <w:rPr>
          <w:sz w:val="28"/>
        </w:rPr>
        <w:t>。一般而言，以保護兒童為目的所訂定之年齡應盡可能提高（如兒童刑事責任）；而部分涉及兒童自主事項之議題，例如在無法定代理人許可之情況下，是否得向法院或其他機關提出聲請或申訴，以年齡為區隔之硬性規定反而可能不符合兒童的最佳利益。例如，公約有關兒童表示意見的權利（第</w:t>
      </w:r>
      <w:r w:rsidRPr="005E758A">
        <w:rPr>
          <w:sz w:val="28"/>
        </w:rPr>
        <w:t>12</w:t>
      </w:r>
      <w:r w:rsidRPr="005E758A">
        <w:rPr>
          <w:sz w:val="28"/>
        </w:rPr>
        <w:t>條）即以兒童的「年齡與成熟度」為判定標準；而其他個別條款（如第</w:t>
      </w:r>
      <w:r w:rsidRPr="005E758A">
        <w:rPr>
          <w:sz w:val="28"/>
        </w:rPr>
        <w:t>14</w:t>
      </w:r>
      <w:r w:rsidRPr="005E758A">
        <w:rPr>
          <w:sz w:val="28"/>
        </w:rPr>
        <w:t>條宗教信仰之規定）中亦強調個案判斷時應重視兒童「各發展階段能力」的差異性</w:t>
      </w:r>
      <w:r w:rsidRPr="005E758A">
        <w:rPr>
          <w:vertAlign w:val="superscript"/>
        </w:rPr>
        <w:endnoteReference w:id="8"/>
      </w:r>
      <w:r w:rsidRPr="005E758A">
        <w:rPr>
          <w:sz w:val="28"/>
        </w:rPr>
        <w:t>。</w:t>
      </w:r>
    </w:p>
    <w:p w14:paraId="5324CCD6" w14:textId="77777777" w:rsidR="007C1E25" w:rsidRPr="005E758A" w:rsidRDefault="007C1E25" w:rsidP="007C1E25">
      <w:pPr>
        <w:snapToGrid w:val="0"/>
        <w:spacing w:before="100" w:beforeAutospacing="1" w:after="100" w:afterAutospacing="1"/>
        <w:ind w:firstLineChars="200" w:firstLine="560"/>
        <w:jc w:val="both"/>
        <w:rPr>
          <w:sz w:val="28"/>
        </w:rPr>
      </w:pPr>
      <w:r w:rsidRPr="005E758A">
        <w:rPr>
          <w:sz w:val="28"/>
        </w:rPr>
        <w:t>另外，上開各最低年齡之規範應進行整體性之檢視，同時注意</w:t>
      </w:r>
      <w:proofErr w:type="gramStart"/>
      <w:r w:rsidRPr="005E758A">
        <w:rPr>
          <w:sz w:val="28"/>
        </w:rPr>
        <w:t>規範間的相互</w:t>
      </w:r>
      <w:proofErr w:type="gramEnd"/>
      <w:r w:rsidRPr="005E758A">
        <w:rPr>
          <w:sz w:val="28"/>
        </w:rPr>
        <w:t>關聯性。例如兒童完成國民教育之年齡係如何與最低勞動年齡有所連動，勞動年齡過低是否會對兒童教育權造成影響等等。</w:t>
      </w:r>
    </w:p>
    <w:p w14:paraId="45D30735" w14:textId="77777777" w:rsidR="007C1E25" w:rsidRPr="005E758A" w:rsidRDefault="007C1E25" w:rsidP="007C1E25">
      <w:pPr>
        <w:pStyle w:val="2"/>
      </w:pPr>
      <w:r w:rsidRPr="005E758A">
        <w:t>案例介紹</w:t>
      </w:r>
    </w:p>
    <w:p w14:paraId="4BC85172" w14:textId="77777777" w:rsidR="007C1E25" w:rsidRPr="005E758A" w:rsidRDefault="007C1E25" w:rsidP="007119F4">
      <w:pPr>
        <w:pStyle w:val="3"/>
        <w:numPr>
          <w:ilvl w:val="0"/>
          <w:numId w:val="29"/>
        </w:numPr>
        <w:ind w:left="482" w:hanging="482"/>
      </w:pPr>
      <w:r w:rsidRPr="005E758A">
        <w:lastRenderedPageBreak/>
        <w:t>2014</w:t>
      </w:r>
      <w:r w:rsidRPr="005E758A">
        <w:t>年印度最高法院少年司法適用年齡案：</w:t>
      </w:r>
      <w:r w:rsidRPr="005E758A">
        <w:t xml:space="preserve">Dr Subramanian Swamy &amp; </w:t>
      </w:r>
      <w:proofErr w:type="spellStart"/>
      <w:r w:rsidRPr="005E758A">
        <w:t>Ors</w:t>
      </w:r>
      <w:proofErr w:type="spellEnd"/>
      <w:r w:rsidRPr="005E758A">
        <w:t xml:space="preserve"> v. Raju </w:t>
      </w:r>
      <w:proofErr w:type="spellStart"/>
      <w:r w:rsidRPr="005E758A">
        <w:t>Thr</w:t>
      </w:r>
      <w:proofErr w:type="spellEnd"/>
      <w:r w:rsidRPr="005E758A">
        <w:t xml:space="preserve">. Member Juvenile Justice Board &amp; </w:t>
      </w:r>
      <w:proofErr w:type="spellStart"/>
      <w:r w:rsidRPr="005E758A">
        <w:t>Anr</w:t>
      </w:r>
      <w:proofErr w:type="spellEnd"/>
      <w:r w:rsidRPr="005E758A">
        <w:rPr>
          <w:rStyle w:val="af3"/>
        </w:rPr>
        <w:endnoteReference w:id="9"/>
      </w:r>
    </w:p>
    <w:p w14:paraId="5EE97068" w14:textId="77777777" w:rsidR="007C1E25" w:rsidRPr="005E758A" w:rsidRDefault="007C1E25" w:rsidP="007C1E25">
      <w:pPr>
        <w:snapToGrid w:val="0"/>
        <w:spacing w:before="100" w:beforeAutospacing="1" w:after="100" w:afterAutospacing="1"/>
        <w:ind w:firstLineChars="200" w:firstLine="560"/>
        <w:jc w:val="both"/>
        <w:rPr>
          <w:sz w:val="28"/>
        </w:rPr>
      </w:pPr>
      <w:r w:rsidRPr="005E758A">
        <w:rPr>
          <w:sz w:val="28"/>
        </w:rPr>
        <w:t>一名未滿</w:t>
      </w:r>
      <w:r w:rsidRPr="005E758A">
        <w:rPr>
          <w:sz w:val="28"/>
        </w:rPr>
        <w:t>18</w:t>
      </w:r>
      <w:r w:rsidRPr="005E758A">
        <w:rPr>
          <w:sz w:val="28"/>
        </w:rPr>
        <w:t>歲的男童與另外</w:t>
      </w:r>
      <w:r w:rsidRPr="005E758A">
        <w:rPr>
          <w:sz w:val="28"/>
        </w:rPr>
        <w:t>4</w:t>
      </w:r>
      <w:proofErr w:type="gramStart"/>
      <w:r w:rsidRPr="005E758A">
        <w:rPr>
          <w:sz w:val="28"/>
        </w:rPr>
        <w:t>人性侵並攻擊</w:t>
      </w:r>
      <w:proofErr w:type="gramEnd"/>
      <w:r w:rsidRPr="005E758A">
        <w:rPr>
          <w:sz w:val="28"/>
        </w:rPr>
        <w:t>一名年輕女性，而該名女性其後傷重死亡，根據印度少年事件處理法</w:t>
      </w:r>
      <w:r w:rsidRPr="005E758A">
        <w:rPr>
          <w:sz w:val="28"/>
        </w:rPr>
        <w:t>(Juvenile Justice Act)</w:t>
      </w:r>
      <w:r w:rsidRPr="005E758A">
        <w:rPr>
          <w:sz w:val="28"/>
        </w:rPr>
        <w:t>，這位男童的犯行交由少年事件委員會處理，許多人提出申訴，認為這名男童涉及罪</w:t>
      </w:r>
      <w:r w:rsidR="00C351A4">
        <w:rPr>
          <w:rFonts w:hint="eastAsia"/>
          <w:sz w:val="28"/>
        </w:rPr>
        <w:t>行</w:t>
      </w:r>
      <w:r w:rsidRPr="005E758A">
        <w:rPr>
          <w:sz w:val="28"/>
        </w:rPr>
        <w:t>重大，應被視為成人並在普通刑事法庭受審。</w:t>
      </w:r>
    </w:p>
    <w:p w14:paraId="3C8A387F" w14:textId="77777777" w:rsidR="007C1E25" w:rsidRPr="005E758A" w:rsidRDefault="007C1E25" w:rsidP="007C1E25">
      <w:pPr>
        <w:snapToGrid w:val="0"/>
        <w:spacing w:before="100" w:beforeAutospacing="1" w:after="100" w:afterAutospacing="1"/>
        <w:ind w:firstLineChars="200" w:firstLine="560"/>
        <w:jc w:val="both"/>
        <w:rPr>
          <w:sz w:val="28"/>
        </w:rPr>
      </w:pPr>
      <w:r w:rsidRPr="005E758A">
        <w:rPr>
          <w:sz w:val="28"/>
        </w:rPr>
        <w:t>法院認為少年事件處理法的規範相當明確且無模糊空間，立法者顯然有意將未滿</w:t>
      </w:r>
      <w:r w:rsidRPr="005E758A">
        <w:rPr>
          <w:sz w:val="28"/>
        </w:rPr>
        <w:t>18</w:t>
      </w:r>
      <w:r w:rsidRPr="005E758A">
        <w:rPr>
          <w:sz w:val="28"/>
        </w:rPr>
        <w:t>歲者分為一類，並針對這類人的犯行適用特殊的調查、審判及處罰機制，且此分類亦</w:t>
      </w:r>
      <w:proofErr w:type="gramStart"/>
      <w:r w:rsidRPr="005E758A">
        <w:rPr>
          <w:sz w:val="28"/>
        </w:rPr>
        <w:t>不</w:t>
      </w:r>
      <w:proofErr w:type="gramEnd"/>
      <w:r w:rsidRPr="005E758A">
        <w:rPr>
          <w:sz w:val="28"/>
        </w:rPr>
        <w:t>違憲。這樣的想法呼應了國際社會的態度，印度簽署了許多採取同樣分類方式之國際條約，包括將兒童定義為未滿</w:t>
      </w:r>
      <w:r w:rsidRPr="005E758A">
        <w:rPr>
          <w:sz w:val="28"/>
        </w:rPr>
        <w:t>18</w:t>
      </w:r>
      <w:r w:rsidRPr="005E758A">
        <w:rPr>
          <w:sz w:val="28"/>
        </w:rPr>
        <w:t>歲之人的兒童權利公約，可見印度同意這樣的立場，即使其他國家有不同的意見或實踐，也不影響印度的國內法律。另外，法院認為國際社會中大部分的意見均支持所有未滿</w:t>
      </w:r>
      <w:r w:rsidRPr="005E758A">
        <w:rPr>
          <w:sz w:val="28"/>
        </w:rPr>
        <w:t>18</w:t>
      </w:r>
      <w:r w:rsidRPr="005E758A">
        <w:rPr>
          <w:sz w:val="28"/>
        </w:rPr>
        <w:t>歲</w:t>
      </w:r>
      <w:r w:rsidR="00371A18" w:rsidRPr="005E758A">
        <w:rPr>
          <w:sz w:val="28"/>
        </w:rPr>
        <w:t>之犯罪</w:t>
      </w:r>
      <w:r w:rsidRPr="005E758A">
        <w:rPr>
          <w:sz w:val="28"/>
        </w:rPr>
        <w:t>者皆應受到不同於成人的待遇，以確保其後的更生並在未來成為社會中有用的一員。</w:t>
      </w:r>
    </w:p>
    <w:p w14:paraId="1DA63D80" w14:textId="77777777" w:rsidR="007C1E25" w:rsidRPr="005E758A" w:rsidRDefault="007C1E25" w:rsidP="007119F4">
      <w:pPr>
        <w:pStyle w:val="a0"/>
        <w:numPr>
          <w:ilvl w:val="0"/>
          <w:numId w:val="29"/>
        </w:numPr>
        <w:snapToGrid w:val="0"/>
        <w:spacing w:before="100" w:beforeAutospacing="1" w:after="100" w:afterAutospacing="1"/>
        <w:ind w:leftChars="0" w:left="482" w:hanging="482"/>
        <w:jc w:val="both"/>
        <w:rPr>
          <w:rFonts w:ascii="Times New Roman" w:eastAsia="標楷體" w:hAnsi="Times New Roman"/>
          <w:sz w:val="28"/>
        </w:rPr>
      </w:pPr>
      <w:r w:rsidRPr="005E758A">
        <w:rPr>
          <w:rFonts w:ascii="Times New Roman" w:eastAsia="標楷體" w:hAnsi="Times New Roman"/>
          <w:sz w:val="28"/>
        </w:rPr>
        <w:t>2015</w:t>
      </w:r>
      <w:r w:rsidRPr="005E758A">
        <w:rPr>
          <w:rFonts w:ascii="Times New Roman" w:eastAsia="標楷體" w:hAnsi="Times New Roman"/>
          <w:sz w:val="28"/>
        </w:rPr>
        <w:t>年馬拉威高等法院兒童法律定義案：</w:t>
      </w:r>
      <w:r w:rsidRPr="005E758A">
        <w:rPr>
          <w:rFonts w:ascii="Times New Roman" w:eastAsia="標楷體" w:hAnsi="Times New Roman"/>
          <w:sz w:val="28"/>
        </w:rPr>
        <w:t>The State (</w:t>
      </w:r>
      <w:r w:rsidRPr="005E758A">
        <w:rPr>
          <w:rFonts w:ascii="Times New Roman" w:eastAsia="標楷體" w:hAnsi="Times New Roman"/>
          <w:i/>
          <w:sz w:val="28"/>
        </w:rPr>
        <w:t xml:space="preserve">ex </w:t>
      </w:r>
      <w:proofErr w:type="spellStart"/>
      <w:r w:rsidRPr="005E758A">
        <w:rPr>
          <w:rFonts w:ascii="Times New Roman" w:eastAsia="標楷體" w:hAnsi="Times New Roman"/>
          <w:i/>
          <w:sz w:val="28"/>
        </w:rPr>
        <w:t>parte</w:t>
      </w:r>
      <w:proofErr w:type="spellEnd"/>
      <w:r w:rsidRPr="005E758A">
        <w:rPr>
          <w:rFonts w:ascii="Times New Roman" w:eastAsia="標楷體" w:hAnsi="Times New Roman"/>
          <w:i/>
          <w:sz w:val="28"/>
        </w:rPr>
        <w:t xml:space="preserve"> </w:t>
      </w:r>
      <w:r w:rsidRPr="005E758A">
        <w:rPr>
          <w:rFonts w:ascii="Times New Roman" w:eastAsia="標楷體" w:hAnsi="Times New Roman"/>
          <w:sz w:val="28"/>
        </w:rPr>
        <w:t xml:space="preserve">Stanford </w:t>
      </w:r>
      <w:proofErr w:type="spellStart"/>
      <w:r w:rsidRPr="005E758A">
        <w:rPr>
          <w:rFonts w:ascii="Times New Roman" w:eastAsia="標楷體" w:hAnsi="Times New Roman"/>
          <w:sz w:val="28"/>
        </w:rPr>
        <w:t>Kashuga</w:t>
      </w:r>
      <w:proofErr w:type="spellEnd"/>
      <w:r w:rsidRPr="005E758A">
        <w:rPr>
          <w:rFonts w:ascii="Times New Roman" w:eastAsia="標楷體" w:hAnsi="Times New Roman"/>
          <w:sz w:val="28"/>
        </w:rPr>
        <w:t>) v. the Second Grade Magistrate Court (Thyolo) and Malawi Prison Service</w:t>
      </w:r>
      <w:r w:rsidRPr="005E758A">
        <w:rPr>
          <w:rStyle w:val="af3"/>
          <w:rFonts w:ascii="Times New Roman" w:eastAsia="標楷體" w:hAnsi="Times New Roman"/>
          <w:sz w:val="28"/>
        </w:rPr>
        <w:endnoteReference w:id="10"/>
      </w:r>
    </w:p>
    <w:p w14:paraId="0D92176B" w14:textId="77777777" w:rsidR="007C1E25" w:rsidRPr="005E758A" w:rsidRDefault="007C1E25" w:rsidP="007C1E25">
      <w:pPr>
        <w:snapToGrid w:val="0"/>
        <w:spacing w:before="100" w:beforeAutospacing="1" w:after="100" w:afterAutospacing="1"/>
        <w:ind w:firstLineChars="200" w:firstLine="560"/>
        <w:jc w:val="both"/>
        <w:rPr>
          <w:sz w:val="28"/>
        </w:rPr>
      </w:pPr>
      <w:r w:rsidRPr="005E758A">
        <w:rPr>
          <w:sz w:val="28"/>
        </w:rPr>
        <w:t>16</w:t>
      </w:r>
      <w:r w:rsidRPr="005E758A">
        <w:rPr>
          <w:sz w:val="28"/>
        </w:rPr>
        <w:t>歲的</w:t>
      </w:r>
      <w:r w:rsidRPr="005E758A">
        <w:rPr>
          <w:sz w:val="28"/>
        </w:rPr>
        <w:t xml:space="preserve">Stanford </w:t>
      </w:r>
      <w:proofErr w:type="spellStart"/>
      <w:r w:rsidRPr="005E758A">
        <w:rPr>
          <w:sz w:val="28"/>
        </w:rPr>
        <w:t>Kashuga</w:t>
      </w:r>
      <w:proofErr w:type="spellEnd"/>
      <w:r w:rsidRPr="005E758A">
        <w:rPr>
          <w:sz w:val="28"/>
        </w:rPr>
        <w:t>涉嫌破門竊盜而受審，由於馬拉威兒童照顧、司法及保護法</w:t>
      </w:r>
      <w:r w:rsidRPr="005E758A">
        <w:rPr>
          <w:sz w:val="28"/>
        </w:rPr>
        <w:t>(Child Care, Justice and Protection Act)</w:t>
      </w:r>
      <w:r w:rsidRPr="005E758A">
        <w:rPr>
          <w:sz w:val="28"/>
        </w:rPr>
        <w:t>中將兒童定義為未滿</w:t>
      </w:r>
      <w:r w:rsidRPr="005E758A">
        <w:rPr>
          <w:sz w:val="28"/>
        </w:rPr>
        <w:t>16</w:t>
      </w:r>
      <w:r w:rsidRPr="005E758A">
        <w:rPr>
          <w:sz w:val="28"/>
        </w:rPr>
        <w:t>歲之人，</w:t>
      </w:r>
      <w:proofErr w:type="spellStart"/>
      <w:r w:rsidR="00C351A4" w:rsidRPr="005E758A">
        <w:rPr>
          <w:sz w:val="28"/>
        </w:rPr>
        <w:t>Kashuga</w:t>
      </w:r>
      <w:proofErr w:type="spellEnd"/>
      <w:r w:rsidRPr="005E758A">
        <w:rPr>
          <w:sz w:val="28"/>
        </w:rPr>
        <w:t>受審過程並未受到不同於成人的待遇，</w:t>
      </w:r>
      <w:proofErr w:type="spellStart"/>
      <w:r w:rsidRPr="005E758A">
        <w:rPr>
          <w:sz w:val="28"/>
        </w:rPr>
        <w:t>Kashuga</w:t>
      </w:r>
      <w:proofErr w:type="spellEnd"/>
      <w:r w:rsidRPr="005E758A">
        <w:rPr>
          <w:sz w:val="28"/>
        </w:rPr>
        <w:t>主張審理法院並無管轄權，另外，憲法中規範成年年齡為</w:t>
      </w:r>
      <w:r w:rsidRPr="005E758A">
        <w:rPr>
          <w:sz w:val="28"/>
        </w:rPr>
        <w:t>18</w:t>
      </w:r>
      <w:r w:rsidRPr="005E758A">
        <w:rPr>
          <w:sz w:val="28"/>
        </w:rPr>
        <w:t>歲，審理法院未賦予</w:t>
      </w:r>
      <w:proofErr w:type="spellStart"/>
      <w:r w:rsidRPr="005E758A">
        <w:rPr>
          <w:sz w:val="28"/>
        </w:rPr>
        <w:t>Kashuga</w:t>
      </w:r>
      <w:proofErr w:type="spellEnd"/>
      <w:r w:rsidRPr="005E758A">
        <w:rPr>
          <w:sz w:val="28"/>
        </w:rPr>
        <w:t>兒童的待遇，違背其義務。</w:t>
      </w:r>
    </w:p>
    <w:p w14:paraId="38991506" w14:textId="77777777" w:rsidR="007C1E25" w:rsidRPr="005E758A" w:rsidRDefault="007C1E25" w:rsidP="007C1E25">
      <w:pPr>
        <w:snapToGrid w:val="0"/>
        <w:spacing w:before="100" w:beforeAutospacing="1" w:after="100" w:afterAutospacing="1"/>
        <w:ind w:firstLineChars="200" w:firstLine="560"/>
        <w:jc w:val="both"/>
        <w:rPr>
          <w:sz w:val="28"/>
        </w:rPr>
      </w:pPr>
      <w:proofErr w:type="spellStart"/>
      <w:r w:rsidRPr="005E758A">
        <w:rPr>
          <w:sz w:val="28"/>
        </w:rPr>
        <w:t>Kashuga</w:t>
      </w:r>
      <w:proofErr w:type="spellEnd"/>
      <w:r w:rsidRPr="005E758A">
        <w:rPr>
          <w:sz w:val="28"/>
        </w:rPr>
        <w:t>引用了兒童權利公約第</w:t>
      </w:r>
      <w:r w:rsidRPr="005E758A">
        <w:rPr>
          <w:sz w:val="28"/>
        </w:rPr>
        <w:t>1</w:t>
      </w:r>
      <w:r w:rsidRPr="005E758A">
        <w:rPr>
          <w:sz w:val="28"/>
        </w:rPr>
        <w:t>條的兒童定義，以及非洲兒童權利及福利憲章相關規定</w:t>
      </w:r>
      <w:r w:rsidR="00C351A4">
        <w:rPr>
          <w:rFonts w:hint="eastAsia"/>
          <w:sz w:val="28"/>
        </w:rPr>
        <w:t>支持其主張</w:t>
      </w:r>
      <w:r w:rsidRPr="005E758A">
        <w:rPr>
          <w:sz w:val="28"/>
        </w:rPr>
        <w:t>，法院</w:t>
      </w:r>
      <w:r w:rsidR="0033442D" w:rsidRPr="005E758A">
        <w:rPr>
          <w:sz w:val="28"/>
        </w:rPr>
        <w:t>則</w:t>
      </w:r>
      <w:r w:rsidRPr="005E758A">
        <w:rPr>
          <w:sz w:val="28"/>
        </w:rPr>
        <w:t>認為應以憲法中規定之成年年齡為標準，與憲法牴觸之法律應視為無效，因此上開法律中的兒童定義需修正，並將本案發回下級法院更審。</w:t>
      </w:r>
      <w:r w:rsidR="00C351A4">
        <w:rPr>
          <w:rFonts w:hint="eastAsia"/>
          <w:sz w:val="28"/>
        </w:rPr>
        <w:t>界定</w:t>
      </w:r>
    </w:p>
    <w:p w14:paraId="63C86703" w14:textId="77777777" w:rsidR="007C1E25" w:rsidRPr="005E758A" w:rsidRDefault="007C1E25" w:rsidP="007C1E25">
      <w:pPr>
        <w:pStyle w:val="2"/>
      </w:pPr>
      <w:r w:rsidRPr="005E758A">
        <w:t>綜合分析</w:t>
      </w:r>
    </w:p>
    <w:p w14:paraId="1A24C425" w14:textId="77777777" w:rsidR="007C1E25" w:rsidRPr="005E758A" w:rsidRDefault="007C1E25" w:rsidP="00DB7825">
      <w:pPr>
        <w:snapToGrid w:val="0"/>
        <w:spacing w:before="100" w:beforeAutospacing="1" w:after="100" w:afterAutospacing="1"/>
        <w:ind w:firstLineChars="200" w:firstLine="560"/>
        <w:jc w:val="both"/>
        <w:rPr>
          <w:sz w:val="28"/>
          <w:szCs w:val="28"/>
        </w:rPr>
      </w:pPr>
      <w:r w:rsidRPr="005E758A">
        <w:rPr>
          <w:sz w:val="28"/>
          <w:szCs w:val="28"/>
        </w:rPr>
        <w:t>本條規定為公約適用對象之</w:t>
      </w:r>
      <w:r w:rsidR="00DF363A">
        <w:rPr>
          <w:rFonts w:hint="eastAsia"/>
          <w:sz w:val="28"/>
          <w:szCs w:val="28"/>
        </w:rPr>
        <w:t>界</w:t>
      </w:r>
      <w:r w:rsidRPr="005E758A">
        <w:rPr>
          <w:sz w:val="28"/>
          <w:szCs w:val="28"/>
        </w:rPr>
        <w:t>定，即包括所有未滿</w:t>
      </w:r>
      <w:r w:rsidRPr="005E758A">
        <w:rPr>
          <w:sz w:val="28"/>
          <w:szCs w:val="28"/>
        </w:rPr>
        <w:t>18</w:t>
      </w:r>
      <w:r w:rsidRPr="005E758A">
        <w:rPr>
          <w:sz w:val="28"/>
          <w:szCs w:val="28"/>
        </w:rPr>
        <w:t>歲之人。但此為原則性規定，如有特殊考量，則會有特別的規定，例如公約第</w:t>
      </w:r>
      <w:r w:rsidRPr="005E758A">
        <w:rPr>
          <w:sz w:val="28"/>
          <w:szCs w:val="28"/>
        </w:rPr>
        <w:t>38</w:t>
      </w:r>
      <w:r w:rsidRPr="005E758A">
        <w:rPr>
          <w:sz w:val="28"/>
          <w:szCs w:val="28"/>
        </w:rPr>
        <w:t>條，將兒童涉入武裝衝突行為的年齡降為</w:t>
      </w:r>
      <w:r w:rsidRPr="005E758A">
        <w:rPr>
          <w:sz w:val="28"/>
          <w:szCs w:val="28"/>
        </w:rPr>
        <w:t>15</w:t>
      </w:r>
      <w:r w:rsidRPr="005E758A">
        <w:rPr>
          <w:sz w:val="28"/>
          <w:szCs w:val="28"/>
        </w:rPr>
        <w:t>歲是。在台灣，民國</w:t>
      </w:r>
      <w:r w:rsidRPr="005E758A">
        <w:rPr>
          <w:sz w:val="28"/>
          <w:szCs w:val="28"/>
        </w:rPr>
        <w:t>104</w:t>
      </w:r>
      <w:r w:rsidRPr="005E758A">
        <w:rPr>
          <w:sz w:val="28"/>
          <w:szCs w:val="28"/>
        </w:rPr>
        <w:t>年</w:t>
      </w:r>
      <w:r w:rsidRPr="005E758A">
        <w:rPr>
          <w:sz w:val="28"/>
          <w:szCs w:val="28"/>
        </w:rPr>
        <w:t>2</w:t>
      </w:r>
      <w:r w:rsidRPr="005E758A">
        <w:rPr>
          <w:sz w:val="28"/>
          <w:szCs w:val="28"/>
        </w:rPr>
        <w:t>月</w:t>
      </w:r>
      <w:r w:rsidRPr="005E758A">
        <w:rPr>
          <w:sz w:val="28"/>
          <w:szCs w:val="28"/>
        </w:rPr>
        <w:t>4</w:t>
      </w:r>
      <w:r w:rsidRPr="005E758A">
        <w:rPr>
          <w:sz w:val="28"/>
          <w:szCs w:val="28"/>
        </w:rPr>
        <w:t>日修正之兒童及少年福利與權利保障法第</w:t>
      </w:r>
      <w:r w:rsidRPr="005E758A">
        <w:rPr>
          <w:sz w:val="28"/>
          <w:szCs w:val="28"/>
        </w:rPr>
        <w:t>2</w:t>
      </w:r>
      <w:r w:rsidRPr="005E758A">
        <w:rPr>
          <w:sz w:val="28"/>
          <w:szCs w:val="28"/>
        </w:rPr>
        <w:t>條則將未滿</w:t>
      </w:r>
      <w:r w:rsidRPr="005E758A">
        <w:rPr>
          <w:sz w:val="28"/>
          <w:szCs w:val="28"/>
        </w:rPr>
        <w:t>18</w:t>
      </w:r>
      <w:r w:rsidRPr="005E758A">
        <w:rPr>
          <w:sz w:val="28"/>
          <w:szCs w:val="28"/>
        </w:rPr>
        <w:t>歲之人分為兩類，即兒童</w:t>
      </w:r>
      <w:r w:rsidR="00DF363A">
        <w:rPr>
          <w:rFonts w:hint="eastAsia"/>
          <w:sz w:val="28"/>
          <w:szCs w:val="28"/>
        </w:rPr>
        <w:t>（</w:t>
      </w:r>
      <w:r w:rsidRPr="005E758A">
        <w:rPr>
          <w:sz w:val="28"/>
          <w:szCs w:val="28"/>
        </w:rPr>
        <w:t>未滿</w:t>
      </w:r>
      <w:r w:rsidRPr="005E758A">
        <w:rPr>
          <w:sz w:val="28"/>
          <w:szCs w:val="28"/>
        </w:rPr>
        <w:t>12</w:t>
      </w:r>
      <w:r w:rsidRPr="005E758A">
        <w:rPr>
          <w:sz w:val="28"/>
          <w:szCs w:val="28"/>
        </w:rPr>
        <w:t>歲</w:t>
      </w:r>
      <w:r w:rsidR="00DF363A">
        <w:rPr>
          <w:rFonts w:hint="eastAsia"/>
          <w:sz w:val="28"/>
          <w:szCs w:val="28"/>
        </w:rPr>
        <w:t>）</w:t>
      </w:r>
      <w:r w:rsidRPr="005E758A">
        <w:rPr>
          <w:sz w:val="28"/>
          <w:szCs w:val="28"/>
        </w:rPr>
        <w:t>及少年</w:t>
      </w:r>
      <w:r w:rsidR="00DF363A">
        <w:rPr>
          <w:rFonts w:hint="eastAsia"/>
          <w:sz w:val="28"/>
          <w:szCs w:val="28"/>
        </w:rPr>
        <w:t>（</w:t>
      </w:r>
      <w:r w:rsidRPr="005E758A">
        <w:rPr>
          <w:sz w:val="28"/>
          <w:szCs w:val="28"/>
        </w:rPr>
        <w:t>12</w:t>
      </w:r>
      <w:r w:rsidRPr="005E758A">
        <w:rPr>
          <w:sz w:val="28"/>
          <w:szCs w:val="28"/>
        </w:rPr>
        <w:t>歲以上未滿</w:t>
      </w:r>
      <w:r w:rsidRPr="005E758A">
        <w:rPr>
          <w:sz w:val="28"/>
          <w:szCs w:val="28"/>
        </w:rPr>
        <w:t>18</w:t>
      </w:r>
      <w:r w:rsidRPr="005E758A">
        <w:rPr>
          <w:sz w:val="28"/>
          <w:szCs w:val="28"/>
        </w:rPr>
        <w:lastRenderedPageBreak/>
        <w:t>歲</w:t>
      </w:r>
      <w:r w:rsidR="00DF363A">
        <w:rPr>
          <w:rFonts w:hint="eastAsia"/>
          <w:sz w:val="28"/>
          <w:szCs w:val="28"/>
        </w:rPr>
        <w:t>）</w:t>
      </w:r>
      <w:r w:rsidRPr="005E758A">
        <w:rPr>
          <w:sz w:val="28"/>
          <w:szCs w:val="28"/>
        </w:rPr>
        <w:t>。此項內國法上的分類並不影響公約本條所定之適用對象</w:t>
      </w:r>
      <w:r w:rsidR="0033442D" w:rsidRPr="005E758A">
        <w:rPr>
          <w:sz w:val="28"/>
          <w:szCs w:val="28"/>
        </w:rPr>
        <w:t>，故與公約並無不符</w:t>
      </w:r>
      <w:r w:rsidRPr="005E758A">
        <w:rPr>
          <w:sz w:val="28"/>
          <w:szCs w:val="28"/>
        </w:rPr>
        <w:t>。</w:t>
      </w:r>
    </w:p>
    <w:p w14:paraId="0F85820E" w14:textId="77777777" w:rsidR="007C1E25" w:rsidRPr="005E758A" w:rsidRDefault="007C1E25" w:rsidP="007C1E25">
      <w:pPr>
        <w:pStyle w:val="2"/>
      </w:pPr>
      <w:r w:rsidRPr="005E758A">
        <w:t>參考資料</w:t>
      </w:r>
    </w:p>
    <w:p w14:paraId="0FDB18EC" w14:textId="77777777" w:rsidR="00041AD0" w:rsidRPr="005E758A" w:rsidRDefault="00041AD0" w:rsidP="00041AD0">
      <w:pPr>
        <w:pStyle w:val="a0"/>
        <w:numPr>
          <w:ilvl w:val="0"/>
          <w:numId w:val="30"/>
        </w:numPr>
        <w:snapToGrid w:val="0"/>
        <w:ind w:leftChars="0"/>
        <w:jc w:val="both"/>
        <w:rPr>
          <w:rFonts w:ascii="Times New Roman" w:eastAsia="標楷體" w:hAnsi="Times New Roman"/>
          <w:sz w:val="28"/>
          <w:szCs w:val="28"/>
        </w:rPr>
      </w:pPr>
      <w:r w:rsidRPr="005E758A">
        <w:rPr>
          <w:rFonts w:ascii="Times New Roman" w:eastAsia="標楷體" w:hAnsi="Times New Roman"/>
          <w:sz w:val="28"/>
          <w:szCs w:val="28"/>
        </w:rPr>
        <w:t>兒童權利委員會，關於締約國根據兒童權利公約第</w:t>
      </w:r>
      <w:r w:rsidRPr="005E758A">
        <w:rPr>
          <w:rFonts w:ascii="Times New Roman" w:eastAsia="標楷體" w:hAnsi="Times New Roman"/>
          <w:sz w:val="28"/>
          <w:szCs w:val="28"/>
        </w:rPr>
        <w:t>44</w:t>
      </w:r>
      <w:r w:rsidRPr="005E758A">
        <w:rPr>
          <w:rFonts w:ascii="Times New Roman" w:eastAsia="標楷體" w:hAnsi="Times New Roman"/>
          <w:sz w:val="28"/>
          <w:szCs w:val="28"/>
        </w:rPr>
        <w:t>條第</w:t>
      </w:r>
      <w:r w:rsidRPr="005E758A">
        <w:rPr>
          <w:rFonts w:ascii="Times New Roman" w:eastAsia="標楷體" w:hAnsi="Times New Roman"/>
          <w:sz w:val="28"/>
          <w:szCs w:val="28"/>
        </w:rPr>
        <w:t>1</w:t>
      </w:r>
      <w:r w:rsidRPr="005E758A">
        <w:rPr>
          <w:rFonts w:ascii="Times New Roman" w:eastAsia="標楷體" w:hAnsi="Times New Roman"/>
          <w:sz w:val="28"/>
          <w:szCs w:val="28"/>
        </w:rPr>
        <w:t>款</w:t>
      </w:r>
      <w:r w:rsidRPr="005E758A">
        <w:rPr>
          <w:rFonts w:ascii="Times New Roman" w:eastAsia="標楷體" w:hAnsi="Times New Roman"/>
          <w:sz w:val="28"/>
          <w:szCs w:val="28"/>
        </w:rPr>
        <w:t>(b)</w:t>
      </w:r>
      <w:r w:rsidRPr="005E758A">
        <w:rPr>
          <w:rFonts w:ascii="Times New Roman" w:eastAsia="標楷體" w:hAnsi="Times New Roman"/>
          <w:sz w:val="28"/>
          <w:szCs w:val="28"/>
        </w:rPr>
        <w:t>項提交的定期報告的形式和內容的一般準則（</w:t>
      </w:r>
      <w:r w:rsidRPr="005E758A">
        <w:rPr>
          <w:rFonts w:ascii="Times New Roman" w:eastAsia="標楷體" w:hAnsi="Times New Roman"/>
          <w:sz w:val="28"/>
          <w:szCs w:val="28"/>
        </w:rPr>
        <w:t>1996</w:t>
      </w:r>
      <w:r w:rsidRPr="005E758A">
        <w:rPr>
          <w:rFonts w:ascii="Times New Roman" w:eastAsia="標楷體" w:hAnsi="Times New Roman"/>
          <w:sz w:val="28"/>
          <w:szCs w:val="28"/>
        </w:rPr>
        <w:t>年版）。</w:t>
      </w:r>
      <w:r w:rsidRPr="005E758A">
        <w:rPr>
          <w:rFonts w:ascii="Times New Roman" w:eastAsia="標楷體" w:hAnsi="Times New Roman"/>
          <w:sz w:val="28"/>
          <w:szCs w:val="28"/>
        </w:rPr>
        <w:t>(Committee on the Rights of the Child, Treaty-Specific Guidelines Regarding the Form and Content of Periodic Reports to Be Submitted by States Parties under Article 44, Paragraph 1 (b), of the Convention on the Rights of the Child, U.N. Doc. CRC/C/58 (Nov. 20, 1996).)</w:t>
      </w:r>
    </w:p>
    <w:p w14:paraId="6357D44C" w14:textId="77777777" w:rsidR="007C1E25" w:rsidRPr="005E758A" w:rsidRDefault="007C1E25" w:rsidP="007119F4">
      <w:pPr>
        <w:pStyle w:val="a0"/>
        <w:numPr>
          <w:ilvl w:val="0"/>
          <w:numId w:val="30"/>
        </w:numPr>
        <w:snapToGrid w:val="0"/>
        <w:ind w:leftChars="0"/>
        <w:jc w:val="both"/>
        <w:rPr>
          <w:rFonts w:ascii="Times New Roman" w:eastAsia="標楷體" w:hAnsi="Times New Roman"/>
          <w:sz w:val="28"/>
          <w:szCs w:val="28"/>
        </w:rPr>
      </w:pPr>
      <w:r w:rsidRPr="005E758A">
        <w:rPr>
          <w:rFonts w:ascii="Times New Roman" w:eastAsia="標楷體" w:hAnsi="Times New Roman"/>
          <w:sz w:val="28"/>
          <w:szCs w:val="28"/>
        </w:rPr>
        <w:t>兒童權利委員會，關於締約國根據兒童權利公約第</w:t>
      </w:r>
      <w:r w:rsidRPr="005E758A">
        <w:rPr>
          <w:rFonts w:ascii="Times New Roman" w:eastAsia="標楷體" w:hAnsi="Times New Roman"/>
          <w:sz w:val="28"/>
          <w:szCs w:val="28"/>
        </w:rPr>
        <w:t>44</w:t>
      </w:r>
      <w:r w:rsidRPr="005E758A">
        <w:rPr>
          <w:rFonts w:ascii="Times New Roman" w:eastAsia="標楷體" w:hAnsi="Times New Roman"/>
          <w:sz w:val="28"/>
          <w:szCs w:val="28"/>
        </w:rPr>
        <w:t>條第</w:t>
      </w:r>
      <w:r w:rsidRPr="005E758A">
        <w:rPr>
          <w:rFonts w:ascii="Times New Roman" w:eastAsia="標楷體" w:hAnsi="Times New Roman"/>
          <w:sz w:val="28"/>
          <w:szCs w:val="28"/>
        </w:rPr>
        <w:t>1</w:t>
      </w:r>
      <w:r w:rsidRPr="005E758A">
        <w:rPr>
          <w:rFonts w:ascii="Times New Roman" w:eastAsia="標楷體" w:hAnsi="Times New Roman"/>
          <w:sz w:val="28"/>
          <w:szCs w:val="28"/>
        </w:rPr>
        <w:t>款</w:t>
      </w:r>
      <w:r w:rsidRPr="005E758A">
        <w:rPr>
          <w:rFonts w:ascii="Times New Roman" w:eastAsia="標楷體" w:hAnsi="Times New Roman"/>
          <w:sz w:val="28"/>
          <w:szCs w:val="28"/>
        </w:rPr>
        <w:t>(b)</w:t>
      </w:r>
      <w:r w:rsidRPr="005E758A">
        <w:rPr>
          <w:rFonts w:ascii="Times New Roman" w:eastAsia="標楷體" w:hAnsi="Times New Roman"/>
          <w:sz w:val="28"/>
          <w:szCs w:val="28"/>
        </w:rPr>
        <w:t>項提交的定期報告的形式和內容的條約專要準則（</w:t>
      </w:r>
      <w:r w:rsidRPr="005E758A">
        <w:rPr>
          <w:rFonts w:ascii="Times New Roman" w:eastAsia="標楷體" w:hAnsi="Times New Roman"/>
          <w:sz w:val="28"/>
          <w:szCs w:val="28"/>
        </w:rPr>
        <w:t>2015</w:t>
      </w:r>
      <w:r w:rsidRPr="005E758A">
        <w:rPr>
          <w:rFonts w:ascii="Times New Roman" w:eastAsia="標楷體" w:hAnsi="Times New Roman"/>
          <w:sz w:val="28"/>
          <w:szCs w:val="28"/>
        </w:rPr>
        <w:t>年修訂版）。</w:t>
      </w:r>
      <w:r w:rsidRPr="005E758A">
        <w:rPr>
          <w:rFonts w:ascii="Times New Roman" w:eastAsia="標楷體" w:hAnsi="Times New Roman"/>
          <w:sz w:val="28"/>
          <w:szCs w:val="28"/>
        </w:rPr>
        <w:t>(Committee on the Rights of the Child, Treaty-Specific Guidelines Regarding the Form and Content of Periodic Reports to Be Submitted by States Parties under Article 44, Paragraph 1 (b), of the Convention on the Rights of the Child, U.N. Doc. CRC/C/58/Rev.3 (Mar. 3, 2015).)</w:t>
      </w:r>
    </w:p>
    <w:p w14:paraId="3B785B26" w14:textId="77777777" w:rsidR="007C1E25" w:rsidRPr="005E758A" w:rsidRDefault="007C1E25" w:rsidP="007119F4">
      <w:pPr>
        <w:pStyle w:val="a0"/>
        <w:numPr>
          <w:ilvl w:val="0"/>
          <w:numId w:val="30"/>
        </w:numPr>
        <w:snapToGrid w:val="0"/>
        <w:ind w:leftChars="0" w:left="448" w:hanging="448"/>
        <w:jc w:val="both"/>
        <w:rPr>
          <w:rFonts w:ascii="Times New Roman" w:eastAsia="標楷體" w:hAnsi="Times New Roman"/>
          <w:sz w:val="28"/>
          <w:szCs w:val="28"/>
        </w:rPr>
      </w:pPr>
      <w:r w:rsidRPr="005E758A">
        <w:rPr>
          <w:rFonts w:ascii="Times New Roman" w:eastAsia="標楷體" w:hAnsi="Times New Roman"/>
          <w:smallCaps/>
          <w:sz w:val="28"/>
          <w:szCs w:val="28"/>
        </w:rPr>
        <w:t xml:space="preserve">UNICEF, Implementation Handbook for the Convention on the Rights of the Child </w:t>
      </w:r>
      <w:r w:rsidRPr="005E758A">
        <w:rPr>
          <w:rFonts w:ascii="Times New Roman" w:eastAsia="標楷體" w:hAnsi="Times New Roman"/>
          <w:sz w:val="28"/>
          <w:szCs w:val="28"/>
        </w:rPr>
        <w:t>(3d ed. 2007).</w:t>
      </w:r>
    </w:p>
    <w:p w14:paraId="134D9E18" w14:textId="77777777" w:rsidR="007C1E25" w:rsidRPr="005E758A" w:rsidRDefault="007C1E25" w:rsidP="00DF363A">
      <w:pPr>
        <w:snapToGrid w:val="0"/>
        <w:spacing w:before="100" w:beforeAutospacing="1" w:after="100" w:afterAutospacing="1"/>
        <w:jc w:val="both"/>
        <w:rPr>
          <w:sz w:val="28"/>
        </w:rPr>
      </w:pPr>
    </w:p>
    <w:p w14:paraId="23B6B7AB" w14:textId="77777777" w:rsidR="007C1E25" w:rsidRPr="005E758A" w:rsidRDefault="007C1E25" w:rsidP="007C1E25">
      <w:pPr>
        <w:snapToGrid w:val="0"/>
        <w:jc w:val="both"/>
        <w:rPr>
          <w:sz w:val="28"/>
        </w:rPr>
        <w:sectPr w:rsidR="007C1E25" w:rsidRPr="005E758A" w:rsidSect="00135FC9">
          <w:endnotePr>
            <w:numFmt w:val="decimal"/>
            <w:numRestart w:val="eachSect"/>
          </w:endnotePr>
          <w:pgSz w:w="11906" w:h="16838"/>
          <w:pgMar w:top="1440" w:right="1797" w:bottom="1440" w:left="1797" w:header="851" w:footer="992" w:gutter="0"/>
          <w:cols w:space="425"/>
          <w:docGrid w:linePitch="360"/>
        </w:sectPr>
      </w:pPr>
      <w:r w:rsidRPr="005E758A">
        <w:rPr>
          <w:sz w:val="28"/>
        </w:rPr>
        <w:t>關鍵詞：兒童定義、成年</w:t>
      </w:r>
    </w:p>
    <w:tbl>
      <w:tblPr>
        <w:tblpPr w:leftFromText="180" w:rightFromText="180" w:horzAnchor="margin" w:tblpXSpec="center" w:tblpY="855"/>
        <w:tblW w:w="82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8220"/>
      </w:tblGrid>
      <w:tr w:rsidR="007C1E25" w:rsidRPr="005E758A" w14:paraId="6BEEA560" w14:textId="77777777" w:rsidTr="00E81E68">
        <w:tc>
          <w:tcPr>
            <w:tcW w:w="8220" w:type="dxa"/>
          </w:tcPr>
          <w:p w14:paraId="33B0D065" w14:textId="77777777" w:rsidR="007C1E25" w:rsidRPr="00DB7825" w:rsidRDefault="007C1E25" w:rsidP="00E81E68">
            <w:pPr>
              <w:pStyle w:val="a0"/>
              <w:numPr>
                <w:ilvl w:val="0"/>
                <w:numId w:val="216"/>
              </w:numPr>
              <w:snapToGrid w:val="0"/>
              <w:spacing w:before="100" w:beforeAutospacing="1" w:after="100" w:afterAutospacing="1"/>
              <w:ind w:leftChars="0"/>
              <w:jc w:val="both"/>
              <w:rPr>
                <w:rFonts w:ascii="Times New Roman" w:eastAsia="標楷體" w:hAnsi="Times New Roman"/>
                <w:color w:val="333333"/>
                <w:sz w:val="28"/>
                <w:szCs w:val="28"/>
                <w:shd w:val="clear" w:color="auto" w:fill="FFFFFF"/>
              </w:rPr>
            </w:pPr>
            <w:r w:rsidRPr="00DB7825">
              <w:rPr>
                <w:rFonts w:ascii="Times New Roman" w:eastAsia="標楷體" w:hAnsi="Times New Roman"/>
                <w:color w:val="333333"/>
                <w:sz w:val="28"/>
                <w:szCs w:val="28"/>
                <w:shd w:val="clear" w:color="auto" w:fill="FFFFFF"/>
              </w:rPr>
              <w:lastRenderedPageBreak/>
              <w:t>締約國應尊重本公約所揭</w:t>
            </w:r>
            <w:proofErr w:type="gramStart"/>
            <w:r w:rsidRPr="00DB7825">
              <w:rPr>
                <w:rFonts w:ascii="Times New Roman" w:eastAsia="標楷體" w:hAnsi="Times New Roman"/>
                <w:color w:val="333333"/>
                <w:sz w:val="28"/>
                <w:szCs w:val="28"/>
                <w:shd w:val="clear" w:color="auto" w:fill="FFFFFF"/>
              </w:rPr>
              <w:t>櫫</w:t>
            </w:r>
            <w:proofErr w:type="gramEnd"/>
            <w:r w:rsidRPr="00DB7825">
              <w:rPr>
                <w:rFonts w:ascii="Times New Roman" w:eastAsia="標楷體" w:hAnsi="Times New Roman"/>
                <w:color w:val="333333"/>
                <w:sz w:val="28"/>
                <w:szCs w:val="28"/>
                <w:shd w:val="clear" w:color="auto" w:fill="FFFFFF"/>
              </w:rPr>
              <w:t>之權利，確保其管轄範圍內之每一兒童均享有此等權利，不因兒童、父母或法定監護人之種族、膚色、性別、語言、宗教、政治或其</w:t>
            </w:r>
            <w:r w:rsidRPr="00DB7825">
              <w:rPr>
                <w:rFonts w:ascii="Times New Roman" w:eastAsia="標楷體" w:hAnsi="Times New Roman"/>
                <w:color w:val="333333"/>
                <w:sz w:val="28"/>
                <w:szCs w:val="28"/>
                <w:shd w:val="clear" w:color="auto" w:fill="FFFFFF"/>
              </w:rPr>
              <w:t xml:space="preserve"> </w:t>
            </w:r>
            <w:r w:rsidRPr="00DB7825">
              <w:rPr>
                <w:rFonts w:ascii="Times New Roman" w:eastAsia="標楷體" w:hAnsi="Times New Roman"/>
                <w:color w:val="333333"/>
                <w:sz w:val="28"/>
                <w:szCs w:val="28"/>
                <w:shd w:val="clear" w:color="auto" w:fill="FFFFFF"/>
              </w:rPr>
              <w:t>他主張、國籍、族裔或社會背景、財產、身心障礙、出生或其他身分地位之不同而有所歧視。</w:t>
            </w:r>
          </w:p>
          <w:p w14:paraId="21379227" w14:textId="77777777" w:rsidR="007C1E25" w:rsidRPr="005E758A" w:rsidRDefault="007C1E25" w:rsidP="00E81E68">
            <w:pPr>
              <w:pStyle w:val="2"/>
              <w:numPr>
                <w:ilvl w:val="0"/>
                <w:numId w:val="216"/>
              </w:numPr>
              <w:rPr>
                <w:shd w:val="clear" w:color="auto" w:fill="FFFFFF"/>
              </w:rPr>
            </w:pPr>
            <w:r w:rsidRPr="00DB7825">
              <w:rPr>
                <w:b w:val="0"/>
                <w:color w:val="333333"/>
                <w:szCs w:val="28"/>
                <w:shd w:val="clear" w:color="auto" w:fill="FFFFFF"/>
              </w:rPr>
              <w:t>締約國應採取所有適當措施確保兒童得到保護，免於因兒童父母、法定監護人或家庭成員之身分、行為、意見或信念之關係而遭受到一切形式之歧視或懲罰。</w:t>
            </w:r>
          </w:p>
        </w:tc>
      </w:tr>
    </w:tbl>
    <w:p w14:paraId="3D4B5175" w14:textId="77777777" w:rsidR="00E81E68" w:rsidRDefault="00E81E68" w:rsidP="00E81E68">
      <w:pPr>
        <w:pStyle w:val="1"/>
        <w:rPr>
          <w:sz w:val="28"/>
        </w:rPr>
      </w:pPr>
      <w:bookmarkStart w:id="6" w:name="_Toc431072718"/>
      <w:r w:rsidRPr="005E758A">
        <w:rPr>
          <w:shd w:val="clear" w:color="auto" w:fill="FFFFFF"/>
        </w:rPr>
        <w:t>第</w:t>
      </w:r>
      <w:r w:rsidRPr="005E758A">
        <w:rPr>
          <w:shd w:val="clear" w:color="auto" w:fill="FFFFFF"/>
        </w:rPr>
        <w:t>2</w:t>
      </w:r>
      <w:r w:rsidRPr="005E758A">
        <w:rPr>
          <w:shd w:val="clear" w:color="auto" w:fill="FFFFFF"/>
        </w:rPr>
        <w:t>條</w:t>
      </w:r>
      <w:r w:rsidR="00764009">
        <w:rPr>
          <w:rFonts w:hint="eastAsia"/>
          <w:shd w:val="clear" w:color="auto" w:fill="FFFFFF"/>
        </w:rPr>
        <w:t xml:space="preserve">　</w:t>
      </w:r>
      <w:r>
        <w:rPr>
          <w:rFonts w:hint="eastAsia"/>
          <w:shd w:val="clear" w:color="auto" w:fill="FFFFFF"/>
        </w:rPr>
        <w:t>禁止歧視</w:t>
      </w:r>
      <w:bookmarkEnd w:id="6"/>
    </w:p>
    <w:p w14:paraId="0D80B978" w14:textId="77777777" w:rsidR="00E81E68" w:rsidRPr="00E81E68" w:rsidRDefault="00E81E68" w:rsidP="00E81E68">
      <w:pPr>
        <w:snapToGrid w:val="0"/>
        <w:spacing w:before="100" w:beforeAutospacing="1" w:after="100" w:afterAutospacing="1"/>
        <w:jc w:val="both"/>
        <w:rPr>
          <w:sz w:val="28"/>
        </w:rPr>
      </w:pPr>
    </w:p>
    <w:p w14:paraId="1E57DA68" w14:textId="77777777" w:rsidR="007C1E25" w:rsidRPr="005E758A" w:rsidRDefault="007C1E25" w:rsidP="007C1E25">
      <w:pPr>
        <w:pStyle w:val="2"/>
        <w:numPr>
          <w:ilvl w:val="0"/>
          <w:numId w:val="4"/>
        </w:numPr>
      </w:pPr>
      <w:r w:rsidRPr="005E758A">
        <w:t>規範宗旨</w:t>
      </w:r>
    </w:p>
    <w:p w14:paraId="2B6288E5" w14:textId="77777777" w:rsidR="007C1E25" w:rsidRPr="005E758A" w:rsidRDefault="007C1E25" w:rsidP="007C1E25">
      <w:pPr>
        <w:snapToGrid w:val="0"/>
        <w:spacing w:before="100" w:beforeAutospacing="1" w:after="100" w:afterAutospacing="1"/>
        <w:ind w:firstLineChars="200" w:firstLine="560"/>
        <w:jc w:val="both"/>
        <w:rPr>
          <w:sz w:val="28"/>
        </w:rPr>
      </w:pPr>
      <w:r w:rsidRPr="005E758A">
        <w:rPr>
          <w:sz w:val="28"/>
        </w:rPr>
        <w:t>本條所規範之兒童不受歧視的權利（「禁止歧視」）與「兒童最佳利益」（第</w:t>
      </w:r>
      <w:r w:rsidRPr="005E758A">
        <w:rPr>
          <w:sz w:val="28"/>
        </w:rPr>
        <w:t>3</w:t>
      </w:r>
      <w:r w:rsidRPr="005E758A">
        <w:rPr>
          <w:sz w:val="28"/>
        </w:rPr>
        <w:t>條第</w:t>
      </w:r>
      <w:r w:rsidRPr="005E758A">
        <w:rPr>
          <w:sz w:val="28"/>
        </w:rPr>
        <w:t>1</w:t>
      </w:r>
      <w:r w:rsidRPr="005E758A">
        <w:rPr>
          <w:sz w:val="28"/>
        </w:rPr>
        <w:t>項）、「生存及發展權」（第</w:t>
      </w:r>
      <w:r w:rsidRPr="005E758A">
        <w:rPr>
          <w:sz w:val="28"/>
        </w:rPr>
        <w:t>6</w:t>
      </w:r>
      <w:r w:rsidRPr="005E758A">
        <w:rPr>
          <w:sz w:val="28"/>
        </w:rPr>
        <w:t>條）以及「表意權」（第</w:t>
      </w:r>
      <w:r w:rsidRPr="005E758A">
        <w:rPr>
          <w:sz w:val="28"/>
        </w:rPr>
        <w:t>12</w:t>
      </w:r>
      <w:r w:rsidRPr="005E758A">
        <w:rPr>
          <w:sz w:val="28"/>
        </w:rPr>
        <w:t>條）並列為公約四項一般性原則</w:t>
      </w:r>
      <w:r w:rsidRPr="005E758A">
        <w:rPr>
          <w:rStyle w:val="af3"/>
          <w:sz w:val="28"/>
        </w:rPr>
        <w:endnoteReference w:id="11"/>
      </w:r>
      <w:r w:rsidRPr="005E758A">
        <w:rPr>
          <w:sz w:val="28"/>
        </w:rPr>
        <w:t>，貫穿所有公約所列之各種權利，具支配性的地位。</w:t>
      </w:r>
    </w:p>
    <w:p w14:paraId="7E2A8D1C" w14:textId="77777777" w:rsidR="007C1E25" w:rsidRPr="005E758A" w:rsidRDefault="007C1E25" w:rsidP="007C1E25">
      <w:pPr>
        <w:snapToGrid w:val="0"/>
        <w:spacing w:before="100" w:beforeAutospacing="1" w:after="100" w:afterAutospacing="1"/>
        <w:ind w:firstLineChars="200" w:firstLine="560"/>
        <w:jc w:val="both"/>
        <w:rPr>
          <w:sz w:val="28"/>
        </w:rPr>
      </w:pPr>
      <w:r w:rsidRPr="005E758A">
        <w:rPr>
          <w:sz w:val="28"/>
        </w:rPr>
        <w:t>雖然不受歧視之權利已為國際法上發</w:t>
      </w:r>
      <w:r w:rsidR="002C342A" w:rsidRPr="005E758A">
        <w:rPr>
          <w:sz w:val="28"/>
        </w:rPr>
        <w:t>展成熟的人權法原則，惟對於兒童不受歧視之面向較少受到重視，因此公約特別</w:t>
      </w:r>
      <w:r w:rsidRPr="005E758A">
        <w:rPr>
          <w:sz w:val="28"/>
        </w:rPr>
        <w:t>確認兒童應享有之基本權利及自由等固有權利。本條所設立之原則更是為落實兒童之保障，因歧視係兒童權利遭受侵犯的主要原因之</w:t>
      </w:r>
      <w:proofErr w:type="gramStart"/>
      <w:r w:rsidRPr="005E758A">
        <w:rPr>
          <w:sz w:val="28"/>
        </w:rPr>
        <w:t>一</w:t>
      </w:r>
      <w:bookmarkStart w:id="7" w:name="_Ref429390202"/>
      <w:proofErr w:type="gramEnd"/>
      <w:r w:rsidRPr="005E758A">
        <w:rPr>
          <w:rStyle w:val="af3"/>
          <w:sz w:val="28"/>
        </w:rPr>
        <w:endnoteReference w:id="12"/>
      </w:r>
      <w:bookmarkEnd w:id="7"/>
      <w:r w:rsidRPr="005E758A">
        <w:rPr>
          <w:sz w:val="28"/>
        </w:rPr>
        <w:t>。</w:t>
      </w:r>
    </w:p>
    <w:p w14:paraId="417455CC" w14:textId="77777777" w:rsidR="007C1E25" w:rsidRPr="005E758A" w:rsidRDefault="007C1E25" w:rsidP="007C1E25">
      <w:pPr>
        <w:snapToGrid w:val="0"/>
        <w:spacing w:before="100" w:beforeAutospacing="1" w:after="100" w:afterAutospacing="1"/>
        <w:ind w:firstLineChars="200" w:firstLine="560"/>
        <w:jc w:val="both"/>
        <w:rPr>
          <w:sz w:val="28"/>
        </w:rPr>
      </w:pPr>
      <w:r w:rsidRPr="005E758A">
        <w:rPr>
          <w:sz w:val="28"/>
        </w:rPr>
        <w:t>由於兒童通常須仰賴父母的照顧，因此本條特別擴大不得歧視的範圍，禁止因為兒童父母（或其監護人）的因素（如種族、身分等）而對兒童造成歧視。</w:t>
      </w:r>
    </w:p>
    <w:p w14:paraId="270C38DF" w14:textId="77777777" w:rsidR="007C1E25" w:rsidRPr="005E758A" w:rsidRDefault="007C1E25" w:rsidP="007C1E25">
      <w:pPr>
        <w:snapToGrid w:val="0"/>
        <w:spacing w:before="100" w:beforeAutospacing="1" w:after="100" w:afterAutospacing="1"/>
        <w:ind w:firstLineChars="200" w:firstLine="560"/>
        <w:jc w:val="both"/>
        <w:rPr>
          <w:sz w:val="28"/>
        </w:rPr>
      </w:pPr>
      <w:r w:rsidRPr="005E758A">
        <w:rPr>
          <w:sz w:val="28"/>
        </w:rPr>
        <w:t>1949</w:t>
      </w:r>
      <w:r w:rsidRPr="005E758A">
        <w:rPr>
          <w:sz w:val="28"/>
        </w:rPr>
        <w:t>年聯合國秘書長之「歧視之主要樣</w:t>
      </w:r>
      <w:proofErr w:type="gramStart"/>
      <w:r w:rsidRPr="005E758A">
        <w:rPr>
          <w:sz w:val="28"/>
        </w:rPr>
        <w:t>態與肇因</w:t>
      </w:r>
      <w:proofErr w:type="gramEnd"/>
      <w:r w:rsidRPr="005E758A">
        <w:rPr>
          <w:sz w:val="28"/>
        </w:rPr>
        <w:t>備忘錄」中即指出平等的基礎在於「尊嚴的平等、權利的形式平等以及機會的平等」</w:t>
      </w:r>
      <w:r w:rsidRPr="005E758A">
        <w:rPr>
          <w:sz w:val="28"/>
        </w:rPr>
        <w:t>(equality in dignity, formal equality in rights, and equality of opportunity)</w:t>
      </w:r>
      <w:r w:rsidRPr="005E758A">
        <w:rPr>
          <w:sz w:val="28"/>
        </w:rPr>
        <w:t>，而非物質的平等</w:t>
      </w:r>
      <w:r w:rsidRPr="005E758A">
        <w:rPr>
          <w:sz w:val="28"/>
        </w:rPr>
        <w:t>(material equality)</w:t>
      </w:r>
      <w:r w:rsidRPr="005E758A">
        <w:rPr>
          <w:rStyle w:val="af3"/>
          <w:sz w:val="28"/>
        </w:rPr>
        <w:endnoteReference w:id="13"/>
      </w:r>
      <w:r w:rsidR="002C342A" w:rsidRPr="005E758A">
        <w:rPr>
          <w:sz w:val="28"/>
        </w:rPr>
        <w:t>，</w:t>
      </w:r>
      <w:r w:rsidRPr="005E758A">
        <w:rPr>
          <w:sz w:val="28"/>
        </w:rPr>
        <w:t>意謂國家應對每個人民有「同等的尊重」</w:t>
      </w:r>
      <w:r w:rsidRPr="005E758A">
        <w:rPr>
          <w:sz w:val="28"/>
        </w:rPr>
        <w:t>(equal respect)</w:t>
      </w:r>
      <w:r w:rsidRPr="005E758A">
        <w:rPr>
          <w:sz w:val="28"/>
        </w:rPr>
        <w:t>，但不意味著在任何</w:t>
      </w:r>
      <w:proofErr w:type="gramStart"/>
      <w:r w:rsidRPr="005E758A">
        <w:rPr>
          <w:sz w:val="28"/>
        </w:rPr>
        <w:t>情況下皆須</w:t>
      </w:r>
      <w:proofErr w:type="gramEnd"/>
      <w:r w:rsidRPr="005E758A">
        <w:rPr>
          <w:sz w:val="28"/>
        </w:rPr>
        <w:t>給予所有人「一致待遇」或達到「同等結果」</w:t>
      </w:r>
      <w:r w:rsidRPr="005E758A">
        <w:rPr>
          <w:sz w:val="28"/>
        </w:rPr>
        <w:t>(equal results)</w:t>
      </w:r>
      <w:r w:rsidRPr="005E758A">
        <w:rPr>
          <w:rStyle w:val="af3"/>
          <w:sz w:val="28"/>
        </w:rPr>
        <w:endnoteReference w:id="14"/>
      </w:r>
      <w:r w:rsidR="002C342A" w:rsidRPr="005E758A">
        <w:rPr>
          <w:sz w:val="28"/>
        </w:rPr>
        <w:t>。至於</w:t>
      </w:r>
      <w:r w:rsidRPr="005E758A">
        <w:rPr>
          <w:sz w:val="28"/>
        </w:rPr>
        <w:t>個案中平等權的落實，則往往必須仰賴司法做最後定奪。</w:t>
      </w:r>
    </w:p>
    <w:p w14:paraId="1AEE7A9C" w14:textId="77777777" w:rsidR="007C1E25" w:rsidRPr="005E758A" w:rsidRDefault="007C1E25" w:rsidP="007C1E25">
      <w:pPr>
        <w:pStyle w:val="2"/>
        <w:numPr>
          <w:ilvl w:val="0"/>
          <w:numId w:val="4"/>
        </w:numPr>
      </w:pPr>
      <w:r w:rsidRPr="005E758A">
        <w:t>條文要義</w:t>
      </w:r>
    </w:p>
    <w:p w14:paraId="49E283F8" w14:textId="77777777" w:rsidR="007C1E25" w:rsidRPr="005E758A" w:rsidRDefault="007C1E25" w:rsidP="007C1E25">
      <w:pPr>
        <w:pStyle w:val="3"/>
        <w:numPr>
          <w:ilvl w:val="0"/>
          <w:numId w:val="2"/>
        </w:numPr>
      </w:pPr>
      <w:r w:rsidRPr="005E758A">
        <w:lastRenderedPageBreak/>
        <w:t>第</w:t>
      </w:r>
      <w:r w:rsidRPr="005E758A">
        <w:t>2</w:t>
      </w:r>
      <w:r w:rsidRPr="005E758A">
        <w:t>條第</w:t>
      </w:r>
      <w:r w:rsidRPr="005E758A">
        <w:t>1</w:t>
      </w:r>
      <w:r w:rsidRPr="005E758A">
        <w:t>項</w:t>
      </w:r>
    </w:p>
    <w:p w14:paraId="11ED9E02" w14:textId="77777777" w:rsidR="007C1E25" w:rsidRPr="005E758A" w:rsidRDefault="007C1E25" w:rsidP="007C1E25">
      <w:pPr>
        <w:pStyle w:val="4"/>
      </w:pPr>
      <w:r w:rsidRPr="005E758A">
        <w:t>歧視：</w:t>
      </w:r>
    </w:p>
    <w:p w14:paraId="63D36F31" w14:textId="77777777" w:rsidR="007C1E25" w:rsidRPr="005E758A" w:rsidRDefault="007C1E25" w:rsidP="007C1E25">
      <w:pPr>
        <w:snapToGrid w:val="0"/>
        <w:spacing w:before="100" w:beforeAutospacing="1" w:after="100" w:afterAutospacing="1"/>
        <w:ind w:firstLineChars="200" w:firstLine="560"/>
        <w:jc w:val="both"/>
        <w:rPr>
          <w:sz w:val="28"/>
        </w:rPr>
      </w:pPr>
      <w:r w:rsidRPr="005E758A">
        <w:rPr>
          <w:sz w:val="28"/>
        </w:rPr>
        <w:t>公約雖未就「歧視」的概念提出具體定義，然「歧視」之禁止實與公約各規範之落實密不可分，受教權即為一例，任何本條第</w:t>
      </w:r>
      <w:r w:rsidRPr="005E758A">
        <w:rPr>
          <w:sz w:val="28"/>
        </w:rPr>
        <w:t>1</w:t>
      </w:r>
      <w:r w:rsidRPr="005E758A">
        <w:rPr>
          <w:sz w:val="28"/>
        </w:rPr>
        <w:t>項所禁止之歧視行為皆有損於兒童的人格尊嚴並可能侵害兒童接受均等教育的機會。例如，患有</w:t>
      </w:r>
      <w:proofErr w:type="gramStart"/>
      <w:r w:rsidRPr="005E758A">
        <w:rPr>
          <w:sz w:val="28"/>
        </w:rPr>
        <w:t>愛滋病</w:t>
      </w:r>
      <w:proofErr w:type="gramEnd"/>
      <w:r w:rsidRPr="005E758A">
        <w:rPr>
          <w:sz w:val="28"/>
        </w:rPr>
        <w:t>以及身心障礙的兒童特別容易因教育環境的</w:t>
      </w:r>
      <w:proofErr w:type="gramStart"/>
      <w:r w:rsidRPr="005E758A">
        <w:rPr>
          <w:sz w:val="28"/>
        </w:rPr>
        <w:t>不</w:t>
      </w:r>
      <w:proofErr w:type="gramEnd"/>
      <w:r w:rsidRPr="005E758A">
        <w:rPr>
          <w:sz w:val="28"/>
        </w:rPr>
        <w:t>友善而遭受歧視，進而影響該等兒童各方面的發展及自我實現。而國家落實兒童不受歧視的措施可能包括法律的修訂、資源適當的分配以及透過教育改變人民的思維與觀感。</w:t>
      </w:r>
    </w:p>
    <w:p w14:paraId="415D9B0B" w14:textId="77777777" w:rsidR="007C1E25" w:rsidRPr="005E758A" w:rsidRDefault="007C1E25" w:rsidP="007C1E25">
      <w:pPr>
        <w:pStyle w:val="4"/>
      </w:pPr>
      <w:r w:rsidRPr="005E758A">
        <w:t>國家「尊重」及「確保」之義務</w:t>
      </w:r>
    </w:p>
    <w:p w14:paraId="3F11D295" w14:textId="77777777" w:rsidR="007C1E25" w:rsidRPr="005E758A" w:rsidRDefault="007C1E25" w:rsidP="007C1E25">
      <w:pPr>
        <w:snapToGrid w:val="0"/>
        <w:spacing w:before="100" w:beforeAutospacing="1" w:after="100" w:afterAutospacing="1"/>
        <w:ind w:firstLineChars="200" w:firstLine="560"/>
        <w:jc w:val="both"/>
        <w:rPr>
          <w:sz w:val="28"/>
          <w:szCs w:val="28"/>
        </w:rPr>
      </w:pPr>
      <w:r w:rsidRPr="005E758A">
        <w:rPr>
          <w:sz w:val="28"/>
          <w:szCs w:val="28"/>
        </w:rPr>
        <w:t>就國際公約之解釋而言，國家「尊重」各項權利的義務係指國家不得採取任何侵害人民權利的行為；而「確保」則意味著國家應積極主動地促使該項權利獲得落實。對此，兒童權利委員會曾於一般性意見及結論性意見中提出如下說明：</w:t>
      </w:r>
    </w:p>
    <w:p w14:paraId="29C872F3" w14:textId="77777777" w:rsidR="007C1E25" w:rsidRPr="005E758A" w:rsidRDefault="007C1E25" w:rsidP="007C1E25">
      <w:pPr>
        <w:pStyle w:val="a0"/>
        <w:numPr>
          <w:ilvl w:val="4"/>
          <w:numId w:val="2"/>
        </w:numPr>
        <w:snapToGrid w:val="0"/>
        <w:spacing w:before="100" w:beforeAutospacing="1" w:after="100" w:afterAutospacing="1"/>
        <w:ind w:leftChars="0" w:left="851"/>
        <w:jc w:val="both"/>
        <w:rPr>
          <w:rFonts w:ascii="Times New Roman" w:eastAsia="標楷體" w:hAnsi="Times New Roman"/>
          <w:sz w:val="28"/>
        </w:rPr>
      </w:pPr>
      <w:r w:rsidRPr="005E758A">
        <w:rPr>
          <w:rFonts w:ascii="Times New Roman" w:eastAsia="標楷體" w:hAnsi="Times New Roman"/>
          <w:sz w:val="28"/>
        </w:rPr>
        <w:t>締約國應就其內國法進行完整之檢視，以確保法規範的層面不會對兒童造成歧視。除保障兒童之專法應就禁止歧視有所規定外，其他各個領域之法律規範（如教育、健康、司法等）亦應確實反映公約之精神及標準。</w:t>
      </w:r>
    </w:p>
    <w:p w14:paraId="09EE9F6F" w14:textId="77777777" w:rsidR="007C1E25" w:rsidRPr="005E758A" w:rsidRDefault="007C1E25" w:rsidP="007C1E25">
      <w:pPr>
        <w:pStyle w:val="a0"/>
        <w:numPr>
          <w:ilvl w:val="4"/>
          <w:numId w:val="2"/>
        </w:numPr>
        <w:snapToGrid w:val="0"/>
        <w:spacing w:before="100" w:beforeAutospacing="1" w:after="100" w:afterAutospacing="1"/>
        <w:ind w:leftChars="0" w:left="851"/>
        <w:jc w:val="both"/>
        <w:rPr>
          <w:rFonts w:ascii="Times New Roman" w:eastAsia="標楷體" w:hAnsi="Times New Roman"/>
          <w:sz w:val="28"/>
        </w:rPr>
      </w:pPr>
      <w:r w:rsidRPr="005E758A">
        <w:rPr>
          <w:rFonts w:ascii="Times New Roman" w:eastAsia="標楷體" w:hAnsi="Times New Roman"/>
          <w:sz w:val="28"/>
        </w:rPr>
        <w:t>加強宣導與透過人權教育以降低對特定族群之歧視。例如，對身障兒童固有歧視的問題依然存在的社會現象應如何改善及投入改善歧視的資源是否足夠等。</w:t>
      </w:r>
    </w:p>
    <w:p w14:paraId="22671FEC" w14:textId="77777777" w:rsidR="007C1E25" w:rsidRPr="005E758A" w:rsidRDefault="007C1E25" w:rsidP="007C1E25">
      <w:pPr>
        <w:pStyle w:val="a0"/>
        <w:numPr>
          <w:ilvl w:val="4"/>
          <w:numId w:val="2"/>
        </w:numPr>
        <w:snapToGrid w:val="0"/>
        <w:spacing w:before="100" w:beforeAutospacing="1" w:after="100" w:afterAutospacing="1"/>
        <w:ind w:leftChars="0" w:left="851"/>
        <w:jc w:val="both"/>
        <w:rPr>
          <w:rFonts w:ascii="Times New Roman" w:eastAsia="標楷體" w:hAnsi="Times New Roman"/>
          <w:sz w:val="28"/>
        </w:rPr>
      </w:pPr>
      <w:r w:rsidRPr="005E758A">
        <w:rPr>
          <w:rFonts w:ascii="Times New Roman" w:eastAsia="標楷體" w:hAnsi="Times New Roman"/>
          <w:sz w:val="28"/>
        </w:rPr>
        <w:t>本條與第</w:t>
      </w:r>
      <w:r w:rsidRPr="005E758A">
        <w:rPr>
          <w:rFonts w:ascii="Times New Roman" w:eastAsia="標楷體" w:hAnsi="Times New Roman"/>
          <w:sz w:val="28"/>
        </w:rPr>
        <w:t>3</w:t>
      </w:r>
      <w:r w:rsidRPr="005E758A">
        <w:rPr>
          <w:rFonts w:ascii="Times New Roman" w:eastAsia="標楷體" w:hAnsi="Times New Roman"/>
          <w:sz w:val="28"/>
        </w:rPr>
        <w:t>條「兒童最佳利益」之落實應列為政府之優先工作，而兒童權利委員會希望各國能確保國家於進行預算及資源分配時，兒童不會遭受不利之待遇且其最佳利益能獲得優先考量。至於對弱勢兒童的保障更需要國家的積極作為。</w:t>
      </w:r>
    </w:p>
    <w:p w14:paraId="694055DB" w14:textId="77777777" w:rsidR="007C1E25" w:rsidRPr="005E758A" w:rsidRDefault="007C1E25" w:rsidP="007C1E25">
      <w:pPr>
        <w:pStyle w:val="4"/>
      </w:pPr>
      <w:r w:rsidRPr="005E758A">
        <w:t>「管轄範圍內的每一兒童」：</w:t>
      </w:r>
    </w:p>
    <w:p w14:paraId="642AAA71" w14:textId="77777777" w:rsidR="007C1E25" w:rsidRPr="005E758A" w:rsidRDefault="007C1E25" w:rsidP="007C1E25">
      <w:pPr>
        <w:snapToGrid w:val="0"/>
        <w:spacing w:before="100" w:beforeAutospacing="1" w:after="100" w:afterAutospacing="1"/>
        <w:ind w:firstLineChars="200" w:firstLine="560"/>
        <w:jc w:val="both"/>
        <w:rPr>
          <w:sz w:val="28"/>
        </w:rPr>
      </w:pPr>
      <w:r w:rsidRPr="005E758A">
        <w:rPr>
          <w:sz w:val="28"/>
        </w:rPr>
        <w:t>本條第</w:t>
      </w:r>
      <w:r w:rsidRPr="005E758A">
        <w:rPr>
          <w:sz w:val="28"/>
        </w:rPr>
        <w:t>1</w:t>
      </w:r>
      <w:r w:rsidR="00FA6B21" w:rsidRPr="005E758A">
        <w:rPr>
          <w:sz w:val="28"/>
        </w:rPr>
        <w:t>項之涵蓋範圍為國家境內之「每</w:t>
      </w:r>
      <w:proofErr w:type="gramStart"/>
      <w:r w:rsidR="00FA6B21" w:rsidRPr="005E758A">
        <w:rPr>
          <w:sz w:val="28"/>
        </w:rPr>
        <w:t>個</w:t>
      </w:r>
      <w:proofErr w:type="gramEnd"/>
      <w:r w:rsidR="00FA6B21" w:rsidRPr="005E758A">
        <w:rPr>
          <w:sz w:val="28"/>
        </w:rPr>
        <w:t>兒童」，故</w:t>
      </w:r>
      <w:r w:rsidRPr="005E758A">
        <w:rPr>
          <w:sz w:val="28"/>
        </w:rPr>
        <w:t>包括難民兒童、</w:t>
      </w:r>
      <w:proofErr w:type="gramStart"/>
      <w:r w:rsidRPr="005E758A">
        <w:rPr>
          <w:sz w:val="28"/>
        </w:rPr>
        <w:t>移工之</w:t>
      </w:r>
      <w:proofErr w:type="gramEnd"/>
      <w:r w:rsidRPr="005E758A">
        <w:rPr>
          <w:sz w:val="28"/>
        </w:rPr>
        <w:t>未成年子女以及非依合法程序入境之外國籍兒童等。</w:t>
      </w:r>
    </w:p>
    <w:p w14:paraId="53D9A2DE" w14:textId="77777777" w:rsidR="007C1E25" w:rsidRPr="005E758A" w:rsidRDefault="007C1E25" w:rsidP="007C1E25">
      <w:pPr>
        <w:pStyle w:val="4"/>
      </w:pPr>
      <w:r w:rsidRPr="005E758A">
        <w:t>「不因兒童、父母或法定監護人之種族、膚色、性別、語言、宗教、政治或其他主張、國籍、族裔或社會背景、財產、身心障礙、出生或其他身分地位之不同而有所歧視」</w:t>
      </w:r>
    </w:p>
    <w:p w14:paraId="5F49F51D" w14:textId="77777777" w:rsidR="007C1E25" w:rsidRPr="005E758A" w:rsidRDefault="007C1E25" w:rsidP="007C1E25">
      <w:pPr>
        <w:snapToGrid w:val="0"/>
        <w:spacing w:before="100" w:beforeAutospacing="1" w:after="100" w:afterAutospacing="1"/>
        <w:ind w:firstLineChars="200" w:firstLine="560"/>
        <w:jc w:val="both"/>
        <w:rPr>
          <w:sz w:val="28"/>
        </w:rPr>
      </w:pPr>
      <w:r w:rsidRPr="005E758A">
        <w:rPr>
          <w:sz w:val="28"/>
        </w:rPr>
        <w:t>本條第</w:t>
      </w:r>
      <w:r w:rsidRPr="005E758A">
        <w:rPr>
          <w:sz w:val="28"/>
        </w:rPr>
        <w:t>1</w:t>
      </w:r>
      <w:r w:rsidRPr="005E758A">
        <w:rPr>
          <w:sz w:val="28"/>
        </w:rPr>
        <w:t>項所禁止之歧視態樣與公民與政治權利國際公約</w:t>
      </w:r>
      <w:r w:rsidR="00C4239B" w:rsidRPr="005E758A">
        <w:rPr>
          <w:sz w:val="28"/>
        </w:rPr>
        <w:t>及</w:t>
      </w:r>
      <w:r w:rsidR="00CE2B9A" w:rsidRPr="005E758A">
        <w:rPr>
          <w:sz w:val="28"/>
        </w:rPr>
        <w:t>經</w:t>
      </w:r>
      <w:r w:rsidR="00CE2B9A" w:rsidRPr="005E758A">
        <w:rPr>
          <w:sz w:val="28"/>
        </w:rPr>
        <w:lastRenderedPageBreak/>
        <w:t>濟社會</w:t>
      </w:r>
      <w:r w:rsidR="00C4239B" w:rsidRPr="005E758A">
        <w:rPr>
          <w:sz w:val="28"/>
        </w:rPr>
        <w:t>及</w:t>
      </w:r>
      <w:r w:rsidR="00CE2B9A" w:rsidRPr="005E758A">
        <w:rPr>
          <w:sz w:val="28"/>
        </w:rPr>
        <w:t>文化</w:t>
      </w:r>
      <w:r w:rsidR="00C4239B" w:rsidRPr="005E758A">
        <w:rPr>
          <w:sz w:val="28"/>
        </w:rPr>
        <w:t>權利國際公約</w:t>
      </w:r>
      <w:r w:rsidRPr="005E758A">
        <w:rPr>
          <w:sz w:val="28"/>
        </w:rPr>
        <w:t>之項目類似，惟本條之保護範圍並不僅止於列舉項目，其他本條第</w:t>
      </w:r>
      <w:r w:rsidRPr="005E758A">
        <w:rPr>
          <w:sz w:val="28"/>
        </w:rPr>
        <w:t>1</w:t>
      </w:r>
      <w:r w:rsidRPr="005E758A">
        <w:rPr>
          <w:sz w:val="28"/>
        </w:rPr>
        <w:t>項未明文規定的類別亦為兒童權利委員會曾特別應注意之歧視態樣，委員會於</w:t>
      </w:r>
      <w:r w:rsidRPr="005E758A">
        <w:rPr>
          <w:sz w:val="28"/>
        </w:rPr>
        <w:t>2003</w:t>
      </w:r>
      <w:r w:rsidRPr="005E758A">
        <w:rPr>
          <w:sz w:val="28"/>
        </w:rPr>
        <w:t>年一般性意見中，將患</w:t>
      </w:r>
      <w:proofErr w:type="gramStart"/>
      <w:r w:rsidRPr="005E758A">
        <w:rPr>
          <w:sz w:val="28"/>
        </w:rPr>
        <w:t>愛滋病</w:t>
      </w:r>
      <w:proofErr w:type="gramEnd"/>
      <w:r w:rsidRPr="005E758A">
        <w:rPr>
          <w:sz w:val="28"/>
        </w:rPr>
        <w:t>之兒童或其父母納入「其他身分地位之不同」之範圍</w:t>
      </w:r>
      <w:r w:rsidRPr="005E758A">
        <w:rPr>
          <w:rStyle w:val="af3"/>
          <w:sz w:val="28"/>
        </w:rPr>
        <w:endnoteReference w:id="15"/>
      </w:r>
      <w:r w:rsidRPr="005E758A">
        <w:rPr>
          <w:sz w:val="28"/>
        </w:rPr>
        <w:t>，其他例如原住民</w:t>
      </w:r>
      <w:r w:rsidRPr="005E758A">
        <w:rPr>
          <w:rStyle w:val="af3"/>
          <w:sz w:val="28"/>
        </w:rPr>
        <w:endnoteReference w:id="16"/>
      </w:r>
      <w:r w:rsidRPr="005E758A">
        <w:rPr>
          <w:sz w:val="28"/>
        </w:rPr>
        <w:t>、性傾向、懷孕少女、對男童之性暴力與性剝削等亦是。</w:t>
      </w:r>
    </w:p>
    <w:p w14:paraId="334D4AE7" w14:textId="77777777" w:rsidR="007C1E25" w:rsidRPr="005E758A" w:rsidRDefault="007C1E25" w:rsidP="007C1E25">
      <w:pPr>
        <w:pStyle w:val="3"/>
        <w:numPr>
          <w:ilvl w:val="0"/>
          <w:numId w:val="2"/>
        </w:numPr>
      </w:pPr>
      <w:r w:rsidRPr="005E758A">
        <w:t>第</w:t>
      </w:r>
      <w:r w:rsidRPr="005E758A">
        <w:t>2</w:t>
      </w:r>
      <w:r w:rsidRPr="005E758A">
        <w:t>條第</w:t>
      </w:r>
      <w:r w:rsidRPr="005E758A">
        <w:t>2</w:t>
      </w:r>
      <w:r w:rsidRPr="005E758A">
        <w:t>項</w:t>
      </w:r>
    </w:p>
    <w:p w14:paraId="373F52F0" w14:textId="77777777" w:rsidR="007C1E25" w:rsidRPr="005E758A" w:rsidRDefault="007C1E25" w:rsidP="007C1E25">
      <w:pPr>
        <w:snapToGrid w:val="0"/>
        <w:spacing w:before="100" w:beforeAutospacing="1" w:after="100" w:afterAutospacing="1"/>
        <w:ind w:firstLineChars="200" w:firstLine="560"/>
        <w:jc w:val="both"/>
        <w:rPr>
          <w:sz w:val="28"/>
        </w:rPr>
      </w:pPr>
      <w:r w:rsidRPr="005E758A">
        <w:rPr>
          <w:sz w:val="28"/>
        </w:rPr>
        <w:t>相對於本條第</w:t>
      </w:r>
      <w:r w:rsidRPr="005E758A">
        <w:rPr>
          <w:sz w:val="28"/>
        </w:rPr>
        <w:t>1</w:t>
      </w:r>
      <w:r w:rsidRPr="005E758A">
        <w:rPr>
          <w:sz w:val="28"/>
        </w:rPr>
        <w:t>項之規範目的在於確保兒童不因遭受歧視而損及其於公約下所應享有之權利，第</w:t>
      </w:r>
      <w:r w:rsidRPr="005E758A">
        <w:rPr>
          <w:sz w:val="28"/>
        </w:rPr>
        <w:t>2</w:t>
      </w:r>
      <w:r w:rsidRPr="005E758A">
        <w:rPr>
          <w:sz w:val="28"/>
        </w:rPr>
        <w:t>項之規範重點則是確保兒童不遭受任何歧視之對待，且不限於公約所涉及之議題。舉例而言，未成年子女是否因父母的因素（如未合法結婚）而遭受法律上之不利對待，包括遺產繼承權是否與婚生子女有所差異等。</w:t>
      </w:r>
    </w:p>
    <w:p w14:paraId="135DA4EC" w14:textId="77777777" w:rsidR="007C1E25" w:rsidRPr="005E758A" w:rsidRDefault="007C1E25" w:rsidP="00BB5412">
      <w:pPr>
        <w:pStyle w:val="2"/>
        <w:numPr>
          <w:ilvl w:val="0"/>
          <w:numId w:val="4"/>
        </w:numPr>
      </w:pPr>
      <w:r w:rsidRPr="005E758A">
        <w:t>案例介紹</w:t>
      </w:r>
    </w:p>
    <w:p w14:paraId="0A8C9C26" w14:textId="77777777" w:rsidR="007C1E25" w:rsidRPr="005E758A" w:rsidRDefault="007C1E25" w:rsidP="007119F4">
      <w:pPr>
        <w:pStyle w:val="3"/>
        <w:numPr>
          <w:ilvl w:val="0"/>
          <w:numId w:val="31"/>
        </w:numPr>
        <w:ind w:left="482" w:hanging="482"/>
      </w:pPr>
      <w:r w:rsidRPr="005E758A">
        <w:t>2012</w:t>
      </w:r>
      <w:r w:rsidRPr="005E758A">
        <w:t>年美洲國家間人權法院</w:t>
      </w:r>
      <w:r w:rsidR="00FF1E75" w:rsidRPr="005E758A">
        <w:t>(Inter-American Court on Human Rights)</w:t>
      </w:r>
      <w:r w:rsidRPr="005E758A">
        <w:t>親權案：</w:t>
      </w:r>
      <w:r w:rsidRPr="005E758A">
        <w:t xml:space="preserve">Atala </w:t>
      </w:r>
      <w:proofErr w:type="spellStart"/>
      <w:r w:rsidRPr="005E758A">
        <w:t>Riffo</w:t>
      </w:r>
      <w:proofErr w:type="spellEnd"/>
      <w:r w:rsidRPr="005E758A">
        <w:t xml:space="preserve"> and </w:t>
      </w:r>
      <w:r w:rsidR="00EA6DE3">
        <w:t>D</w:t>
      </w:r>
      <w:r w:rsidRPr="005E758A">
        <w:t>aughters v. Chile</w:t>
      </w:r>
      <w:r w:rsidRPr="005E758A">
        <w:rPr>
          <w:rStyle w:val="af3"/>
        </w:rPr>
        <w:endnoteReference w:id="17"/>
      </w:r>
    </w:p>
    <w:p w14:paraId="4F4F09F0" w14:textId="77777777" w:rsidR="007C1E25" w:rsidRPr="005E758A" w:rsidRDefault="00C4239B" w:rsidP="007C1E25">
      <w:pPr>
        <w:snapToGrid w:val="0"/>
        <w:spacing w:before="100" w:beforeAutospacing="1" w:after="100" w:afterAutospacing="1"/>
        <w:ind w:firstLineChars="200" w:firstLine="560"/>
        <w:jc w:val="both"/>
        <w:rPr>
          <w:sz w:val="28"/>
        </w:rPr>
      </w:pPr>
      <w:r w:rsidRPr="005E758A">
        <w:rPr>
          <w:sz w:val="28"/>
        </w:rPr>
        <w:t>智利人</w:t>
      </w:r>
      <w:r w:rsidR="007C1E25" w:rsidRPr="005E758A">
        <w:rPr>
          <w:sz w:val="28"/>
        </w:rPr>
        <w:t>Atala</w:t>
      </w:r>
      <w:r w:rsidRPr="005E758A">
        <w:rPr>
          <w:sz w:val="28"/>
        </w:rPr>
        <w:t>女士與其配偶</w:t>
      </w:r>
      <w:r w:rsidR="007C1E25" w:rsidRPr="005E758A">
        <w:rPr>
          <w:sz w:val="28"/>
        </w:rPr>
        <w:t>於</w:t>
      </w:r>
      <w:r w:rsidR="007C1E25" w:rsidRPr="005E758A">
        <w:rPr>
          <w:sz w:val="28"/>
        </w:rPr>
        <w:t>2002</w:t>
      </w:r>
      <w:r w:rsidR="007C1E25" w:rsidRPr="005E758A">
        <w:rPr>
          <w:sz w:val="28"/>
        </w:rPr>
        <w:t>年離婚，三名女兒之親權合意由</w:t>
      </w:r>
      <w:r w:rsidR="007C1E25" w:rsidRPr="005E758A">
        <w:rPr>
          <w:sz w:val="28"/>
        </w:rPr>
        <w:t>Atala</w:t>
      </w:r>
      <w:r w:rsidR="007C1E25" w:rsidRPr="005E758A">
        <w:rPr>
          <w:sz w:val="28"/>
        </w:rPr>
        <w:t>行使。後來</w:t>
      </w:r>
      <w:r w:rsidR="007C1E25" w:rsidRPr="005E758A">
        <w:rPr>
          <w:sz w:val="28"/>
        </w:rPr>
        <w:t>Atala</w:t>
      </w:r>
      <w:r w:rsidR="007C1E25" w:rsidRPr="005E758A">
        <w:rPr>
          <w:sz w:val="28"/>
        </w:rPr>
        <w:t>與其同性伴侶與三名女兒同住。</w:t>
      </w:r>
      <w:r w:rsidR="007C1E25" w:rsidRPr="005E758A">
        <w:rPr>
          <w:sz w:val="28"/>
        </w:rPr>
        <w:t>2003</w:t>
      </w:r>
      <w:r w:rsidR="007C1E25" w:rsidRPr="005E758A">
        <w:rPr>
          <w:sz w:val="28"/>
        </w:rPr>
        <w:t>年，其生父向少年法院提起親權訴訟，並獲得暫時性親權。</w:t>
      </w:r>
      <w:r w:rsidR="007C1E25" w:rsidRPr="005E758A">
        <w:rPr>
          <w:sz w:val="28"/>
        </w:rPr>
        <w:t>2004</w:t>
      </w:r>
      <w:r w:rsidR="007C1E25" w:rsidRPr="005E758A">
        <w:rPr>
          <w:sz w:val="28"/>
        </w:rPr>
        <w:t>年</w:t>
      </w:r>
      <w:r w:rsidR="007C1E25" w:rsidRPr="005E758A">
        <w:rPr>
          <w:sz w:val="28"/>
        </w:rPr>
        <w:t>5</w:t>
      </w:r>
      <w:r w:rsidR="007C1E25" w:rsidRPr="005E758A">
        <w:rPr>
          <w:sz w:val="28"/>
        </w:rPr>
        <w:t>月，智利最高法院基於</w:t>
      </w:r>
      <w:r w:rsidR="007C1E25" w:rsidRPr="005E758A">
        <w:rPr>
          <w:sz w:val="28"/>
        </w:rPr>
        <w:t>Atala</w:t>
      </w:r>
      <w:r w:rsidR="007C1E25" w:rsidRPr="005E758A">
        <w:rPr>
          <w:sz w:val="28"/>
        </w:rPr>
        <w:t>的性傾向及其與同性伴侶將對三名女兒造成傷害，判定由生父獲得親權。</w:t>
      </w:r>
      <w:r w:rsidR="007C1E25" w:rsidRPr="005E758A">
        <w:rPr>
          <w:sz w:val="28"/>
        </w:rPr>
        <w:t>2004</w:t>
      </w:r>
      <w:r w:rsidR="007C1E25" w:rsidRPr="005E758A">
        <w:rPr>
          <w:sz w:val="28"/>
        </w:rPr>
        <w:t>年</w:t>
      </w:r>
      <w:r w:rsidR="007C1E25" w:rsidRPr="005E758A">
        <w:rPr>
          <w:sz w:val="28"/>
        </w:rPr>
        <w:t>11</w:t>
      </w:r>
      <w:r w:rsidR="007C1E25" w:rsidRPr="005E758A">
        <w:rPr>
          <w:sz w:val="28"/>
        </w:rPr>
        <w:t>月，</w:t>
      </w:r>
      <w:r w:rsidR="007C1E25" w:rsidRPr="005E758A">
        <w:rPr>
          <w:sz w:val="28"/>
        </w:rPr>
        <w:t>Atala</w:t>
      </w:r>
      <w:r w:rsidR="007C1E25" w:rsidRPr="005E758A">
        <w:rPr>
          <w:sz w:val="28"/>
        </w:rPr>
        <w:t>向美洲人權委員會提出申請，由美洲人權委員會向美洲國家間人權法院</w:t>
      </w:r>
      <w:r w:rsidR="007C1E25" w:rsidRPr="005E758A">
        <w:rPr>
          <w:sz w:val="28"/>
        </w:rPr>
        <w:t>(Inter-American Court on Human Rights)</w:t>
      </w:r>
      <w:r w:rsidR="007C1E25" w:rsidRPr="005E758A">
        <w:rPr>
          <w:sz w:val="28"/>
        </w:rPr>
        <w:t>提起對智利之訴訟。</w:t>
      </w:r>
    </w:p>
    <w:p w14:paraId="263D1581" w14:textId="77777777" w:rsidR="007C1E25" w:rsidRPr="005E758A" w:rsidRDefault="007C1E25" w:rsidP="00C4239B">
      <w:pPr>
        <w:snapToGrid w:val="0"/>
        <w:spacing w:before="100" w:beforeAutospacing="1" w:after="100" w:afterAutospacing="1"/>
        <w:ind w:firstLineChars="200" w:firstLine="560"/>
        <w:jc w:val="both"/>
        <w:rPr>
          <w:sz w:val="28"/>
        </w:rPr>
      </w:pPr>
      <w:r w:rsidRPr="005E758A">
        <w:rPr>
          <w:sz w:val="28"/>
        </w:rPr>
        <w:t>本案爭點在於父母之性傾向得否成為決定兒童親權歸屬之因素。美洲國家間人權法院認為智利少年法院及最高法院意在保護子女之最佳利益，惟其並無法證明父母之性傾向與同性伴侶之同居事實對子女之最佳利益，甚至是未來發展有負面影響，違反了美洲人權公約</w:t>
      </w:r>
      <w:r w:rsidR="00C4239B" w:rsidRPr="005E758A">
        <w:rPr>
          <w:sz w:val="28"/>
        </w:rPr>
        <w:t>關於家庭權及平等保護的規定。美洲國家間人權</w:t>
      </w:r>
      <w:r w:rsidRPr="005E758A">
        <w:rPr>
          <w:sz w:val="28"/>
        </w:rPr>
        <w:t>法院認為智利最高</w:t>
      </w:r>
      <w:r w:rsidR="00C4239B" w:rsidRPr="005E758A">
        <w:rPr>
          <w:sz w:val="28"/>
        </w:rPr>
        <w:t>法院以母親之性傾向為判決基礎是對女兒的歧視，因親權判定程序應考量</w:t>
      </w:r>
      <w:r w:rsidRPr="005E758A">
        <w:rPr>
          <w:sz w:val="28"/>
        </w:rPr>
        <w:t>父母</w:t>
      </w:r>
      <w:r w:rsidR="00C4239B" w:rsidRPr="005E758A">
        <w:rPr>
          <w:sz w:val="28"/>
        </w:rPr>
        <w:t>雙方及子女之最佳利益，不得僅</w:t>
      </w:r>
      <w:r w:rsidRPr="005E758A">
        <w:rPr>
          <w:sz w:val="28"/>
        </w:rPr>
        <w:t>針對母親之性傾向。</w:t>
      </w:r>
      <w:r w:rsidRPr="005E758A">
        <w:rPr>
          <w:sz w:val="28"/>
        </w:rPr>
        <w:tab/>
      </w:r>
    </w:p>
    <w:p w14:paraId="106EBD20" w14:textId="77777777" w:rsidR="007C1E25" w:rsidRPr="005E758A" w:rsidRDefault="007C1E25" w:rsidP="007119F4">
      <w:pPr>
        <w:pStyle w:val="3"/>
        <w:numPr>
          <w:ilvl w:val="0"/>
          <w:numId w:val="29"/>
        </w:numPr>
        <w:ind w:left="482" w:hanging="482"/>
      </w:pPr>
      <w:r w:rsidRPr="005E758A">
        <w:t>2006</w:t>
      </w:r>
      <w:r w:rsidRPr="005E758A">
        <w:t>年日本最高法院請求承認國籍案</w:t>
      </w:r>
      <w:r w:rsidR="00DE4E74" w:rsidRPr="005E758A">
        <w:t>：</w:t>
      </w:r>
      <w:r w:rsidR="00DE4E74" w:rsidRPr="005E758A">
        <w:rPr>
          <w:szCs w:val="24"/>
          <w:shd w:val="clear" w:color="auto" w:fill="FFFFFF"/>
        </w:rPr>
        <w:t>2006 (</w:t>
      </w:r>
      <w:proofErr w:type="spellStart"/>
      <w:r w:rsidR="00DE4E74" w:rsidRPr="005E758A">
        <w:rPr>
          <w:szCs w:val="24"/>
          <w:shd w:val="clear" w:color="auto" w:fill="FFFFFF"/>
        </w:rPr>
        <w:t>Gyo-Tsu</w:t>
      </w:r>
      <w:proofErr w:type="spellEnd"/>
      <w:r w:rsidR="00DE4E74" w:rsidRPr="005E758A">
        <w:rPr>
          <w:szCs w:val="24"/>
          <w:shd w:val="clear" w:color="auto" w:fill="FFFFFF"/>
        </w:rPr>
        <w:t>) 135</w:t>
      </w:r>
      <w:r w:rsidRPr="005E758A">
        <w:rPr>
          <w:rStyle w:val="af3"/>
        </w:rPr>
        <w:endnoteReference w:id="18"/>
      </w:r>
    </w:p>
    <w:p w14:paraId="035A1E24" w14:textId="77777777" w:rsidR="007C1E25" w:rsidRPr="005E758A" w:rsidRDefault="007C1E25" w:rsidP="007C1E25">
      <w:pPr>
        <w:snapToGrid w:val="0"/>
        <w:spacing w:before="100" w:beforeAutospacing="1" w:after="100" w:afterAutospacing="1"/>
        <w:ind w:firstLineChars="200" w:firstLine="560"/>
        <w:jc w:val="both"/>
        <w:rPr>
          <w:sz w:val="28"/>
        </w:rPr>
      </w:pPr>
      <w:r w:rsidRPr="005E758A">
        <w:rPr>
          <w:sz w:val="28"/>
        </w:rPr>
        <w:t>2003</w:t>
      </w:r>
      <w:r w:rsidR="00C4239B" w:rsidRPr="005E758A">
        <w:rPr>
          <w:sz w:val="28"/>
        </w:rPr>
        <w:t>年，某日籍男子認領其與菲律賓籍子女</w:t>
      </w:r>
      <w:r w:rsidRPr="005E758A">
        <w:rPr>
          <w:sz w:val="28"/>
        </w:rPr>
        <w:t>於未結婚狀態所生之兒童，</w:t>
      </w:r>
      <w:r w:rsidR="00C4239B" w:rsidRPr="005E758A">
        <w:rPr>
          <w:sz w:val="28"/>
        </w:rPr>
        <w:t>並</w:t>
      </w:r>
      <w:r w:rsidRPr="005E758A">
        <w:rPr>
          <w:sz w:val="28"/>
        </w:rPr>
        <w:t>向日本法務省申請取得日本國籍。</w:t>
      </w:r>
      <w:proofErr w:type="gramStart"/>
      <w:r w:rsidRPr="005E758A">
        <w:rPr>
          <w:sz w:val="28"/>
        </w:rPr>
        <w:t>法務省據國籍法</w:t>
      </w:r>
      <w:proofErr w:type="gramEnd"/>
      <w:r w:rsidRPr="005E758A">
        <w:rPr>
          <w:sz w:val="28"/>
        </w:rPr>
        <w:t>之規定拒絕其申請。依照國籍法第</w:t>
      </w:r>
      <w:r w:rsidRPr="005E758A">
        <w:rPr>
          <w:sz w:val="28"/>
        </w:rPr>
        <w:t>3</w:t>
      </w:r>
      <w:r w:rsidRPr="005E758A">
        <w:rPr>
          <w:sz w:val="28"/>
        </w:rPr>
        <w:t>條第</w:t>
      </w:r>
      <w:r w:rsidRPr="005E758A">
        <w:rPr>
          <w:sz w:val="28"/>
        </w:rPr>
        <w:t>1</w:t>
      </w:r>
      <w:r w:rsidR="00C4239B" w:rsidRPr="005E758A">
        <w:rPr>
          <w:sz w:val="28"/>
        </w:rPr>
        <w:t>項規定，僅有由日籍父親及非日</w:t>
      </w:r>
      <w:r w:rsidR="00C4239B" w:rsidRPr="005E758A">
        <w:rPr>
          <w:sz w:val="28"/>
        </w:rPr>
        <w:lastRenderedPageBreak/>
        <w:t>籍母親之非婚生子女</w:t>
      </w:r>
      <w:r w:rsidRPr="005E758A">
        <w:rPr>
          <w:sz w:val="28"/>
        </w:rPr>
        <w:t>於生父認領後，生父母已結婚之「正當化要件」</w:t>
      </w:r>
      <w:r w:rsidRPr="005E758A">
        <w:rPr>
          <w:sz w:val="28"/>
        </w:rPr>
        <w:t>(legitimation requirement)</w:t>
      </w:r>
      <w:r w:rsidR="00C4239B" w:rsidRPr="005E758A">
        <w:rPr>
          <w:sz w:val="28"/>
        </w:rPr>
        <w:t>始取得日本籍。但國籍法並未容許生父母未結婚之子女得以取得日本籍。</w:t>
      </w:r>
      <w:r w:rsidRPr="005E758A">
        <w:rPr>
          <w:sz w:val="28"/>
        </w:rPr>
        <w:t>本案之兒童提起訴訟，宣稱此種差別待遇係屬違憲且請求宣告其具有日本籍。</w:t>
      </w:r>
    </w:p>
    <w:p w14:paraId="3342F052" w14:textId="77777777" w:rsidR="007C1E25" w:rsidRPr="005E758A" w:rsidRDefault="007C1E25" w:rsidP="007C1E25">
      <w:pPr>
        <w:snapToGrid w:val="0"/>
        <w:spacing w:before="100" w:beforeAutospacing="1" w:after="100" w:afterAutospacing="1"/>
        <w:ind w:firstLineChars="200" w:firstLine="560"/>
        <w:jc w:val="both"/>
        <w:rPr>
          <w:sz w:val="28"/>
        </w:rPr>
      </w:pPr>
      <w:r w:rsidRPr="005E758A">
        <w:rPr>
          <w:sz w:val="28"/>
        </w:rPr>
        <w:t>本案的爭點在於生父母未結婚且僅由生父認領之兒童得否為日本國籍法第</w:t>
      </w:r>
      <w:r w:rsidRPr="005E758A">
        <w:rPr>
          <w:sz w:val="28"/>
        </w:rPr>
        <w:t>3</w:t>
      </w:r>
      <w:r w:rsidRPr="005E758A">
        <w:rPr>
          <w:sz w:val="28"/>
        </w:rPr>
        <w:t>條第</w:t>
      </w:r>
      <w:r w:rsidRPr="005E758A">
        <w:rPr>
          <w:sz w:val="28"/>
        </w:rPr>
        <w:t>1</w:t>
      </w:r>
      <w:r w:rsidRPr="005E758A">
        <w:rPr>
          <w:sz w:val="28"/>
        </w:rPr>
        <w:t>項所定「正當化要件」之範圍。日本最高法院認為，對於日籍生父與非日籍生母未結婚之兒童，縱其已受其生父之認領，國籍法以生父母是否結婚為區隔決定兒童是否得以取得日本國籍之規定應屬違憲。該區隔構成無足夠理由之歧視且違反日本憲法第</w:t>
      </w:r>
      <w:r w:rsidRPr="005E758A">
        <w:rPr>
          <w:sz w:val="28"/>
        </w:rPr>
        <w:t>14</w:t>
      </w:r>
      <w:r w:rsidRPr="005E758A">
        <w:rPr>
          <w:sz w:val="28"/>
        </w:rPr>
        <w:t>條平等權之規定，因其限制與日本社會具有密切關係之兒童取得日本國籍，在政策及立法目的上，並未有合理的關聯。法院考量到現在社會觀點下之家庭型態及父母子女關係已與國籍法公布時不同，且日本</w:t>
      </w:r>
      <w:r w:rsidR="00C4239B" w:rsidRPr="005E758A">
        <w:rPr>
          <w:sz w:val="28"/>
        </w:rPr>
        <w:t>已成為國際化的社會。法院同時考量到其他國家拒絕對生父母未婚所生之子女被認為係</w:t>
      </w:r>
      <w:r w:rsidRPr="005E758A">
        <w:rPr>
          <w:sz w:val="28"/>
        </w:rPr>
        <w:t>歧視性對待之國際趨勢，</w:t>
      </w:r>
      <w:proofErr w:type="gramStart"/>
      <w:r w:rsidRPr="005E758A">
        <w:rPr>
          <w:sz w:val="28"/>
        </w:rPr>
        <w:t>且肯認</w:t>
      </w:r>
      <w:proofErr w:type="gramEnd"/>
      <w:r w:rsidRPr="005E758A">
        <w:rPr>
          <w:sz w:val="28"/>
        </w:rPr>
        <w:t>兒童權利公約禁止因為出生造成之歧視。</w:t>
      </w:r>
    </w:p>
    <w:p w14:paraId="2A0A37D5" w14:textId="77777777" w:rsidR="007C1E25" w:rsidRPr="005E758A" w:rsidRDefault="007C1E25" w:rsidP="007C1E25">
      <w:pPr>
        <w:snapToGrid w:val="0"/>
        <w:spacing w:before="100" w:beforeAutospacing="1" w:after="100" w:afterAutospacing="1"/>
        <w:ind w:firstLineChars="200" w:firstLine="560"/>
        <w:jc w:val="both"/>
        <w:rPr>
          <w:sz w:val="28"/>
        </w:rPr>
      </w:pPr>
      <w:r w:rsidRPr="005E758A">
        <w:rPr>
          <w:sz w:val="28"/>
        </w:rPr>
        <w:t>本案的後續發展係日本政府於</w:t>
      </w:r>
      <w:r w:rsidRPr="005E758A">
        <w:rPr>
          <w:sz w:val="28"/>
        </w:rPr>
        <w:t>2008</w:t>
      </w:r>
      <w:r w:rsidR="00C4239B" w:rsidRPr="005E758A">
        <w:rPr>
          <w:sz w:val="28"/>
        </w:rPr>
        <w:t>年修正國籍法，將「正當化要件」刪除，並使所有日籍生父認領之子女</w:t>
      </w:r>
      <w:r w:rsidRPr="005E758A">
        <w:rPr>
          <w:sz w:val="28"/>
        </w:rPr>
        <w:t>得以取得日本國籍。</w:t>
      </w:r>
    </w:p>
    <w:p w14:paraId="650CA923" w14:textId="77777777" w:rsidR="007C1E25" w:rsidRPr="005E758A" w:rsidRDefault="007C1E25" w:rsidP="007C1E25">
      <w:pPr>
        <w:pStyle w:val="2"/>
        <w:spacing w:afterLines="50" w:after="120" w:afterAutospacing="0"/>
        <w:ind w:firstLine="0"/>
      </w:pPr>
      <w:r w:rsidRPr="005E758A">
        <w:t>綜合分析</w:t>
      </w:r>
    </w:p>
    <w:p w14:paraId="31C19DD9" w14:textId="77777777" w:rsidR="007C1E25" w:rsidRPr="005E758A" w:rsidRDefault="007C1E25" w:rsidP="007C1E25">
      <w:pPr>
        <w:snapToGrid w:val="0"/>
        <w:ind w:firstLineChars="200" w:firstLine="560"/>
        <w:jc w:val="both"/>
        <w:rPr>
          <w:sz w:val="28"/>
        </w:rPr>
      </w:pPr>
      <w:r w:rsidRPr="005E758A">
        <w:rPr>
          <w:sz w:val="28"/>
        </w:rPr>
        <w:t>禁止歧視原則具有消極的防禦及積極的作為兩個面向。兒童權利委員會曾呼籲締約國針對弱勢兒童提供特別協助，並透過積極手段協助該等兒童脫離其弱勢處境。</w:t>
      </w:r>
      <w:proofErr w:type="gramStart"/>
      <w:r w:rsidRPr="005E758A">
        <w:rPr>
          <w:sz w:val="28"/>
        </w:rPr>
        <w:t>此外，</w:t>
      </w:r>
      <w:proofErr w:type="gramEnd"/>
      <w:r w:rsidRPr="005E758A">
        <w:rPr>
          <w:sz w:val="28"/>
        </w:rPr>
        <w:t>本條之適用並不表示應給予所有兒童無差別性之一致待遇；而是強調國家應藉由特別措施及資源應投入，消弭導致歧視的肇因</w:t>
      </w:r>
      <w:r w:rsidRPr="005E758A">
        <w:rPr>
          <w:rStyle w:val="af3"/>
          <w:sz w:val="28"/>
        </w:rPr>
        <w:endnoteReference w:id="19"/>
      </w:r>
      <w:r w:rsidRPr="005E758A">
        <w:rPr>
          <w:sz w:val="28"/>
        </w:rPr>
        <w:t>，第一是透過立法方式禁止所有形式之歧視，並給予任何違反規定之個案有效的救濟，</w:t>
      </w:r>
      <w:r w:rsidR="00C4239B" w:rsidRPr="005E758A">
        <w:rPr>
          <w:sz w:val="28"/>
        </w:rPr>
        <w:t>兒童權利</w:t>
      </w:r>
      <w:r w:rsidRPr="005E758A">
        <w:rPr>
          <w:sz w:val="28"/>
        </w:rPr>
        <w:t>委員會亦經常呼籲締約國將禁令納入憲法中，以顯示其必要性及一般適用性</w:t>
      </w:r>
      <w:r w:rsidRPr="005E758A">
        <w:rPr>
          <w:sz w:val="28"/>
        </w:rPr>
        <w:t>(general applicability)</w:t>
      </w:r>
      <w:r w:rsidRPr="005E758A">
        <w:rPr>
          <w:sz w:val="28"/>
        </w:rPr>
        <w:t>，第二是採取社會及其他適當之措施以預防任何事實上的歧視，委員會認為應對於少數族群的偏見或負面意見採取教育措施</w:t>
      </w:r>
      <w:r w:rsidRPr="005E758A">
        <w:rPr>
          <w:rStyle w:val="af3"/>
          <w:sz w:val="28"/>
        </w:rPr>
        <w:endnoteReference w:id="20"/>
      </w:r>
      <w:r w:rsidRPr="005E758A">
        <w:rPr>
          <w:sz w:val="28"/>
        </w:rPr>
        <w:t>。</w:t>
      </w:r>
    </w:p>
    <w:p w14:paraId="6BD16A84" w14:textId="77777777" w:rsidR="007C1E25" w:rsidRPr="005E758A" w:rsidRDefault="007C1E25" w:rsidP="007C1E25">
      <w:pPr>
        <w:pStyle w:val="2"/>
        <w:spacing w:afterLines="50" w:after="120" w:afterAutospacing="0"/>
        <w:ind w:firstLine="0"/>
        <w:rPr>
          <w:szCs w:val="28"/>
        </w:rPr>
      </w:pPr>
      <w:r w:rsidRPr="005E758A">
        <w:rPr>
          <w:szCs w:val="28"/>
        </w:rPr>
        <w:t>參考資料</w:t>
      </w:r>
    </w:p>
    <w:p w14:paraId="5BF03E3E" w14:textId="77777777" w:rsidR="00041AD0" w:rsidRPr="005E758A" w:rsidRDefault="00041AD0" w:rsidP="00D2135A">
      <w:pPr>
        <w:pStyle w:val="a0"/>
        <w:numPr>
          <w:ilvl w:val="0"/>
          <w:numId w:val="99"/>
        </w:numPr>
        <w:snapToGrid w:val="0"/>
        <w:ind w:leftChars="0"/>
        <w:jc w:val="both"/>
        <w:rPr>
          <w:rFonts w:ascii="Times New Roman" w:eastAsia="標楷體" w:hAnsi="Times New Roman"/>
          <w:sz w:val="28"/>
          <w:szCs w:val="28"/>
        </w:rPr>
      </w:pPr>
      <w:r w:rsidRPr="005E758A">
        <w:rPr>
          <w:rFonts w:ascii="Times New Roman" w:eastAsia="標楷體" w:hAnsi="Times New Roman"/>
          <w:smallCaps/>
          <w:sz w:val="28"/>
          <w:szCs w:val="28"/>
        </w:rPr>
        <w:t>Bruce Abramson, A Commentary on the U.N Convention on the Rights of the Child: Article 2: The Right of Non-Discrimination</w:t>
      </w:r>
      <w:r w:rsidR="00DE4E74" w:rsidRPr="005E758A">
        <w:rPr>
          <w:rFonts w:ascii="Times New Roman" w:eastAsia="標楷體" w:hAnsi="Times New Roman"/>
          <w:smallCaps/>
          <w:sz w:val="28"/>
          <w:szCs w:val="28"/>
        </w:rPr>
        <w:t xml:space="preserve"> </w:t>
      </w:r>
      <w:r w:rsidRPr="005E758A">
        <w:rPr>
          <w:rFonts w:ascii="Times New Roman" w:hAnsi="Times New Roman"/>
          <w:sz w:val="28"/>
          <w:szCs w:val="28"/>
        </w:rPr>
        <w:t>(André Alen et al. eds., 2008)</w:t>
      </w:r>
      <w:r w:rsidR="00DE4E74" w:rsidRPr="005E758A">
        <w:rPr>
          <w:rFonts w:ascii="Times New Roman" w:hAnsi="Times New Roman"/>
          <w:sz w:val="28"/>
          <w:szCs w:val="28"/>
        </w:rPr>
        <w:t>.</w:t>
      </w:r>
    </w:p>
    <w:p w14:paraId="2A90A6C4" w14:textId="77777777" w:rsidR="00041AD0" w:rsidRPr="005E758A" w:rsidRDefault="00041AD0" w:rsidP="00D2135A">
      <w:pPr>
        <w:pStyle w:val="a0"/>
        <w:numPr>
          <w:ilvl w:val="0"/>
          <w:numId w:val="99"/>
        </w:numPr>
        <w:snapToGrid w:val="0"/>
        <w:ind w:leftChars="0"/>
        <w:jc w:val="both"/>
        <w:rPr>
          <w:rFonts w:ascii="Times New Roman" w:eastAsia="標楷體" w:hAnsi="Times New Roman"/>
          <w:sz w:val="28"/>
        </w:rPr>
      </w:pPr>
      <w:r w:rsidRPr="005E758A">
        <w:rPr>
          <w:rFonts w:ascii="Times New Roman" w:eastAsia="標楷體" w:hAnsi="Times New Roman"/>
          <w:smallCaps/>
          <w:sz w:val="28"/>
          <w:szCs w:val="28"/>
        </w:rPr>
        <w:t>UNICEF, Implementation Handbook for the Convention on</w:t>
      </w:r>
      <w:r w:rsidRPr="005E758A">
        <w:rPr>
          <w:rFonts w:ascii="Times New Roman" w:eastAsia="標楷體" w:hAnsi="Times New Roman"/>
          <w:smallCaps/>
          <w:sz w:val="28"/>
        </w:rPr>
        <w:t xml:space="preserve"> the Rights of the Child</w:t>
      </w:r>
      <w:r w:rsidRPr="005E758A">
        <w:rPr>
          <w:rFonts w:ascii="Times New Roman" w:eastAsia="標楷體" w:hAnsi="Times New Roman"/>
          <w:sz w:val="28"/>
        </w:rPr>
        <w:t xml:space="preserve"> (3d ed. 2007).</w:t>
      </w:r>
    </w:p>
    <w:p w14:paraId="0A5A89AB" w14:textId="77777777" w:rsidR="007C1E25" w:rsidRPr="005E758A" w:rsidRDefault="007C1E25" w:rsidP="00890E44">
      <w:pPr>
        <w:pStyle w:val="a0"/>
        <w:numPr>
          <w:ilvl w:val="0"/>
          <w:numId w:val="99"/>
        </w:numPr>
        <w:snapToGrid w:val="0"/>
        <w:ind w:leftChars="0"/>
        <w:jc w:val="both"/>
        <w:rPr>
          <w:rFonts w:ascii="Times New Roman" w:eastAsia="標楷體" w:hAnsi="Times New Roman"/>
          <w:sz w:val="28"/>
          <w:szCs w:val="28"/>
        </w:rPr>
      </w:pPr>
      <w:r w:rsidRPr="005E758A">
        <w:rPr>
          <w:rFonts w:ascii="Times New Roman" w:eastAsia="標楷體" w:hAnsi="Times New Roman"/>
          <w:sz w:val="28"/>
        </w:rPr>
        <w:t>兒童權利委員會，第</w:t>
      </w:r>
      <w:r w:rsidRPr="005E758A">
        <w:rPr>
          <w:rFonts w:ascii="Times New Roman" w:eastAsia="標楷體" w:hAnsi="Times New Roman"/>
          <w:sz w:val="28"/>
        </w:rPr>
        <w:t>3</w:t>
      </w:r>
      <w:r w:rsidRPr="005E758A">
        <w:rPr>
          <w:rFonts w:ascii="Times New Roman" w:eastAsia="標楷體" w:hAnsi="Times New Roman"/>
          <w:sz w:val="28"/>
        </w:rPr>
        <w:t>號一般性意見「</w:t>
      </w:r>
      <w:proofErr w:type="gramStart"/>
      <w:r w:rsidRPr="005E758A">
        <w:rPr>
          <w:rFonts w:ascii="Times New Roman" w:eastAsia="標楷體" w:hAnsi="Times New Roman"/>
          <w:sz w:val="28"/>
        </w:rPr>
        <w:t>愛滋病</w:t>
      </w:r>
      <w:proofErr w:type="gramEnd"/>
      <w:r w:rsidRPr="005E758A">
        <w:rPr>
          <w:rFonts w:ascii="Times New Roman" w:eastAsia="標楷體" w:hAnsi="Times New Roman"/>
          <w:sz w:val="28"/>
        </w:rPr>
        <w:t>與兒童權利」。</w:t>
      </w:r>
      <w:r w:rsidRPr="005E758A">
        <w:rPr>
          <w:rFonts w:ascii="Times New Roman" w:eastAsia="標楷體" w:hAnsi="Times New Roman"/>
          <w:sz w:val="28"/>
          <w:szCs w:val="28"/>
        </w:rPr>
        <w:lastRenderedPageBreak/>
        <w:t>(Committee on the Rights of the Child, General Comment No. 3: HIV/AIDS and the Rights of the Child, U.N. Doc. CRC/GC/2003/3 (Mar. 17, 2003).)</w:t>
      </w:r>
    </w:p>
    <w:p w14:paraId="4E601E24" w14:textId="77777777" w:rsidR="007C1E25" w:rsidRPr="005E758A" w:rsidRDefault="007C1E25" w:rsidP="00890E44">
      <w:pPr>
        <w:pStyle w:val="a0"/>
        <w:numPr>
          <w:ilvl w:val="0"/>
          <w:numId w:val="99"/>
        </w:numPr>
        <w:snapToGrid w:val="0"/>
        <w:ind w:leftChars="0"/>
        <w:jc w:val="both"/>
        <w:rPr>
          <w:rFonts w:ascii="Times New Roman" w:eastAsia="標楷體" w:hAnsi="Times New Roman"/>
          <w:sz w:val="28"/>
          <w:szCs w:val="28"/>
        </w:rPr>
      </w:pPr>
      <w:r w:rsidRPr="005E758A">
        <w:rPr>
          <w:rFonts w:ascii="Times New Roman" w:eastAsia="標楷體" w:hAnsi="Times New Roman"/>
          <w:sz w:val="28"/>
        </w:rPr>
        <w:t>兒童權利委員會，第</w:t>
      </w:r>
      <w:r w:rsidRPr="005E758A">
        <w:rPr>
          <w:rFonts w:ascii="Times New Roman" w:eastAsia="標楷體" w:hAnsi="Times New Roman"/>
          <w:sz w:val="28"/>
        </w:rPr>
        <w:t>5</w:t>
      </w:r>
      <w:r w:rsidRPr="005E758A">
        <w:rPr>
          <w:rFonts w:ascii="Times New Roman" w:eastAsia="標楷體" w:hAnsi="Times New Roman"/>
          <w:sz w:val="28"/>
        </w:rPr>
        <w:t>號意見「執行兒童權利公約的一</w:t>
      </w:r>
      <w:r w:rsidRPr="005E758A">
        <w:rPr>
          <w:rFonts w:ascii="Times New Roman" w:eastAsia="標楷體" w:hAnsi="Times New Roman"/>
          <w:sz w:val="28"/>
          <w:szCs w:val="28"/>
        </w:rPr>
        <w:t>般措施」。</w:t>
      </w:r>
      <w:r w:rsidRPr="005E758A">
        <w:rPr>
          <w:rFonts w:ascii="Times New Roman" w:eastAsia="標楷體" w:hAnsi="Times New Roman"/>
          <w:sz w:val="28"/>
          <w:szCs w:val="28"/>
        </w:rPr>
        <w:t>(Committee on the Rights of the Child, General Comment No. 5: General Measures of Implementation of the Convention on the Rights of the Child, U.N. Doc. CRC/GC/2003/5 (Nov. 27, 2003).)</w:t>
      </w:r>
    </w:p>
    <w:p w14:paraId="58712DAF" w14:textId="77777777" w:rsidR="007C1E25" w:rsidRPr="005E758A" w:rsidRDefault="007C1E25" w:rsidP="00890E44">
      <w:pPr>
        <w:pStyle w:val="a0"/>
        <w:numPr>
          <w:ilvl w:val="0"/>
          <w:numId w:val="99"/>
        </w:numPr>
        <w:snapToGrid w:val="0"/>
        <w:ind w:leftChars="0"/>
        <w:jc w:val="both"/>
        <w:rPr>
          <w:rFonts w:ascii="Times New Roman" w:eastAsia="標楷體" w:hAnsi="Times New Roman"/>
          <w:sz w:val="28"/>
          <w:szCs w:val="28"/>
        </w:rPr>
      </w:pPr>
      <w:r w:rsidRPr="005E758A">
        <w:rPr>
          <w:rFonts w:ascii="Times New Roman" w:eastAsia="標楷體" w:hAnsi="Times New Roman"/>
          <w:sz w:val="28"/>
          <w:szCs w:val="28"/>
        </w:rPr>
        <w:t>兒童權利委員會，第</w:t>
      </w:r>
      <w:r w:rsidRPr="005E758A">
        <w:rPr>
          <w:rFonts w:ascii="Times New Roman" w:eastAsia="標楷體" w:hAnsi="Times New Roman"/>
          <w:sz w:val="28"/>
          <w:szCs w:val="28"/>
        </w:rPr>
        <w:t>11</w:t>
      </w:r>
      <w:r w:rsidRPr="005E758A">
        <w:rPr>
          <w:rFonts w:ascii="Times New Roman" w:eastAsia="標楷體" w:hAnsi="Times New Roman"/>
          <w:sz w:val="28"/>
          <w:szCs w:val="28"/>
        </w:rPr>
        <w:t>號一般性意見「原住民兒童及其在公約下的權利」。</w:t>
      </w:r>
      <w:r w:rsidRPr="005E758A">
        <w:rPr>
          <w:rFonts w:ascii="Times New Roman" w:eastAsia="標楷體" w:hAnsi="Times New Roman"/>
          <w:sz w:val="28"/>
          <w:szCs w:val="28"/>
        </w:rPr>
        <w:t>(Committee on the Rights of the Child, General Comment No. 11: Indigenous Children and Their Rights under the Convention, U.N. Doc. CRC/C/GC/11 (Feb. 12, 2009).)</w:t>
      </w:r>
    </w:p>
    <w:p w14:paraId="08F26DEA" w14:textId="77777777" w:rsidR="007C1E25" w:rsidRPr="00E81E68" w:rsidRDefault="007C1E25" w:rsidP="00890E44">
      <w:pPr>
        <w:pStyle w:val="a0"/>
        <w:numPr>
          <w:ilvl w:val="0"/>
          <w:numId w:val="99"/>
        </w:numPr>
        <w:snapToGrid w:val="0"/>
        <w:ind w:leftChars="0"/>
        <w:jc w:val="both"/>
        <w:rPr>
          <w:rFonts w:ascii="Times New Roman" w:eastAsia="標楷體" w:hAnsi="Times New Roman"/>
          <w:sz w:val="28"/>
          <w:szCs w:val="28"/>
        </w:rPr>
      </w:pPr>
      <w:r w:rsidRPr="005E758A">
        <w:rPr>
          <w:rFonts w:ascii="Times New Roman" w:eastAsia="標楷體" w:hAnsi="Times New Roman"/>
          <w:smallCaps/>
          <w:sz w:val="28"/>
          <w:szCs w:val="28"/>
        </w:rPr>
        <w:t>林沛君，兒少人權向前行，臺北市，台灣展翅協會，</w:t>
      </w:r>
      <w:r w:rsidRPr="005E758A">
        <w:rPr>
          <w:rFonts w:ascii="Times New Roman" w:eastAsia="標楷體" w:hAnsi="Times New Roman"/>
          <w:smallCaps/>
          <w:sz w:val="28"/>
          <w:szCs w:val="28"/>
        </w:rPr>
        <w:t>2015</w:t>
      </w:r>
      <w:r w:rsidRPr="005E758A">
        <w:rPr>
          <w:rFonts w:ascii="Times New Roman" w:eastAsia="標楷體" w:hAnsi="Times New Roman"/>
          <w:smallCaps/>
          <w:sz w:val="28"/>
          <w:szCs w:val="28"/>
        </w:rPr>
        <w:t>年</w:t>
      </w:r>
      <w:r w:rsidRPr="005E758A">
        <w:rPr>
          <w:rFonts w:ascii="Times New Roman" w:eastAsia="標楷體" w:hAnsi="Times New Roman"/>
          <w:smallCaps/>
          <w:sz w:val="28"/>
          <w:szCs w:val="28"/>
        </w:rPr>
        <w:t>4</w:t>
      </w:r>
      <w:r w:rsidRPr="005E758A">
        <w:rPr>
          <w:rFonts w:ascii="Times New Roman" w:eastAsia="標楷體" w:hAnsi="Times New Roman"/>
          <w:smallCaps/>
          <w:sz w:val="28"/>
          <w:szCs w:val="28"/>
        </w:rPr>
        <w:t>月。</w:t>
      </w:r>
    </w:p>
    <w:p w14:paraId="576F6D98" w14:textId="77777777" w:rsidR="00E81E68" w:rsidRPr="00E81E68" w:rsidRDefault="00E81E68" w:rsidP="00890E44">
      <w:pPr>
        <w:pStyle w:val="a0"/>
        <w:numPr>
          <w:ilvl w:val="0"/>
          <w:numId w:val="99"/>
        </w:numPr>
        <w:snapToGrid w:val="0"/>
        <w:ind w:leftChars="0"/>
        <w:jc w:val="both"/>
        <w:rPr>
          <w:rFonts w:ascii="Times New Roman" w:eastAsia="標楷體" w:hAnsi="Times New Roman"/>
          <w:sz w:val="32"/>
          <w:szCs w:val="28"/>
        </w:rPr>
      </w:pPr>
      <w:r w:rsidRPr="00E81E68">
        <w:rPr>
          <w:rFonts w:ascii="Times New Roman" w:eastAsia="標楷體" w:hAnsi="Times New Roman"/>
          <w:sz w:val="28"/>
          <w:szCs w:val="24"/>
        </w:rPr>
        <w:t>聯合國秘書長，「歧視之主要態</w:t>
      </w:r>
      <w:proofErr w:type="gramStart"/>
      <w:r w:rsidR="00EA6DE3" w:rsidRPr="00E81E68">
        <w:rPr>
          <w:rFonts w:ascii="Times New Roman" w:eastAsia="標楷體" w:hAnsi="Times New Roman"/>
          <w:sz w:val="28"/>
          <w:szCs w:val="24"/>
        </w:rPr>
        <w:t>樣</w:t>
      </w:r>
      <w:r w:rsidRPr="00E81E68">
        <w:rPr>
          <w:rFonts w:ascii="Times New Roman" w:eastAsia="標楷體" w:hAnsi="Times New Roman"/>
          <w:sz w:val="28"/>
          <w:szCs w:val="24"/>
        </w:rPr>
        <w:t>與肇因</w:t>
      </w:r>
      <w:proofErr w:type="gramEnd"/>
      <w:r w:rsidRPr="00E81E68">
        <w:rPr>
          <w:rFonts w:ascii="Times New Roman" w:eastAsia="標楷體" w:hAnsi="Times New Roman"/>
          <w:sz w:val="28"/>
          <w:szCs w:val="24"/>
        </w:rPr>
        <w:t>備忘錄」。</w:t>
      </w:r>
      <w:r w:rsidR="00A627F9">
        <w:rPr>
          <w:rFonts w:ascii="Times New Roman" w:eastAsia="標楷體" w:hAnsi="Times New Roman" w:hint="eastAsia"/>
          <w:sz w:val="28"/>
          <w:szCs w:val="24"/>
        </w:rPr>
        <w:t>(</w:t>
      </w:r>
      <w:r w:rsidRPr="00E81E68">
        <w:rPr>
          <w:rFonts w:ascii="Times New Roman" w:eastAsia="標楷體" w:hAnsi="Times New Roman"/>
          <w:sz w:val="28"/>
          <w:szCs w:val="24"/>
        </w:rPr>
        <w:t xml:space="preserve">U.N. Secretary-General </w:t>
      </w:r>
      <w:proofErr w:type="gramStart"/>
      <w:r w:rsidRPr="00E81E68">
        <w:rPr>
          <w:rFonts w:ascii="Times New Roman" w:eastAsia="標楷體" w:hAnsi="Times New Roman"/>
          <w:sz w:val="28"/>
          <w:szCs w:val="24"/>
        </w:rPr>
        <w:t>The</w:t>
      </w:r>
      <w:proofErr w:type="gramEnd"/>
      <w:r w:rsidRPr="00E81E68">
        <w:rPr>
          <w:rFonts w:ascii="Times New Roman" w:eastAsia="標楷體" w:hAnsi="Times New Roman"/>
          <w:sz w:val="28"/>
          <w:szCs w:val="24"/>
        </w:rPr>
        <w:t xml:space="preserve"> Main Types and Causes of Discrimination: Memorandum Submitted by the Secretary General, UN Doc. E/CN.4/Sub.2/40/Rev.1 (1949).</w:t>
      </w:r>
      <w:r w:rsidR="00A627F9">
        <w:rPr>
          <w:rFonts w:ascii="Times New Roman" w:eastAsia="標楷體" w:hAnsi="Times New Roman"/>
          <w:sz w:val="28"/>
          <w:szCs w:val="24"/>
        </w:rPr>
        <w:t>)</w:t>
      </w:r>
    </w:p>
    <w:p w14:paraId="68CC33E9" w14:textId="77777777" w:rsidR="007C1E25" w:rsidRPr="00E81E68" w:rsidRDefault="007C1E25" w:rsidP="007C1E25">
      <w:pPr>
        <w:snapToGrid w:val="0"/>
        <w:spacing w:before="100" w:beforeAutospacing="1" w:after="100" w:afterAutospacing="1"/>
        <w:jc w:val="both"/>
        <w:rPr>
          <w:sz w:val="32"/>
        </w:rPr>
      </w:pPr>
    </w:p>
    <w:p w14:paraId="7CF06DB9" w14:textId="77777777" w:rsidR="007C1E25" w:rsidRPr="005E758A" w:rsidRDefault="007C1E25" w:rsidP="007C1E25">
      <w:pPr>
        <w:snapToGrid w:val="0"/>
        <w:spacing w:before="100" w:beforeAutospacing="1" w:after="100" w:afterAutospacing="1"/>
        <w:jc w:val="both"/>
        <w:rPr>
          <w:sz w:val="28"/>
        </w:rPr>
        <w:sectPr w:rsidR="007C1E25" w:rsidRPr="005E758A" w:rsidSect="00135FC9">
          <w:footnotePr>
            <w:numRestart w:val="eachSect"/>
          </w:footnotePr>
          <w:endnotePr>
            <w:numFmt w:val="decimal"/>
            <w:numRestart w:val="eachSect"/>
          </w:endnotePr>
          <w:pgSz w:w="11906" w:h="16838"/>
          <w:pgMar w:top="1440" w:right="1797" w:bottom="1440" w:left="1797" w:header="851" w:footer="992" w:gutter="0"/>
          <w:cols w:space="425"/>
          <w:docGrid w:linePitch="360"/>
        </w:sectPr>
      </w:pPr>
      <w:r w:rsidRPr="005E758A">
        <w:rPr>
          <w:sz w:val="28"/>
        </w:rPr>
        <w:t>關鍵字：不受歧視、平等權</w:t>
      </w:r>
    </w:p>
    <w:p w14:paraId="2EAE4A9E" w14:textId="77777777" w:rsidR="00A25E1F" w:rsidRDefault="00A25E1F" w:rsidP="00A25E1F">
      <w:pPr>
        <w:pStyle w:val="1"/>
        <w:rPr>
          <w:sz w:val="28"/>
        </w:rPr>
      </w:pPr>
      <w:bookmarkStart w:id="8" w:name="_Toc431072719"/>
      <w:r w:rsidRPr="005E758A">
        <w:lastRenderedPageBreak/>
        <w:t>第</w:t>
      </w:r>
      <w:r w:rsidRPr="005E758A">
        <w:t>3</w:t>
      </w:r>
      <w:r w:rsidRPr="005E758A">
        <w:t>條</w:t>
      </w:r>
      <w:r w:rsidR="00764009">
        <w:rPr>
          <w:rFonts w:hint="eastAsia"/>
        </w:rPr>
        <w:t xml:space="preserve">　</w:t>
      </w:r>
      <w:r w:rsidRPr="00A25E1F">
        <w:rPr>
          <w:rFonts w:hint="eastAsia"/>
        </w:rPr>
        <w:t>兒童最佳利益</w:t>
      </w:r>
      <w:r w:rsidR="00FC32F0">
        <w:rPr>
          <w:rFonts w:hint="eastAsia"/>
        </w:rPr>
        <w:t>原則</w:t>
      </w:r>
      <w:bookmarkEnd w:id="8"/>
    </w:p>
    <w:tbl>
      <w:tblPr>
        <w:tblpPr w:leftFromText="180" w:rightFromText="180" w:vertAnchor="page" w:horzAnchor="margin" w:tblpXSpec="center" w:tblpY="2026"/>
        <w:tblW w:w="82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8220"/>
      </w:tblGrid>
      <w:tr w:rsidR="00A25E1F" w:rsidRPr="005E758A" w14:paraId="0B686711" w14:textId="77777777" w:rsidTr="00A25E1F">
        <w:tc>
          <w:tcPr>
            <w:tcW w:w="8220" w:type="dxa"/>
          </w:tcPr>
          <w:p w14:paraId="6F716557" w14:textId="77777777" w:rsidR="00A25E1F" w:rsidRPr="005E758A" w:rsidRDefault="00A25E1F" w:rsidP="00A25E1F">
            <w:pPr>
              <w:pStyle w:val="a0"/>
              <w:numPr>
                <w:ilvl w:val="0"/>
                <w:numId w:val="34"/>
              </w:numPr>
              <w:snapToGrid w:val="0"/>
              <w:spacing w:before="100" w:beforeAutospacing="1" w:after="100" w:afterAutospacing="1"/>
              <w:ind w:leftChars="0" w:left="357" w:hanging="357"/>
              <w:jc w:val="both"/>
              <w:rPr>
                <w:rFonts w:ascii="Times New Roman" w:eastAsia="標楷體" w:hAnsi="Times New Roman"/>
                <w:sz w:val="28"/>
              </w:rPr>
            </w:pPr>
            <w:bookmarkStart w:id="9" w:name="_Toc427238528"/>
            <w:r w:rsidRPr="005E758A">
              <w:rPr>
                <w:rFonts w:ascii="Times New Roman" w:eastAsia="標楷體" w:hAnsi="Times New Roman"/>
                <w:sz w:val="28"/>
              </w:rPr>
              <w:t>所有關係兒童之事務，無論是由公私社會福利機構、法院、行政機關或立法機關作為，</w:t>
            </w:r>
            <w:proofErr w:type="gramStart"/>
            <w:r w:rsidRPr="005E758A">
              <w:rPr>
                <w:rFonts w:ascii="Times New Roman" w:eastAsia="標楷體" w:hAnsi="Times New Roman"/>
                <w:sz w:val="28"/>
              </w:rPr>
              <w:t>均應以</w:t>
            </w:r>
            <w:proofErr w:type="gramEnd"/>
            <w:r w:rsidRPr="005E758A">
              <w:rPr>
                <w:rFonts w:ascii="Times New Roman" w:eastAsia="標楷體" w:hAnsi="Times New Roman"/>
                <w:sz w:val="28"/>
              </w:rPr>
              <w:t>兒童最佳利益為優先考量。</w:t>
            </w:r>
          </w:p>
          <w:p w14:paraId="6C49A18E" w14:textId="77777777" w:rsidR="00A25E1F" w:rsidRPr="005E758A" w:rsidRDefault="00A25E1F" w:rsidP="00A25E1F">
            <w:pPr>
              <w:pStyle w:val="a0"/>
              <w:numPr>
                <w:ilvl w:val="0"/>
                <w:numId w:val="34"/>
              </w:numPr>
              <w:snapToGrid w:val="0"/>
              <w:spacing w:before="100" w:beforeAutospacing="1" w:after="100" w:afterAutospacing="1"/>
              <w:ind w:leftChars="0" w:left="357" w:hanging="357"/>
              <w:jc w:val="both"/>
              <w:rPr>
                <w:rFonts w:ascii="Times New Roman" w:eastAsia="標楷體" w:hAnsi="Times New Roman"/>
                <w:sz w:val="28"/>
              </w:rPr>
            </w:pPr>
            <w:r w:rsidRPr="005E758A">
              <w:rPr>
                <w:rFonts w:ascii="Times New Roman" w:eastAsia="標楷體" w:hAnsi="Times New Roman"/>
                <w:sz w:val="28"/>
              </w:rPr>
              <w:t>締約國承諾為確保兒童福祉所必要之保護與照顧，應考量其父母、法定監護人或其他對其負有法律責任者之權利及義務，並採取一切適當之立法及行政措施達成之。</w:t>
            </w:r>
          </w:p>
          <w:p w14:paraId="5FC7B49A" w14:textId="77777777" w:rsidR="00A25E1F" w:rsidRPr="005E758A" w:rsidRDefault="00A25E1F" w:rsidP="00A25E1F">
            <w:pPr>
              <w:pStyle w:val="a0"/>
              <w:numPr>
                <w:ilvl w:val="0"/>
                <w:numId w:val="34"/>
              </w:numPr>
              <w:snapToGrid w:val="0"/>
              <w:spacing w:before="100" w:beforeAutospacing="1" w:after="100" w:afterAutospacing="1"/>
              <w:ind w:leftChars="0" w:left="357" w:hanging="357"/>
              <w:jc w:val="both"/>
              <w:rPr>
                <w:rFonts w:ascii="Times New Roman" w:eastAsia="標楷體" w:hAnsi="Times New Roman"/>
              </w:rPr>
            </w:pPr>
            <w:r w:rsidRPr="005E758A">
              <w:rPr>
                <w:rFonts w:ascii="Times New Roman" w:eastAsia="標楷體" w:hAnsi="Times New Roman"/>
                <w:sz w:val="28"/>
              </w:rPr>
              <w:t>締約國應確保負責照顧與保護兒童之機構、服務與設施符合主管機關所訂之標準，特別在安全、保健、工作人員數量與資格及有效監督等方面。</w:t>
            </w:r>
          </w:p>
        </w:tc>
      </w:tr>
      <w:bookmarkEnd w:id="9"/>
    </w:tbl>
    <w:p w14:paraId="3F46B8F7" w14:textId="77777777" w:rsidR="00A25E1F" w:rsidRPr="00A25E1F" w:rsidRDefault="00A25E1F" w:rsidP="00A25E1F">
      <w:pPr>
        <w:snapToGrid w:val="0"/>
        <w:spacing w:before="100" w:beforeAutospacing="1" w:after="100" w:afterAutospacing="1"/>
        <w:jc w:val="both"/>
        <w:rPr>
          <w:sz w:val="28"/>
        </w:rPr>
      </w:pPr>
    </w:p>
    <w:p w14:paraId="1732A1A4" w14:textId="77777777" w:rsidR="007C1E25" w:rsidRPr="005E758A" w:rsidRDefault="007C1E25" w:rsidP="007119F4">
      <w:pPr>
        <w:pStyle w:val="2"/>
        <w:numPr>
          <w:ilvl w:val="0"/>
          <w:numId w:val="35"/>
        </w:numPr>
      </w:pPr>
      <w:r w:rsidRPr="005E758A">
        <w:t>規範宗旨</w:t>
      </w:r>
    </w:p>
    <w:p w14:paraId="0C6FD61D" w14:textId="77777777" w:rsidR="007C1E25" w:rsidRPr="005E758A" w:rsidRDefault="007C1E25" w:rsidP="007C1E25">
      <w:pPr>
        <w:snapToGrid w:val="0"/>
        <w:spacing w:before="100" w:beforeAutospacing="1" w:after="100" w:afterAutospacing="1"/>
        <w:ind w:firstLineChars="200" w:firstLine="560"/>
        <w:jc w:val="both"/>
        <w:rPr>
          <w:sz w:val="28"/>
        </w:rPr>
      </w:pPr>
      <w:r w:rsidRPr="005E758A">
        <w:rPr>
          <w:sz w:val="28"/>
        </w:rPr>
        <w:t>兒童最佳利益為公約四項基本原則之一，並被認為係所有兒童人權的基礎。也因此，聯合國兒童權利委員會在審議各國國家報告時，總會</w:t>
      </w:r>
      <w:proofErr w:type="gramStart"/>
      <w:r w:rsidRPr="005E758A">
        <w:rPr>
          <w:sz w:val="28"/>
        </w:rPr>
        <w:t>特別著墨本</w:t>
      </w:r>
      <w:proofErr w:type="gramEnd"/>
      <w:r w:rsidRPr="005E758A">
        <w:rPr>
          <w:sz w:val="28"/>
        </w:rPr>
        <w:t>條的重要性及其與其他兒童人權的關係</w:t>
      </w:r>
      <w:bookmarkStart w:id="10" w:name="_Ref427229701"/>
      <w:r w:rsidRPr="005E758A">
        <w:rPr>
          <w:rStyle w:val="af3"/>
        </w:rPr>
        <w:endnoteReference w:id="21"/>
      </w:r>
      <w:bookmarkEnd w:id="10"/>
      <w:r w:rsidRPr="005E758A">
        <w:rPr>
          <w:sz w:val="28"/>
        </w:rPr>
        <w:t>。兒童最佳利益原則並非公約所首創，而係早見於英美之立法</w:t>
      </w:r>
      <w:r w:rsidRPr="005E758A">
        <w:rPr>
          <w:rStyle w:val="af3"/>
        </w:rPr>
        <w:endnoteReference w:id="22"/>
      </w:r>
      <w:r w:rsidRPr="005E758A">
        <w:rPr>
          <w:sz w:val="28"/>
        </w:rPr>
        <w:t>，但在公約起草過程作了部分文字上的調整。儘管如此，將此項原則適用於所有公、私部門，仍屬公約之創舉，可謂係公約最大的成就之</w:t>
      </w:r>
      <w:proofErr w:type="gramStart"/>
      <w:r w:rsidRPr="005E758A">
        <w:rPr>
          <w:sz w:val="28"/>
        </w:rPr>
        <w:t>一</w:t>
      </w:r>
      <w:proofErr w:type="gramEnd"/>
      <w:r w:rsidRPr="005E758A">
        <w:rPr>
          <w:sz w:val="28"/>
        </w:rPr>
        <w:t>。</w:t>
      </w:r>
    </w:p>
    <w:p w14:paraId="3975DF97" w14:textId="77777777" w:rsidR="007C1E25" w:rsidRPr="005E758A" w:rsidRDefault="007C1E25" w:rsidP="007C1E25">
      <w:pPr>
        <w:snapToGrid w:val="0"/>
        <w:spacing w:before="100" w:beforeAutospacing="1" w:after="100" w:afterAutospacing="1"/>
        <w:ind w:firstLineChars="200" w:firstLine="560"/>
        <w:jc w:val="both"/>
        <w:rPr>
          <w:sz w:val="28"/>
        </w:rPr>
      </w:pPr>
      <w:r w:rsidRPr="005E758A">
        <w:rPr>
          <w:sz w:val="28"/>
        </w:rPr>
        <w:t>本條規定，就所有與兒童事務有關之司法、行政決策，以及其它涉及兒童個體的行為，無論是公部門或私部門，皆應以兒童最佳利益為優先考量</w:t>
      </w:r>
      <w:bookmarkStart w:id="11" w:name="_Ref427230690"/>
      <w:r w:rsidRPr="005E758A">
        <w:rPr>
          <w:rStyle w:val="af3"/>
        </w:rPr>
        <w:endnoteReference w:id="23"/>
      </w:r>
      <w:bookmarkEnd w:id="11"/>
      <w:r w:rsidRPr="005E758A">
        <w:rPr>
          <w:sz w:val="28"/>
        </w:rPr>
        <w:t>。本規範之要旨是加強對兒童權利的認識和運用，將兒童的最大利益列為一項首要的考慮，甚至在某些情況下，列為最重要之考量，以形成對兒童作為權利持有人的全面尊重，達成真正的轉變</w:t>
      </w:r>
      <w:r w:rsidRPr="005E758A">
        <w:rPr>
          <w:rStyle w:val="af3"/>
        </w:rPr>
        <w:endnoteReference w:id="24"/>
      </w:r>
      <w:r w:rsidRPr="005E758A">
        <w:rPr>
          <w:sz w:val="28"/>
        </w:rPr>
        <w:t>。</w:t>
      </w:r>
    </w:p>
    <w:p w14:paraId="7A0F8183" w14:textId="77777777" w:rsidR="007C1E25" w:rsidRPr="005E758A" w:rsidRDefault="007C1E25" w:rsidP="007C1E25">
      <w:pPr>
        <w:pStyle w:val="2"/>
      </w:pPr>
      <w:r w:rsidRPr="005E758A">
        <w:t>條文要義</w:t>
      </w:r>
    </w:p>
    <w:p w14:paraId="3FE880BE" w14:textId="77777777" w:rsidR="007C1E25" w:rsidRPr="005E758A" w:rsidRDefault="007C1E25" w:rsidP="007C1E25">
      <w:pPr>
        <w:pStyle w:val="3"/>
      </w:pPr>
      <w:r w:rsidRPr="005E758A">
        <w:t>第</w:t>
      </w:r>
      <w:r w:rsidRPr="005E758A">
        <w:t>3</w:t>
      </w:r>
      <w:r w:rsidRPr="005E758A">
        <w:t>條第</w:t>
      </w:r>
      <w:r w:rsidRPr="005E758A">
        <w:t>1</w:t>
      </w:r>
      <w:r w:rsidRPr="005E758A">
        <w:t>項</w:t>
      </w:r>
    </w:p>
    <w:p w14:paraId="559FC021" w14:textId="77777777" w:rsidR="007C1E25" w:rsidRPr="005E758A" w:rsidRDefault="007C1E25" w:rsidP="007C1E25">
      <w:pPr>
        <w:pStyle w:val="4"/>
      </w:pPr>
      <w:r w:rsidRPr="005E758A">
        <w:t>兒童最佳利益之定義</w:t>
      </w:r>
    </w:p>
    <w:p w14:paraId="6C9A9A49" w14:textId="77777777" w:rsidR="007C1E25" w:rsidRPr="005E758A" w:rsidRDefault="007C1E25" w:rsidP="007C1E25">
      <w:pPr>
        <w:snapToGrid w:val="0"/>
        <w:spacing w:before="100" w:beforeAutospacing="1" w:after="100" w:afterAutospacing="1"/>
        <w:ind w:firstLineChars="200" w:firstLine="560"/>
        <w:jc w:val="both"/>
        <w:rPr>
          <w:sz w:val="28"/>
        </w:rPr>
      </w:pPr>
      <w:r w:rsidRPr="005E758A">
        <w:rPr>
          <w:sz w:val="28"/>
        </w:rPr>
        <w:t>「一種權利、一項原則，同時也是一種程序準則」，此為兒童最佳利益之三大面向，簡言之，當一項決定涉及不同主體的權益時，兒童有權獲得優先考量，此即為其權利面向；</w:t>
      </w:r>
      <w:proofErr w:type="gramStart"/>
      <w:r w:rsidRPr="005E758A">
        <w:rPr>
          <w:sz w:val="28"/>
        </w:rPr>
        <w:t>再者，</w:t>
      </w:r>
      <w:proofErr w:type="gramEnd"/>
      <w:r w:rsidRPr="005E758A">
        <w:rPr>
          <w:sz w:val="28"/>
        </w:rPr>
        <w:t>兒童最佳利益亦是在法規解釋時之基本原則，當一個法律</w:t>
      </w:r>
      <w:proofErr w:type="gramStart"/>
      <w:r w:rsidRPr="005E758A">
        <w:rPr>
          <w:sz w:val="28"/>
        </w:rPr>
        <w:t>有多態樣</w:t>
      </w:r>
      <w:proofErr w:type="gramEnd"/>
      <w:r w:rsidRPr="005E758A">
        <w:rPr>
          <w:sz w:val="28"/>
        </w:rPr>
        <w:t>的解釋可能時，即應採取最符合兒童</w:t>
      </w:r>
      <w:r w:rsidRPr="005E758A">
        <w:rPr>
          <w:sz w:val="32"/>
        </w:rPr>
        <w:t>利益</w:t>
      </w:r>
      <w:r w:rsidRPr="005E758A">
        <w:rPr>
          <w:sz w:val="28"/>
        </w:rPr>
        <w:t>之決定；同時，在任何涉及兒童之政策或決定中，其所建立之正當性基礎，亦必須以符合此程序保障為前提</w:t>
      </w:r>
      <w:r w:rsidRPr="005E758A">
        <w:rPr>
          <w:rStyle w:val="af3"/>
        </w:rPr>
        <w:endnoteReference w:id="25"/>
      </w:r>
      <w:r w:rsidRPr="005E758A">
        <w:rPr>
          <w:sz w:val="28"/>
        </w:rPr>
        <w:t>。</w:t>
      </w:r>
    </w:p>
    <w:p w14:paraId="021DDCBB" w14:textId="77777777" w:rsidR="007C1E25" w:rsidRPr="005E758A" w:rsidRDefault="007C1E25" w:rsidP="007C1E25">
      <w:pPr>
        <w:snapToGrid w:val="0"/>
        <w:spacing w:before="100" w:beforeAutospacing="1" w:after="100" w:afterAutospacing="1"/>
        <w:ind w:firstLineChars="200" w:firstLine="560"/>
        <w:jc w:val="both"/>
        <w:rPr>
          <w:sz w:val="28"/>
          <w:szCs w:val="28"/>
        </w:rPr>
      </w:pPr>
      <w:r w:rsidRPr="005E758A">
        <w:rPr>
          <w:sz w:val="28"/>
          <w:szCs w:val="28"/>
        </w:rPr>
        <w:lastRenderedPageBreak/>
        <w:t>兒童權利公約雖然並未精</w:t>
      </w:r>
      <w:proofErr w:type="gramStart"/>
      <w:r w:rsidRPr="005E758A">
        <w:rPr>
          <w:sz w:val="28"/>
          <w:szCs w:val="28"/>
        </w:rPr>
        <w:t>準</w:t>
      </w:r>
      <w:proofErr w:type="gramEnd"/>
      <w:r w:rsidRPr="005E758A">
        <w:rPr>
          <w:sz w:val="28"/>
          <w:szCs w:val="28"/>
        </w:rPr>
        <w:t>的定義何謂「兒童最佳利益」，亦未明確的規範出一些通例來做為何謂兒童最佳利益之大綱，但應以該三大面向為認定考量，並取決於具體的行為以定義其執行，如第</w:t>
      </w:r>
      <w:r w:rsidRPr="005E758A">
        <w:rPr>
          <w:sz w:val="28"/>
          <w:szCs w:val="28"/>
        </w:rPr>
        <w:t>21</w:t>
      </w:r>
      <w:r w:rsidRPr="005E758A">
        <w:rPr>
          <w:sz w:val="28"/>
          <w:szCs w:val="28"/>
        </w:rPr>
        <w:t>條收養及第</w:t>
      </w:r>
      <w:r w:rsidRPr="005E758A">
        <w:rPr>
          <w:sz w:val="28"/>
          <w:szCs w:val="28"/>
        </w:rPr>
        <w:t>9</w:t>
      </w:r>
      <w:r w:rsidRPr="005E758A">
        <w:rPr>
          <w:sz w:val="28"/>
          <w:szCs w:val="28"/>
        </w:rPr>
        <w:t>條不與父母分離的權利即係以兒童最佳利益為其判斷</w:t>
      </w:r>
      <w:r w:rsidR="002C321D" w:rsidRPr="005E758A">
        <w:rPr>
          <w:sz w:val="28"/>
          <w:szCs w:val="28"/>
        </w:rPr>
        <w:t>及</w:t>
      </w:r>
      <w:r w:rsidRPr="005E758A">
        <w:rPr>
          <w:sz w:val="28"/>
          <w:szCs w:val="28"/>
        </w:rPr>
        <w:t>解釋之準則</w:t>
      </w:r>
      <w:r w:rsidRPr="005E758A">
        <w:rPr>
          <w:rStyle w:val="af3"/>
          <w:szCs w:val="28"/>
        </w:rPr>
        <w:endnoteReference w:id="26"/>
      </w:r>
      <w:r w:rsidRPr="005E758A">
        <w:rPr>
          <w:sz w:val="28"/>
          <w:szCs w:val="28"/>
        </w:rPr>
        <w:t>。</w:t>
      </w:r>
      <w:proofErr w:type="gramStart"/>
      <w:r w:rsidRPr="005E758A">
        <w:rPr>
          <w:sz w:val="28"/>
          <w:szCs w:val="28"/>
        </w:rPr>
        <w:t>此外，</w:t>
      </w:r>
      <w:proofErr w:type="gramEnd"/>
      <w:r w:rsidRPr="005E758A">
        <w:rPr>
          <w:sz w:val="28"/>
          <w:szCs w:val="28"/>
        </w:rPr>
        <w:t>兒童權利委員會就兒童利益究竟應如何認定，亦於一般性意見中提出看法，認為宜採取如下步驟：</w:t>
      </w:r>
    </w:p>
    <w:p w14:paraId="4EA9AF4D" w14:textId="77777777" w:rsidR="007C1E25" w:rsidRPr="005E758A" w:rsidRDefault="007C1E25" w:rsidP="007119F4">
      <w:pPr>
        <w:pStyle w:val="a0"/>
        <w:numPr>
          <w:ilvl w:val="0"/>
          <w:numId w:val="32"/>
        </w:numPr>
        <w:snapToGrid w:val="0"/>
        <w:spacing w:before="100" w:beforeAutospacing="1" w:after="100" w:afterAutospacing="1"/>
        <w:ind w:leftChars="0"/>
        <w:jc w:val="both"/>
        <w:rPr>
          <w:rFonts w:ascii="Times New Roman" w:eastAsia="標楷體" w:hAnsi="Times New Roman"/>
          <w:sz w:val="28"/>
          <w:szCs w:val="28"/>
        </w:rPr>
      </w:pPr>
      <w:r w:rsidRPr="005E758A">
        <w:rPr>
          <w:rFonts w:ascii="Times New Roman" w:eastAsia="標楷體" w:hAnsi="Times New Roman"/>
          <w:sz w:val="28"/>
          <w:szCs w:val="28"/>
        </w:rPr>
        <w:t>依據個案之狀況，</w:t>
      </w:r>
      <w:proofErr w:type="gramStart"/>
      <w:r w:rsidRPr="005E758A">
        <w:rPr>
          <w:rFonts w:ascii="Times New Roman" w:eastAsia="標楷體" w:hAnsi="Times New Roman"/>
          <w:sz w:val="28"/>
          <w:szCs w:val="28"/>
        </w:rPr>
        <w:t>釐</w:t>
      </w:r>
      <w:proofErr w:type="gramEnd"/>
      <w:r w:rsidRPr="005E758A">
        <w:rPr>
          <w:rFonts w:ascii="Times New Roman" w:eastAsia="標楷體" w:hAnsi="Times New Roman"/>
          <w:sz w:val="28"/>
          <w:szCs w:val="28"/>
        </w:rPr>
        <w:t>清影響評估兒童最佳利益之因素有哪些，例如兒童之意願、身心安全等等，再就上開因素考量其重要性及其應被賦予何種權利</w:t>
      </w:r>
      <w:r w:rsidRPr="005E758A">
        <w:rPr>
          <w:rStyle w:val="af3"/>
          <w:rFonts w:ascii="Times New Roman" w:eastAsia="標楷體" w:hAnsi="Times New Roman"/>
          <w:szCs w:val="28"/>
        </w:rPr>
        <w:endnoteReference w:id="27"/>
      </w:r>
      <w:r w:rsidRPr="005E758A">
        <w:rPr>
          <w:rFonts w:ascii="Times New Roman" w:eastAsia="標楷體" w:hAnsi="Times New Roman"/>
          <w:sz w:val="28"/>
          <w:szCs w:val="28"/>
        </w:rPr>
        <w:t>。</w:t>
      </w:r>
    </w:p>
    <w:p w14:paraId="5EB6EDBF" w14:textId="77777777" w:rsidR="007C1E25" w:rsidRPr="005E758A" w:rsidRDefault="007C1E25" w:rsidP="007119F4">
      <w:pPr>
        <w:pStyle w:val="a0"/>
        <w:numPr>
          <w:ilvl w:val="0"/>
          <w:numId w:val="32"/>
        </w:numPr>
        <w:snapToGrid w:val="0"/>
        <w:spacing w:before="100" w:beforeAutospacing="1" w:after="100" w:afterAutospacing="1"/>
        <w:ind w:leftChars="0"/>
        <w:jc w:val="both"/>
        <w:rPr>
          <w:rFonts w:ascii="Times New Roman" w:eastAsia="標楷體" w:hAnsi="Times New Roman"/>
          <w:sz w:val="28"/>
          <w:szCs w:val="28"/>
        </w:rPr>
      </w:pPr>
      <w:r w:rsidRPr="005E758A">
        <w:rPr>
          <w:rFonts w:ascii="Times New Roman" w:eastAsia="標楷體" w:hAnsi="Times New Roman"/>
          <w:sz w:val="28"/>
          <w:szCs w:val="28"/>
        </w:rPr>
        <w:t>決策者應建置一套可供立法者、法官及行政部門等得以落實確保兒童最佳利益之機制，協助其進行兒童最佳利益之評估</w:t>
      </w:r>
      <w:r w:rsidRPr="005E758A">
        <w:rPr>
          <w:rStyle w:val="af3"/>
          <w:rFonts w:ascii="Times New Roman" w:eastAsia="標楷體" w:hAnsi="Times New Roman"/>
          <w:szCs w:val="28"/>
        </w:rPr>
        <w:endnoteReference w:id="28"/>
      </w:r>
      <w:r w:rsidRPr="005E758A">
        <w:rPr>
          <w:rFonts w:ascii="Times New Roman" w:eastAsia="標楷體" w:hAnsi="Times New Roman"/>
          <w:sz w:val="28"/>
          <w:szCs w:val="28"/>
        </w:rPr>
        <w:t>。</w:t>
      </w:r>
    </w:p>
    <w:p w14:paraId="2ACBA1E3" w14:textId="77777777" w:rsidR="007C1E25" w:rsidRPr="005E758A" w:rsidRDefault="007C1E25" w:rsidP="007C1E25">
      <w:pPr>
        <w:snapToGrid w:val="0"/>
        <w:spacing w:before="100" w:beforeAutospacing="1" w:after="100" w:afterAutospacing="1"/>
        <w:ind w:firstLineChars="200" w:firstLine="560"/>
        <w:jc w:val="both"/>
        <w:rPr>
          <w:sz w:val="28"/>
          <w:szCs w:val="28"/>
        </w:rPr>
      </w:pPr>
      <w:r w:rsidRPr="005E758A">
        <w:rPr>
          <w:sz w:val="28"/>
          <w:szCs w:val="28"/>
        </w:rPr>
        <w:t>兒童權利委員會建議，兒童最佳利益之判斷，應特別注意之因素如下</w:t>
      </w:r>
      <w:r w:rsidRPr="005E758A">
        <w:rPr>
          <w:rStyle w:val="af3"/>
          <w:szCs w:val="28"/>
        </w:rPr>
        <w:endnoteReference w:id="29"/>
      </w:r>
      <w:r w:rsidRPr="005E758A">
        <w:rPr>
          <w:sz w:val="28"/>
          <w:szCs w:val="28"/>
        </w:rPr>
        <w:t>：</w:t>
      </w:r>
    </w:p>
    <w:p w14:paraId="610E51B6" w14:textId="77777777" w:rsidR="007C1E25" w:rsidRPr="005E758A" w:rsidRDefault="007C1E25" w:rsidP="007119F4">
      <w:pPr>
        <w:pStyle w:val="a0"/>
        <w:numPr>
          <w:ilvl w:val="0"/>
          <w:numId w:val="33"/>
        </w:numPr>
        <w:snapToGrid w:val="0"/>
        <w:spacing w:before="100" w:beforeAutospacing="1" w:after="100" w:afterAutospacing="1"/>
        <w:ind w:leftChars="0"/>
        <w:jc w:val="both"/>
        <w:rPr>
          <w:rFonts w:ascii="Times New Roman" w:eastAsia="標楷體" w:hAnsi="Times New Roman"/>
          <w:sz w:val="28"/>
          <w:szCs w:val="28"/>
        </w:rPr>
      </w:pPr>
      <w:r w:rsidRPr="005E758A">
        <w:rPr>
          <w:rFonts w:ascii="Times New Roman" w:eastAsia="標楷體" w:hAnsi="Times New Roman"/>
          <w:sz w:val="28"/>
          <w:szCs w:val="28"/>
        </w:rPr>
        <w:t>兒童表示意見之權利：應確保兒童除被告知相關權利資訊外，其本人表示意見之權利，亦不應被剝奪。</w:t>
      </w:r>
    </w:p>
    <w:p w14:paraId="7D61A18F" w14:textId="77777777" w:rsidR="007C1E25" w:rsidRPr="005E758A" w:rsidRDefault="007C1E25" w:rsidP="007119F4">
      <w:pPr>
        <w:pStyle w:val="a0"/>
        <w:numPr>
          <w:ilvl w:val="0"/>
          <w:numId w:val="33"/>
        </w:numPr>
        <w:snapToGrid w:val="0"/>
        <w:spacing w:before="100" w:beforeAutospacing="1" w:after="100" w:afterAutospacing="1"/>
        <w:ind w:leftChars="0"/>
        <w:jc w:val="both"/>
        <w:rPr>
          <w:rFonts w:ascii="Times New Roman" w:eastAsia="標楷體" w:hAnsi="Times New Roman"/>
          <w:sz w:val="28"/>
          <w:szCs w:val="28"/>
        </w:rPr>
      </w:pPr>
      <w:r w:rsidRPr="005E758A">
        <w:rPr>
          <w:rFonts w:ascii="Times New Roman" w:eastAsia="標楷體" w:hAnsi="Times New Roman"/>
          <w:sz w:val="28"/>
          <w:szCs w:val="28"/>
        </w:rPr>
        <w:t>兒童之身分：兒童之性別、性取向、宗教、文化等等，應受考量。</w:t>
      </w:r>
    </w:p>
    <w:p w14:paraId="257FE11D" w14:textId="77777777" w:rsidR="007C1E25" w:rsidRPr="005E758A" w:rsidRDefault="007C1E25" w:rsidP="007119F4">
      <w:pPr>
        <w:pStyle w:val="a0"/>
        <w:numPr>
          <w:ilvl w:val="0"/>
          <w:numId w:val="33"/>
        </w:numPr>
        <w:snapToGrid w:val="0"/>
        <w:spacing w:before="100" w:beforeAutospacing="1" w:after="100" w:afterAutospacing="1"/>
        <w:ind w:leftChars="0"/>
        <w:jc w:val="both"/>
        <w:rPr>
          <w:rFonts w:ascii="Times New Roman" w:eastAsia="標楷體" w:hAnsi="Times New Roman"/>
          <w:sz w:val="28"/>
          <w:szCs w:val="28"/>
        </w:rPr>
      </w:pPr>
      <w:r w:rsidRPr="005E758A">
        <w:rPr>
          <w:rFonts w:ascii="Times New Roman" w:eastAsia="標楷體" w:hAnsi="Times New Roman"/>
          <w:sz w:val="28"/>
          <w:szCs w:val="28"/>
        </w:rPr>
        <w:t>維護家庭聯繫：因家庭是社會單位，為能使兒童健全成長，兒童有享有家庭生活之權利。</w:t>
      </w:r>
    </w:p>
    <w:p w14:paraId="35EBDA3F" w14:textId="77777777" w:rsidR="007C1E25" w:rsidRPr="005E758A" w:rsidRDefault="007C1E25" w:rsidP="007119F4">
      <w:pPr>
        <w:pStyle w:val="a0"/>
        <w:numPr>
          <w:ilvl w:val="0"/>
          <w:numId w:val="33"/>
        </w:numPr>
        <w:snapToGrid w:val="0"/>
        <w:spacing w:before="100" w:beforeAutospacing="1" w:after="100" w:afterAutospacing="1"/>
        <w:ind w:leftChars="0"/>
        <w:jc w:val="both"/>
        <w:rPr>
          <w:rFonts w:ascii="Times New Roman" w:eastAsia="標楷體" w:hAnsi="Times New Roman"/>
          <w:sz w:val="28"/>
          <w:szCs w:val="28"/>
        </w:rPr>
      </w:pPr>
      <w:r w:rsidRPr="005E758A">
        <w:rPr>
          <w:rFonts w:ascii="Times New Roman" w:eastAsia="標楷體" w:hAnsi="Times New Roman"/>
          <w:sz w:val="28"/>
          <w:szCs w:val="28"/>
        </w:rPr>
        <w:t>兒童之照護、保護與安全：兒童應享有受成人保護、照顧之權利，使兒童得以安穩成長。</w:t>
      </w:r>
    </w:p>
    <w:p w14:paraId="34206C05" w14:textId="77777777" w:rsidR="007C1E25" w:rsidRPr="005E758A" w:rsidRDefault="007C1E25" w:rsidP="007119F4">
      <w:pPr>
        <w:pStyle w:val="a0"/>
        <w:numPr>
          <w:ilvl w:val="0"/>
          <w:numId w:val="33"/>
        </w:numPr>
        <w:snapToGrid w:val="0"/>
        <w:spacing w:before="100" w:beforeAutospacing="1" w:after="100" w:afterAutospacing="1"/>
        <w:ind w:leftChars="0"/>
        <w:jc w:val="both"/>
        <w:rPr>
          <w:rFonts w:ascii="Times New Roman" w:eastAsia="標楷體" w:hAnsi="Times New Roman"/>
          <w:sz w:val="28"/>
          <w:szCs w:val="28"/>
        </w:rPr>
      </w:pPr>
      <w:r w:rsidRPr="005E758A">
        <w:rPr>
          <w:rFonts w:ascii="Times New Roman" w:eastAsia="標楷體" w:hAnsi="Times New Roman"/>
          <w:sz w:val="28"/>
          <w:szCs w:val="28"/>
        </w:rPr>
        <w:t>弱勢族群：如受</w:t>
      </w:r>
      <w:proofErr w:type="gramStart"/>
      <w:r w:rsidRPr="005E758A">
        <w:rPr>
          <w:rFonts w:ascii="Times New Roman" w:eastAsia="標楷體" w:hAnsi="Times New Roman"/>
          <w:sz w:val="28"/>
          <w:szCs w:val="28"/>
        </w:rPr>
        <w:t>虐</w:t>
      </w:r>
      <w:proofErr w:type="gramEnd"/>
      <w:r w:rsidRPr="005E758A">
        <w:rPr>
          <w:rFonts w:ascii="Times New Roman" w:eastAsia="標楷體" w:hAnsi="Times New Roman"/>
          <w:sz w:val="28"/>
          <w:szCs w:val="28"/>
        </w:rPr>
        <w:t>兒、</w:t>
      </w:r>
      <w:r w:rsidR="002C321D" w:rsidRPr="005E758A">
        <w:rPr>
          <w:rFonts w:ascii="Times New Roman" w:eastAsia="標楷體" w:hAnsi="Times New Roman"/>
          <w:sz w:val="28"/>
          <w:szCs w:val="28"/>
        </w:rPr>
        <w:t>身心障礙</w:t>
      </w:r>
      <w:r w:rsidRPr="005E758A">
        <w:rPr>
          <w:rFonts w:ascii="Times New Roman" w:eastAsia="標楷體" w:hAnsi="Times New Roman"/>
          <w:sz w:val="28"/>
          <w:szCs w:val="28"/>
        </w:rPr>
        <w:t>、少數民族之兒童，因各個兒童情況並不相同，應視其情況為不同評估。</w:t>
      </w:r>
    </w:p>
    <w:p w14:paraId="5ADCBA15" w14:textId="77777777" w:rsidR="007C1E25" w:rsidRPr="005E758A" w:rsidRDefault="007C1E25" w:rsidP="007119F4">
      <w:pPr>
        <w:pStyle w:val="a0"/>
        <w:numPr>
          <w:ilvl w:val="0"/>
          <w:numId w:val="33"/>
        </w:numPr>
        <w:snapToGrid w:val="0"/>
        <w:spacing w:before="100" w:beforeAutospacing="1" w:after="100" w:afterAutospacing="1"/>
        <w:ind w:leftChars="0"/>
        <w:jc w:val="both"/>
        <w:rPr>
          <w:rFonts w:ascii="Times New Roman" w:eastAsia="標楷體" w:hAnsi="Times New Roman"/>
          <w:sz w:val="28"/>
          <w:szCs w:val="28"/>
        </w:rPr>
      </w:pPr>
      <w:r w:rsidRPr="005E758A">
        <w:rPr>
          <w:rFonts w:ascii="Times New Roman" w:eastAsia="標楷體" w:hAnsi="Times New Roman"/>
          <w:sz w:val="28"/>
          <w:szCs w:val="28"/>
        </w:rPr>
        <w:t>兒童的健康權：兒童的健康狀況應納入考量因素，應依兒童心智成熟的程度，告知其病情，並賦予其表達意見之權利。</w:t>
      </w:r>
    </w:p>
    <w:p w14:paraId="60DB8F4B" w14:textId="77777777" w:rsidR="007C1E25" w:rsidRPr="005E758A" w:rsidRDefault="00277EA6" w:rsidP="007119F4">
      <w:pPr>
        <w:pStyle w:val="a0"/>
        <w:numPr>
          <w:ilvl w:val="0"/>
          <w:numId w:val="33"/>
        </w:numPr>
        <w:snapToGrid w:val="0"/>
        <w:spacing w:before="100" w:beforeAutospacing="1" w:after="100" w:afterAutospacing="1"/>
        <w:ind w:leftChars="0"/>
        <w:jc w:val="both"/>
        <w:rPr>
          <w:rFonts w:ascii="Times New Roman" w:eastAsia="標楷體" w:hAnsi="Times New Roman"/>
          <w:sz w:val="28"/>
          <w:szCs w:val="28"/>
        </w:rPr>
      </w:pPr>
      <w:r w:rsidRPr="005E758A">
        <w:rPr>
          <w:rFonts w:ascii="Times New Roman" w:eastAsia="標楷體" w:hAnsi="Times New Roman"/>
          <w:sz w:val="28"/>
          <w:szCs w:val="28"/>
        </w:rPr>
        <w:t>兒童的受教</w:t>
      </w:r>
      <w:r w:rsidR="007C1E25" w:rsidRPr="005E758A">
        <w:rPr>
          <w:rFonts w:ascii="Times New Roman" w:eastAsia="標楷體" w:hAnsi="Times New Roman"/>
          <w:sz w:val="28"/>
          <w:szCs w:val="28"/>
        </w:rPr>
        <w:t>權：兒童獲得免費的義務教育，各國應視其不同的情況培養專職的教育人員，以創造有利於兒童教育之環境及方式。</w:t>
      </w:r>
    </w:p>
    <w:p w14:paraId="62151E04" w14:textId="77777777" w:rsidR="007C1E25" w:rsidRPr="005E758A" w:rsidRDefault="007C1E25" w:rsidP="007C1E25">
      <w:pPr>
        <w:pStyle w:val="4"/>
        <w:ind w:left="839"/>
      </w:pPr>
      <w:r w:rsidRPr="005E758A">
        <w:t>公部門或私部門之「作為」定義</w:t>
      </w:r>
    </w:p>
    <w:p w14:paraId="5F2D5D43" w14:textId="77777777" w:rsidR="007C1E25" w:rsidRPr="005E758A" w:rsidRDefault="002C321D" w:rsidP="007C1E25">
      <w:pPr>
        <w:snapToGrid w:val="0"/>
        <w:spacing w:before="100" w:beforeAutospacing="1" w:after="100" w:afterAutospacing="1"/>
        <w:ind w:firstLineChars="200" w:firstLine="560"/>
        <w:jc w:val="both"/>
        <w:rPr>
          <w:sz w:val="28"/>
        </w:rPr>
      </w:pPr>
      <w:r w:rsidRPr="005E758A">
        <w:rPr>
          <w:sz w:val="28"/>
        </w:rPr>
        <w:t>本條所稱之「作為」</w:t>
      </w:r>
      <w:proofErr w:type="gramStart"/>
      <w:r w:rsidRPr="005E758A">
        <w:rPr>
          <w:sz w:val="28"/>
        </w:rPr>
        <w:t>不</w:t>
      </w:r>
      <w:proofErr w:type="gramEnd"/>
      <w:r w:rsidRPr="005E758A">
        <w:rPr>
          <w:sz w:val="28"/>
        </w:rPr>
        <w:t>侷</w:t>
      </w:r>
      <w:r w:rsidR="007C1E25" w:rsidRPr="005E758A">
        <w:rPr>
          <w:sz w:val="28"/>
        </w:rPr>
        <w:t>限於各項決定，同時包括所有受規範單位之行為、計畫、服務、程序及其他措施等等</w:t>
      </w:r>
      <w:r w:rsidR="007C1E25" w:rsidRPr="005E758A">
        <w:rPr>
          <w:sz w:val="28"/>
          <w:vertAlign w:val="superscript"/>
        </w:rPr>
        <w:endnoteReference w:id="30"/>
      </w:r>
      <w:r w:rsidR="007C1E25" w:rsidRPr="005E758A">
        <w:rPr>
          <w:sz w:val="28"/>
        </w:rPr>
        <w:t>。</w:t>
      </w:r>
      <w:proofErr w:type="gramStart"/>
      <w:r w:rsidR="007C1E25" w:rsidRPr="005E758A">
        <w:rPr>
          <w:sz w:val="28"/>
        </w:rPr>
        <w:t>此外，</w:t>
      </w:r>
      <w:proofErr w:type="gramEnd"/>
      <w:r w:rsidR="007C1E25" w:rsidRPr="005E758A">
        <w:rPr>
          <w:sz w:val="28"/>
        </w:rPr>
        <w:t>「不作為」之行為亦受到規範，如社福單位對受</w:t>
      </w:r>
      <w:proofErr w:type="gramStart"/>
      <w:r w:rsidR="007C1E25" w:rsidRPr="005E758A">
        <w:rPr>
          <w:sz w:val="28"/>
        </w:rPr>
        <w:t>虐</w:t>
      </w:r>
      <w:proofErr w:type="gramEnd"/>
      <w:r w:rsidR="007C1E25" w:rsidRPr="005E758A">
        <w:rPr>
          <w:sz w:val="28"/>
        </w:rPr>
        <w:t>兒童未採取保護措施，即有受本條之規範。</w:t>
      </w:r>
    </w:p>
    <w:p w14:paraId="6A5FBD10" w14:textId="77777777" w:rsidR="007C1E25" w:rsidRPr="005E758A" w:rsidRDefault="007C1E25" w:rsidP="007C1E25">
      <w:pPr>
        <w:pStyle w:val="4"/>
        <w:ind w:left="839"/>
      </w:pPr>
      <w:r w:rsidRPr="005E758A">
        <w:lastRenderedPageBreak/>
        <w:t>優先考量之定義</w:t>
      </w:r>
    </w:p>
    <w:p w14:paraId="75E4F3F6" w14:textId="77777777" w:rsidR="007C1E25" w:rsidRPr="005E758A" w:rsidRDefault="007C1E25" w:rsidP="007C1E25">
      <w:pPr>
        <w:snapToGrid w:val="0"/>
        <w:spacing w:before="100" w:beforeAutospacing="1" w:after="100" w:afterAutospacing="1"/>
        <w:ind w:firstLineChars="200" w:firstLine="560"/>
        <w:jc w:val="both"/>
        <w:rPr>
          <w:sz w:val="28"/>
        </w:rPr>
      </w:pPr>
      <w:r w:rsidRPr="005E758A">
        <w:rPr>
          <w:sz w:val="28"/>
        </w:rPr>
        <w:t>優先考量之方式，使兒童之利益不僅僅是必要考量因素，更是最先獲得考量之因素，此一模式加強了對兒童之特別保護，如未成年人之出養，兒童最佳利益在相關規範中不僅被視為應優先考量，更立於決定性之地位，受最大考量</w:t>
      </w:r>
      <w:r w:rsidRPr="005E758A">
        <w:rPr>
          <w:sz w:val="28"/>
          <w:vertAlign w:val="superscript"/>
        </w:rPr>
        <w:endnoteReference w:id="31"/>
      </w:r>
      <w:r w:rsidRPr="005E758A">
        <w:rPr>
          <w:sz w:val="28"/>
        </w:rPr>
        <w:t>。目前，兒童最佳利益的原則已經融入大多數歐盟會員國之國內立法，也體現在歐盟的基本權利憲章內</w:t>
      </w:r>
      <w:r w:rsidRPr="005E758A">
        <w:rPr>
          <w:sz w:val="28"/>
          <w:vertAlign w:val="superscript"/>
        </w:rPr>
        <w:endnoteReference w:id="32"/>
      </w:r>
      <w:r w:rsidRPr="005E758A">
        <w:rPr>
          <w:sz w:val="28"/>
        </w:rPr>
        <w:t>。</w:t>
      </w:r>
    </w:p>
    <w:p w14:paraId="6B702CCF" w14:textId="77777777" w:rsidR="007C1E25" w:rsidRPr="005E758A" w:rsidRDefault="007C1E25" w:rsidP="007C1E25">
      <w:pPr>
        <w:pStyle w:val="3"/>
      </w:pPr>
      <w:r w:rsidRPr="005E758A">
        <w:t>第</w:t>
      </w:r>
      <w:r w:rsidRPr="005E758A">
        <w:t>3</w:t>
      </w:r>
      <w:r w:rsidRPr="005E758A">
        <w:t>條第</w:t>
      </w:r>
      <w:r w:rsidRPr="005E758A">
        <w:t>2</w:t>
      </w:r>
      <w:r w:rsidRPr="005E758A">
        <w:t>項</w:t>
      </w:r>
    </w:p>
    <w:p w14:paraId="4973F88F" w14:textId="77777777" w:rsidR="007C1E25" w:rsidRPr="005E758A" w:rsidRDefault="007C1E25" w:rsidP="007C1E25">
      <w:pPr>
        <w:snapToGrid w:val="0"/>
        <w:spacing w:before="100" w:beforeAutospacing="1" w:after="100" w:afterAutospacing="1"/>
        <w:ind w:firstLineChars="200" w:firstLine="560"/>
        <w:jc w:val="both"/>
        <w:rPr>
          <w:sz w:val="28"/>
          <w:szCs w:val="28"/>
        </w:rPr>
      </w:pPr>
      <w:r w:rsidRPr="005E758A">
        <w:rPr>
          <w:sz w:val="28"/>
          <w:szCs w:val="28"/>
        </w:rPr>
        <w:t>本條主要在要求國家於父母或其他法定義務人未善盡照顧及保護未成年人之責任時，應有積極的作為義務，使兒童獲得應有的協助。每年皆有成千上萬的兒童隨父母自非洲及東歐等地區偷渡到西歐，通常抵達歐洲後，所受到之待遇就和成人相同，處境艱難，因此本條主要能促進規範締約國，積極面對及處理此類問題，以維護兒童權利</w:t>
      </w:r>
      <w:r w:rsidRPr="005E758A">
        <w:rPr>
          <w:rStyle w:val="af3"/>
          <w:szCs w:val="28"/>
        </w:rPr>
        <w:endnoteReference w:id="33"/>
      </w:r>
      <w:r w:rsidRPr="005E758A">
        <w:rPr>
          <w:sz w:val="28"/>
          <w:szCs w:val="28"/>
        </w:rPr>
        <w:t>。</w:t>
      </w:r>
    </w:p>
    <w:p w14:paraId="01136D6E" w14:textId="77777777" w:rsidR="007C1E25" w:rsidRPr="005E758A" w:rsidRDefault="007C1E25" w:rsidP="007C1E25">
      <w:pPr>
        <w:snapToGrid w:val="0"/>
        <w:spacing w:before="100" w:beforeAutospacing="1" w:after="100" w:afterAutospacing="1"/>
        <w:ind w:firstLineChars="200" w:firstLine="560"/>
        <w:jc w:val="both"/>
        <w:rPr>
          <w:sz w:val="28"/>
          <w:szCs w:val="28"/>
        </w:rPr>
      </w:pPr>
      <w:r w:rsidRPr="005E758A">
        <w:rPr>
          <w:sz w:val="28"/>
          <w:szCs w:val="28"/>
        </w:rPr>
        <w:t>本條規範國家應有之具體作為包括：提供父母與監護人適當之協助（第</w:t>
      </w:r>
      <w:r w:rsidRPr="005E758A">
        <w:rPr>
          <w:sz w:val="28"/>
          <w:szCs w:val="28"/>
        </w:rPr>
        <w:t>18</w:t>
      </w:r>
      <w:r w:rsidRPr="005E758A">
        <w:rPr>
          <w:sz w:val="28"/>
          <w:szCs w:val="28"/>
        </w:rPr>
        <w:t>條第</w:t>
      </w:r>
      <w:r w:rsidRPr="005E758A">
        <w:rPr>
          <w:sz w:val="28"/>
          <w:szCs w:val="28"/>
        </w:rPr>
        <w:t>2</w:t>
      </w:r>
      <w:r w:rsidRPr="005E758A">
        <w:rPr>
          <w:sz w:val="28"/>
          <w:szCs w:val="28"/>
        </w:rPr>
        <w:t>項）；針對暫時或永久喪失家庭環境的兒童給予特別協助（第</w:t>
      </w:r>
      <w:r w:rsidRPr="005E758A">
        <w:rPr>
          <w:sz w:val="28"/>
          <w:szCs w:val="28"/>
        </w:rPr>
        <w:t>20</w:t>
      </w:r>
      <w:r w:rsidRPr="005E758A">
        <w:rPr>
          <w:sz w:val="28"/>
          <w:szCs w:val="28"/>
        </w:rPr>
        <w:t>條第</w:t>
      </w:r>
      <w:r w:rsidRPr="005E758A">
        <w:rPr>
          <w:sz w:val="28"/>
          <w:szCs w:val="28"/>
        </w:rPr>
        <w:t>1</w:t>
      </w:r>
      <w:r w:rsidRPr="005E758A">
        <w:rPr>
          <w:sz w:val="28"/>
          <w:szCs w:val="28"/>
        </w:rPr>
        <w:t>項）；照顧身心障礙之兒童（第</w:t>
      </w:r>
      <w:r w:rsidRPr="005E758A">
        <w:rPr>
          <w:sz w:val="28"/>
          <w:szCs w:val="28"/>
        </w:rPr>
        <w:t>23</w:t>
      </w:r>
      <w:r w:rsidRPr="005E758A">
        <w:rPr>
          <w:sz w:val="28"/>
          <w:szCs w:val="28"/>
        </w:rPr>
        <w:t>條）；兒童應享有社會安全福利與適足生活水準（第</w:t>
      </w:r>
      <w:r w:rsidRPr="005E758A">
        <w:rPr>
          <w:sz w:val="28"/>
          <w:szCs w:val="28"/>
        </w:rPr>
        <w:t>26</w:t>
      </w:r>
      <w:r w:rsidRPr="005E758A">
        <w:rPr>
          <w:sz w:val="28"/>
          <w:szCs w:val="28"/>
        </w:rPr>
        <w:t>、</w:t>
      </w:r>
      <w:r w:rsidRPr="005E758A">
        <w:rPr>
          <w:sz w:val="28"/>
          <w:szCs w:val="28"/>
        </w:rPr>
        <w:t>27</w:t>
      </w:r>
      <w:r w:rsidRPr="005E758A">
        <w:rPr>
          <w:sz w:val="28"/>
          <w:szCs w:val="28"/>
        </w:rPr>
        <w:t>條）；國家應確保兒童不受剝削及虐待（第</w:t>
      </w:r>
      <w:r w:rsidRPr="005E758A">
        <w:rPr>
          <w:sz w:val="28"/>
          <w:szCs w:val="28"/>
        </w:rPr>
        <w:t>19</w:t>
      </w:r>
      <w:r w:rsidRPr="005E758A">
        <w:rPr>
          <w:sz w:val="28"/>
          <w:szCs w:val="28"/>
        </w:rPr>
        <w:t>、</w:t>
      </w:r>
      <w:r w:rsidRPr="005E758A">
        <w:rPr>
          <w:sz w:val="28"/>
          <w:szCs w:val="28"/>
        </w:rPr>
        <w:t>32</w:t>
      </w:r>
      <w:r w:rsidRPr="005E758A">
        <w:rPr>
          <w:sz w:val="28"/>
          <w:szCs w:val="28"/>
        </w:rPr>
        <w:t>至</w:t>
      </w:r>
      <w:r w:rsidRPr="005E758A">
        <w:rPr>
          <w:sz w:val="28"/>
          <w:szCs w:val="28"/>
        </w:rPr>
        <w:t>37</w:t>
      </w:r>
      <w:r w:rsidRPr="005E758A">
        <w:rPr>
          <w:sz w:val="28"/>
          <w:szCs w:val="28"/>
        </w:rPr>
        <w:t>條）等等</w:t>
      </w:r>
      <w:r w:rsidRPr="005E758A">
        <w:rPr>
          <w:rStyle w:val="af3"/>
          <w:szCs w:val="28"/>
        </w:rPr>
        <w:endnoteReference w:id="34"/>
      </w:r>
      <w:r w:rsidRPr="005E758A">
        <w:rPr>
          <w:sz w:val="28"/>
          <w:szCs w:val="28"/>
        </w:rPr>
        <w:t>。</w:t>
      </w:r>
    </w:p>
    <w:p w14:paraId="6159C284" w14:textId="77777777" w:rsidR="007C1E25" w:rsidRPr="005E758A" w:rsidRDefault="007C1E25" w:rsidP="007C1E25">
      <w:pPr>
        <w:pStyle w:val="3"/>
      </w:pPr>
      <w:r w:rsidRPr="005E758A">
        <w:t>第</w:t>
      </w:r>
      <w:r w:rsidRPr="005E758A">
        <w:t>3</w:t>
      </w:r>
      <w:r w:rsidRPr="005E758A">
        <w:t>條第</w:t>
      </w:r>
      <w:r w:rsidRPr="005E758A">
        <w:t>3</w:t>
      </w:r>
      <w:r w:rsidRPr="005E758A">
        <w:t>項</w:t>
      </w:r>
    </w:p>
    <w:p w14:paraId="4B882C94" w14:textId="77777777" w:rsidR="007C1E25" w:rsidRPr="005E758A" w:rsidRDefault="007C1E25" w:rsidP="007C1E25">
      <w:pPr>
        <w:snapToGrid w:val="0"/>
        <w:spacing w:before="100" w:beforeAutospacing="1" w:after="100" w:afterAutospacing="1"/>
        <w:ind w:firstLineChars="200" w:firstLine="560"/>
        <w:jc w:val="both"/>
        <w:rPr>
          <w:sz w:val="28"/>
          <w:szCs w:val="28"/>
        </w:rPr>
      </w:pPr>
      <w:r w:rsidRPr="005E758A">
        <w:rPr>
          <w:sz w:val="28"/>
          <w:szCs w:val="28"/>
        </w:rPr>
        <w:t>本條要求國家應確保負責照顧與保護兒童之機關、服務部門與設施符合主管機關所訂之標準。為落實本條規範，國家必須就所有適用於該等機關、服務部門與設施之法律規範進行完整的檢視，且其標準應建立於兒童最佳利益之原則下</w:t>
      </w:r>
      <w:r w:rsidRPr="005E758A">
        <w:rPr>
          <w:rStyle w:val="af3"/>
          <w:szCs w:val="28"/>
        </w:rPr>
        <w:endnoteReference w:id="35"/>
      </w:r>
      <w:r w:rsidRPr="005E758A">
        <w:rPr>
          <w:sz w:val="28"/>
          <w:szCs w:val="28"/>
        </w:rPr>
        <w:t>。</w:t>
      </w:r>
    </w:p>
    <w:p w14:paraId="4222FAEA" w14:textId="77777777" w:rsidR="007C1E25" w:rsidRPr="005E758A" w:rsidRDefault="007C1E25" w:rsidP="007C1E25">
      <w:pPr>
        <w:snapToGrid w:val="0"/>
        <w:spacing w:before="100" w:beforeAutospacing="1" w:after="100" w:afterAutospacing="1"/>
        <w:ind w:firstLineChars="200" w:firstLine="560"/>
        <w:jc w:val="both"/>
        <w:rPr>
          <w:sz w:val="28"/>
          <w:szCs w:val="28"/>
        </w:rPr>
      </w:pPr>
      <w:r w:rsidRPr="005E758A">
        <w:rPr>
          <w:sz w:val="28"/>
          <w:szCs w:val="28"/>
        </w:rPr>
        <w:t>除政府單位</w:t>
      </w:r>
      <w:proofErr w:type="gramStart"/>
      <w:r w:rsidRPr="005E758A">
        <w:rPr>
          <w:sz w:val="28"/>
          <w:szCs w:val="28"/>
        </w:rPr>
        <w:t>以外，</w:t>
      </w:r>
      <w:proofErr w:type="gramEnd"/>
      <w:r w:rsidRPr="005E758A">
        <w:rPr>
          <w:sz w:val="28"/>
          <w:szCs w:val="28"/>
        </w:rPr>
        <w:t>本條更指出兒童最佳利益之範圍，亦包含所有負責照顧及保護兒童之民間機構及服務單位。為此，兒童權利委員會強烈呼籲相關單位尊重公約之精神及規範，並要求國家對於非政府單位所提供之兒童服務進行規範及監督，以確保兒童權利不因服務非由政府提供而無法獲得保障</w:t>
      </w:r>
      <w:r w:rsidRPr="005E758A">
        <w:rPr>
          <w:rStyle w:val="af3"/>
          <w:szCs w:val="28"/>
        </w:rPr>
        <w:endnoteReference w:id="36"/>
      </w:r>
      <w:r w:rsidRPr="005E758A">
        <w:rPr>
          <w:sz w:val="28"/>
          <w:szCs w:val="28"/>
        </w:rPr>
        <w:t>。</w:t>
      </w:r>
    </w:p>
    <w:p w14:paraId="5300B1FB" w14:textId="77777777" w:rsidR="007C1E25" w:rsidRPr="005E758A" w:rsidRDefault="007C1E25" w:rsidP="007C1E25">
      <w:pPr>
        <w:pStyle w:val="2"/>
      </w:pPr>
      <w:r w:rsidRPr="005E758A">
        <w:t>案例介紹</w:t>
      </w:r>
    </w:p>
    <w:p w14:paraId="5CB8D541" w14:textId="77777777" w:rsidR="007C1E25" w:rsidRPr="005E758A" w:rsidRDefault="007C1E25" w:rsidP="00D2135A">
      <w:pPr>
        <w:pStyle w:val="3"/>
        <w:numPr>
          <w:ilvl w:val="0"/>
          <w:numId w:val="100"/>
        </w:numPr>
      </w:pPr>
      <w:r w:rsidRPr="005E758A">
        <w:t>2011</w:t>
      </w:r>
      <w:r w:rsidRPr="005E758A">
        <w:t>年歐洲人權法院兒童財產權案：</w:t>
      </w:r>
      <w:r w:rsidRPr="005E758A">
        <w:t>S. L. and J. L. v. Croatia</w:t>
      </w:r>
      <w:r w:rsidRPr="005E758A">
        <w:rPr>
          <w:rStyle w:val="af3"/>
        </w:rPr>
        <w:endnoteReference w:id="37"/>
      </w:r>
    </w:p>
    <w:p w14:paraId="39DA0E1B" w14:textId="77777777" w:rsidR="007C1E25" w:rsidRPr="005E758A" w:rsidRDefault="007C1E25" w:rsidP="007C1E25">
      <w:pPr>
        <w:snapToGrid w:val="0"/>
        <w:spacing w:before="100" w:beforeAutospacing="1" w:after="100" w:afterAutospacing="1"/>
        <w:ind w:firstLineChars="200" w:firstLine="560"/>
        <w:jc w:val="both"/>
        <w:rPr>
          <w:sz w:val="28"/>
          <w:szCs w:val="28"/>
        </w:rPr>
      </w:pPr>
      <w:r w:rsidRPr="005E758A">
        <w:rPr>
          <w:sz w:val="28"/>
          <w:szCs w:val="28"/>
        </w:rPr>
        <w:t>原告向歐洲人權法院申訴父母在他們孩童時代表他們出售他們</w:t>
      </w:r>
      <w:r w:rsidRPr="005E758A">
        <w:rPr>
          <w:sz w:val="28"/>
          <w:szCs w:val="28"/>
        </w:rPr>
        <w:lastRenderedPageBreak/>
        <w:t>的財產，他們的雙親及父親的刑事辯護律師</w:t>
      </w:r>
      <w:r w:rsidRPr="005E758A">
        <w:rPr>
          <w:sz w:val="28"/>
          <w:szCs w:val="28"/>
        </w:rPr>
        <w:t>(M.I.)</w:t>
      </w:r>
      <w:r w:rsidRPr="005E758A">
        <w:rPr>
          <w:sz w:val="28"/>
          <w:szCs w:val="28"/>
        </w:rPr>
        <w:t>以子女所有的房產與該名律師的岳母交換價值不相當的公寓和極少量的金錢。申請人主張父母趁他們孩童時期所為對他們不利的房地產交易侵害了歐洲人權公約</w:t>
      </w:r>
      <w:r w:rsidRPr="005E758A">
        <w:rPr>
          <w:sz w:val="28"/>
          <w:szCs w:val="28"/>
        </w:rPr>
        <w:t>1</w:t>
      </w:r>
      <w:r w:rsidRPr="005E758A">
        <w:rPr>
          <w:sz w:val="28"/>
          <w:szCs w:val="28"/>
        </w:rPr>
        <w:t>號議定書第</w:t>
      </w:r>
      <w:r w:rsidRPr="005E758A">
        <w:rPr>
          <w:sz w:val="28"/>
          <w:szCs w:val="28"/>
        </w:rPr>
        <w:t>1</w:t>
      </w:r>
      <w:r w:rsidRPr="005E758A">
        <w:rPr>
          <w:sz w:val="28"/>
          <w:szCs w:val="28"/>
        </w:rPr>
        <w:t>條賦予他們和平保有其財產的權利。</w:t>
      </w:r>
    </w:p>
    <w:p w14:paraId="7D5C066F" w14:textId="77777777" w:rsidR="007C1E25" w:rsidRPr="005E758A" w:rsidRDefault="007C1E25" w:rsidP="007C1E25">
      <w:pPr>
        <w:snapToGrid w:val="0"/>
        <w:spacing w:before="100" w:beforeAutospacing="1" w:after="100" w:afterAutospacing="1"/>
        <w:ind w:firstLineChars="200" w:firstLine="560"/>
        <w:jc w:val="both"/>
        <w:rPr>
          <w:sz w:val="28"/>
          <w:szCs w:val="28"/>
        </w:rPr>
      </w:pPr>
      <w:r w:rsidRPr="005E758A">
        <w:rPr>
          <w:sz w:val="28"/>
          <w:szCs w:val="28"/>
        </w:rPr>
        <w:t>本案事實涉及兒童最佳利益及兒童財產權的保護。克羅埃西亞法院判決原告敗訴，因為他們當時並未向當地社會福利中心就該筆房地產交易的行政決定提出異議。然而，歐洲人權法院認為當事人當時無法提出異議是因為他們缺乏民事法上的行為能力，並且也沒有特別監護人。其次，當地社會福利中心並未就該房地產價值另外進行調查，對於該交易除了該未成年人的母親亦未詢問過第三人意見，不符合兒童最佳利益。</w:t>
      </w:r>
    </w:p>
    <w:p w14:paraId="4E6FCE5A" w14:textId="77777777" w:rsidR="007C1E25" w:rsidRPr="005E758A" w:rsidRDefault="007C1E25" w:rsidP="007C1E25">
      <w:pPr>
        <w:snapToGrid w:val="0"/>
        <w:spacing w:before="100" w:beforeAutospacing="1" w:after="100" w:afterAutospacing="1"/>
        <w:ind w:firstLineChars="200" w:firstLine="560"/>
        <w:jc w:val="both"/>
        <w:rPr>
          <w:sz w:val="28"/>
          <w:szCs w:val="28"/>
        </w:rPr>
      </w:pPr>
      <w:r w:rsidRPr="005E758A">
        <w:rPr>
          <w:sz w:val="28"/>
          <w:szCs w:val="28"/>
        </w:rPr>
        <w:t>另外，歐洲人權法院認為，在社會福利中心進行的程序被律師所控制，他的岳母是房地產的買主，且他是其中一名子女的父親的刑事辯護律師，而這又有利益衝突的問題。</w:t>
      </w:r>
      <w:proofErr w:type="gramStart"/>
      <w:r w:rsidRPr="005E758A">
        <w:rPr>
          <w:sz w:val="28"/>
          <w:szCs w:val="28"/>
        </w:rPr>
        <w:t>此外，</w:t>
      </w:r>
      <w:proofErr w:type="gramEnd"/>
      <w:r w:rsidRPr="005E758A">
        <w:rPr>
          <w:sz w:val="28"/>
          <w:szCs w:val="28"/>
        </w:rPr>
        <w:t>身為人父在那時又因為企圖謀殺與非法持有槍械正在入獄服刑，子女的母親也有吸毒問題，而這更加讓子女們無法在法定期間對當局的決定提起異議。因此，社會福利中心所為對當事人不利的行政決定與克羅埃西亞法院並未給其任何有效的補救措施為違法。</w:t>
      </w:r>
    </w:p>
    <w:p w14:paraId="324C409E" w14:textId="77777777" w:rsidR="007C1E25" w:rsidRPr="005E758A" w:rsidRDefault="007C1E25" w:rsidP="007C1E25">
      <w:pPr>
        <w:snapToGrid w:val="0"/>
        <w:spacing w:before="100" w:beforeAutospacing="1" w:after="100" w:afterAutospacing="1"/>
        <w:ind w:firstLineChars="200" w:firstLine="560"/>
        <w:jc w:val="both"/>
        <w:rPr>
          <w:sz w:val="28"/>
          <w:szCs w:val="28"/>
        </w:rPr>
      </w:pPr>
      <w:r w:rsidRPr="005E758A">
        <w:rPr>
          <w:sz w:val="28"/>
          <w:szCs w:val="28"/>
        </w:rPr>
        <w:t>歐洲人權法院判決克羅埃西亞當局未能評估房地產交易是否符合兒童的最佳利益原則，亦未能採取必要的措施維護兒童的財產上利益</w:t>
      </w:r>
      <w:r w:rsidRPr="005E758A">
        <w:rPr>
          <w:sz w:val="28"/>
          <w:szCs w:val="28"/>
        </w:rPr>
        <w:t>(proprietary interest)</w:t>
      </w:r>
      <w:r w:rsidRPr="005E758A">
        <w:rPr>
          <w:sz w:val="28"/>
          <w:szCs w:val="28"/>
        </w:rPr>
        <w:t>，並給予他們一個適當的機會去挑戰任何妨害歐洲人權法院</w:t>
      </w:r>
      <w:r w:rsidRPr="005E758A">
        <w:rPr>
          <w:sz w:val="28"/>
          <w:szCs w:val="28"/>
        </w:rPr>
        <w:t>1</w:t>
      </w:r>
      <w:r w:rsidRPr="005E758A">
        <w:rPr>
          <w:sz w:val="28"/>
          <w:szCs w:val="28"/>
        </w:rPr>
        <w:t>號議定書第</w:t>
      </w:r>
      <w:r w:rsidRPr="005E758A">
        <w:rPr>
          <w:sz w:val="28"/>
          <w:szCs w:val="28"/>
        </w:rPr>
        <w:t>1</w:t>
      </w:r>
      <w:r w:rsidRPr="005E758A">
        <w:rPr>
          <w:sz w:val="28"/>
          <w:szCs w:val="28"/>
        </w:rPr>
        <w:t>條所保障權利的措施，改判原告勝訴。</w:t>
      </w:r>
    </w:p>
    <w:p w14:paraId="3257B2C8" w14:textId="77777777" w:rsidR="007C1E25" w:rsidRPr="005E758A" w:rsidRDefault="007C1E25" w:rsidP="007C1E25">
      <w:pPr>
        <w:pStyle w:val="3"/>
      </w:pPr>
      <w:r w:rsidRPr="005E758A">
        <w:t>2014</w:t>
      </w:r>
      <w:r w:rsidR="008E09DB" w:rsidRPr="005E758A">
        <w:t>年俄羅斯憲法法院收</w:t>
      </w:r>
      <w:r w:rsidRPr="005E758A">
        <w:t>養案：</w:t>
      </w:r>
      <w:r w:rsidRPr="005E758A">
        <w:t xml:space="preserve">Constitutionality of Article 127(1)(10) of the Family Code of Russian Federation on Account of the Complaint Lodged by the Citizen S. A. </w:t>
      </w:r>
      <w:proofErr w:type="spellStart"/>
      <w:r w:rsidRPr="005E758A">
        <w:t>Anikiev</w:t>
      </w:r>
      <w:proofErr w:type="spellEnd"/>
      <w:r w:rsidRPr="005E758A">
        <w:rPr>
          <w:rStyle w:val="af3"/>
        </w:rPr>
        <w:endnoteReference w:id="38"/>
      </w:r>
    </w:p>
    <w:p w14:paraId="69728423" w14:textId="77777777" w:rsidR="007C1E25" w:rsidRPr="005E758A" w:rsidRDefault="007C1E25" w:rsidP="007C1E25">
      <w:pPr>
        <w:snapToGrid w:val="0"/>
        <w:spacing w:before="100" w:beforeAutospacing="1" w:after="100" w:afterAutospacing="1"/>
        <w:ind w:firstLineChars="200" w:firstLine="560"/>
        <w:jc w:val="both"/>
        <w:rPr>
          <w:sz w:val="28"/>
          <w:szCs w:val="28"/>
        </w:rPr>
      </w:pPr>
      <w:r w:rsidRPr="005E758A">
        <w:rPr>
          <w:sz w:val="28"/>
          <w:szCs w:val="28"/>
        </w:rPr>
        <w:t>依據俄羅斯聯邦家事法第</w:t>
      </w:r>
      <w:r w:rsidRPr="005E758A">
        <w:rPr>
          <w:sz w:val="28"/>
          <w:szCs w:val="28"/>
        </w:rPr>
        <w:t>127</w:t>
      </w:r>
      <w:r w:rsidRPr="005E758A">
        <w:rPr>
          <w:sz w:val="28"/>
          <w:szCs w:val="28"/>
        </w:rPr>
        <w:t>條第</w:t>
      </w:r>
      <w:r w:rsidRPr="005E758A">
        <w:rPr>
          <w:sz w:val="28"/>
          <w:szCs w:val="28"/>
        </w:rPr>
        <w:t>1</w:t>
      </w:r>
      <w:r w:rsidRPr="005E758A">
        <w:rPr>
          <w:sz w:val="28"/>
          <w:szCs w:val="28"/>
        </w:rPr>
        <w:t>項第</w:t>
      </w:r>
      <w:r w:rsidRPr="005E758A">
        <w:rPr>
          <w:sz w:val="28"/>
          <w:szCs w:val="28"/>
        </w:rPr>
        <w:t>10</w:t>
      </w:r>
      <w:r w:rsidR="008E09DB" w:rsidRPr="005E758A">
        <w:rPr>
          <w:sz w:val="28"/>
          <w:szCs w:val="28"/>
        </w:rPr>
        <w:t>款，有某些特定犯罪紀錄者不得收</w:t>
      </w:r>
      <w:r w:rsidRPr="005E758A">
        <w:rPr>
          <w:sz w:val="28"/>
          <w:szCs w:val="28"/>
        </w:rPr>
        <w:t>養子女，原告過去曾因傷害罪留下犯罪紀錄，而該案最後以和解收場，但其犯罪記錄仍然留存。原告主張這種無條件及無限期的禁止收養規定並未考慮潛在養父母的個性及個案的實際情況，侵害了他憲法上的權利。</w:t>
      </w:r>
    </w:p>
    <w:p w14:paraId="6944189D" w14:textId="77777777" w:rsidR="007C1E25" w:rsidRPr="005E758A" w:rsidRDefault="007C1E25" w:rsidP="007C1E25">
      <w:pPr>
        <w:snapToGrid w:val="0"/>
        <w:spacing w:before="100" w:beforeAutospacing="1" w:after="100" w:afterAutospacing="1"/>
        <w:ind w:firstLineChars="200" w:firstLine="560"/>
        <w:jc w:val="both"/>
        <w:rPr>
          <w:sz w:val="28"/>
          <w:szCs w:val="28"/>
        </w:rPr>
      </w:pPr>
      <w:r w:rsidRPr="005E758A">
        <w:rPr>
          <w:sz w:val="28"/>
          <w:szCs w:val="28"/>
        </w:rPr>
        <w:t>俄羅斯聯邦憲法法院認為</w:t>
      </w:r>
      <w:r w:rsidR="00090AC1" w:rsidRPr="005E758A">
        <w:rPr>
          <w:sz w:val="28"/>
          <w:szCs w:val="28"/>
        </w:rPr>
        <w:t>，</w:t>
      </w:r>
      <w:r w:rsidRPr="005E758A">
        <w:rPr>
          <w:sz w:val="28"/>
          <w:szCs w:val="28"/>
        </w:rPr>
        <w:t>俄羅斯的法律對於兒童權利及法律上利益的保障都是依照國際標準，特別是兒童權利公約。根據該公約，俄國必須採取一切適當的行政及立法措施，以確保兒童福祉，並承認</w:t>
      </w:r>
      <w:r w:rsidRPr="005E758A">
        <w:rPr>
          <w:sz w:val="28"/>
          <w:szCs w:val="28"/>
        </w:rPr>
        <w:lastRenderedPageBreak/>
        <w:t>每</w:t>
      </w:r>
      <w:proofErr w:type="gramStart"/>
      <w:r w:rsidRPr="005E758A">
        <w:rPr>
          <w:sz w:val="28"/>
          <w:szCs w:val="28"/>
        </w:rPr>
        <w:t>個</w:t>
      </w:r>
      <w:proofErr w:type="gramEnd"/>
      <w:r w:rsidRPr="005E758A">
        <w:rPr>
          <w:sz w:val="28"/>
          <w:szCs w:val="28"/>
        </w:rPr>
        <w:t>兒童都有權享有足以促進兒童身體、智力、心靈、道德及社會發展的生活。</w:t>
      </w:r>
      <w:proofErr w:type="gramStart"/>
      <w:r w:rsidRPr="005E758A">
        <w:rPr>
          <w:sz w:val="28"/>
          <w:szCs w:val="28"/>
        </w:rPr>
        <w:t>鑑</w:t>
      </w:r>
      <w:proofErr w:type="gramEnd"/>
      <w:r w:rsidRPr="005E758A">
        <w:rPr>
          <w:sz w:val="28"/>
          <w:szCs w:val="28"/>
        </w:rPr>
        <w:t>於兒童是家庭關係中最弱勢的一方，故為保護兒童的權利及利益，立法者得對收養程序設定某些限制。俄羅斯聯邦家事法第</w:t>
      </w:r>
      <w:r w:rsidRPr="005E758A">
        <w:rPr>
          <w:sz w:val="28"/>
          <w:szCs w:val="28"/>
        </w:rPr>
        <w:t>127</w:t>
      </w:r>
      <w:r w:rsidRPr="005E758A">
        <w:rPr>
          <w:sz w:val="28"/>
          <w:szCs w:val="28"/>
        </w:rPr>
        <w:t>條第</w:t>
      </w:r>
      <w:r w:rsidRPr="005E758A">
        <w:rPr>
          <w:sz w:val="28"/>
          <w:szCs w:val="28"/>
        </w:rPr>
        <w:t>1</w:t>
      </w:r>
      <w:r w:rsidRPr="005E758A">
        <w:rPr>
          <w:sz w:val="28"/>
          <w:szCs w:val="28"/>
        </w:rPr>
        <w:t>項第</w:t>
      </w:r>
      <w:r w:rsidRPr="005E758A">
        <w:rPr>
          <w:sz w:val="28"/>
          <w:szCs w:val="28"/>
        </w:rPr>
        <w:t>10</w:t>
      </w:r>
      <w:r w:rsidRPr="005E758A">
        <w:rPr>
          <w:sz w:val="28"/>
          <w:szCs w:val="28"/>
        </w:rPr>
        <w:t>款之立法意旨即在於保護兒童的安全。然而，若孩童被收養及在家庭中成長符合兒童的最佳利益時，這種限制便不合理。聯邦家事法第</w:t>
      </w:r>
      <w:r w:rsidRPr="005E758A">
        <w:rPr>
          <w:sz w:val="28"/>
          <w:szCs w:val="28"/>
        </w:rPr>
        <w:t>127</w:t>
      </w:r>
      <w:r w:rsidRPr="005E758A">
        <w:rPr>
          <w:sz w:val="28"/>
          <w:szCs w:val="28"/>
        </w:rPr>
        <w:t>條第</w:t>
      </w:r>
      <w:r w:rsidRPr="005E758A">
        <w:rPr>
          <w:sz w:val="28"/>
          <w:szCs w:val="28"/>
        </w:rPr>
        <w:t>1</w:t>
      </w:r>
      <w:r w:rsidRPr="005E758A">
        <w:rPr>
          <w:sz w:val="28"/>
          <w:szCs w:val="28"/>
        </w:rPr>
        <w:t>項第</w:t>
      </w:r>
      <w:r w:rsidRPr="005E758A">
        <w:rPr>
          <w:sz w:val="28"/>
          <w:szCs w:val="28"/>
        </w:rPr>
        <w:t>10</w:t>
      </w:r>
      <w:r w:rsidRPr="005E758A">
        <w:rPr>
          <w:sz w:val="28"/>
          <w:szCs w:val="28"/>
        </w:rPr>
        <w:t>款對於上開情形的限制違反了保護兒童最佳利益的宗旨，即使</w:t>
      </w:r>
      <w:proofErr w:type="gramStart"/>
      <w:r w:rsidRPr="005E758A">
        <w:rPr>
          <w:sz w:val="28"/>
          <w:szCs w:val="28"/>
        </w:rPr>
        <w:t>一</w:t>
      </w:r>
      <w:proofErr w:type="gramEnd"/>
      <w:r w:rsidRPr="005E758A">
        <w:rPr>
          <w:sz w:val="28"/>
          <w:szCs w:val="28"/>
        </w:rPr>
        <w:t>個人有犯罪紀錄（除非該人所犯是重罪或違反性自主的犯罪），法院也不能</w:t>
      </w:r>
      <w:proofErr w:type="gramStart"/>
      <w:r w:rsidRPr="005E758A">
        <w:rPr>
          <w:sz w:val="28"/>
          <w:szCs w:val="28"/>
        </w:rPr>
        <w:t>逕</w:t>
      </w:r>
      <w:proofErr w:type="gramEnd"/>
      <w:r w:rsidRPr="005E758A">
        <w:rPr>
          <w:sz w:val="28"/>
          <w:szCs w:val="28"/>
        </w:rPr>
        <w:t>予駁回，而必須就該犯罪的性質、申請人及</w:t>
      </w:r>
      <w:proofErr w:type="gramStart"/>
      <w:r w:rsidRPr="005E758A">
        <w:rPr>
          <w:sz w:val="28"/>
          <w:szCs w:val="28"/>
        </w:rPr>
        <w:t>兒童間的關係</w:t>
      </w:r>
      <w:proofErr w:type="gramEnd"/>
      <w:r w:rsidRPr="005E758A">
        <w:rPr>
          <w:sz w:val="28"/>
          <w:szCs w:val="28"/>
        </w:rPr>
        <w:t>，和申請人是否有能力確保孩童被收養後有適當的身體上、精神上、道德上的發展且不會受到身體或精神上的傷害等條件，審查是否有允許收養的可能性。</w:t>
      </w:r>
    </w:p>
    <w:p w14:paraId="7471406F" w14:textId="77777777" w:rsidR="007C1E25" w:rsidRPr="005E758A" w:rsidRDefault="007C1E25" w:rsidP="007C1E25">
      <w:pPr>
        <w:snapToGrid w:val="0"/>
        <w:spacing w:before="100" w:beforeAutospacing="1" w:after="100" w:afterAutospacing="1"/>
        <w:ind w:firstLineChars="200" w:firstLine="560"/>
        <w:jc w:val="both"/>
        <w:rPr>
          <w:sz w:val="28"/>
          <w:szCs w:val="28"/>
        </w:rPr>
      </w:pPr>
      <w:r w:rsidRPr="005E758A">
        <w:rPr>
          <w:sz w:val="28"/>
          <w:szCs w:val="28"/>
        </w:rPr>
        <w:t>俄羅斯聯邦憲法法院判決俄羅斯聯邦家事法雖得限制有犯罪紀錄者的收養，但無附加條件地限制其收養權則為違法，且除非該名潛在收養人所犯下的是最嚴重的刑事犯罪，否則法律必須給予其請求法院准許收養的機會。</w:t>
      </w:r>
    </w:p>
    <w:p w14:paraId="37C1D6C3" w14:textId="77777777" w:rsidR="007C1E25" w:rsidRPr="005E758A" w:rsidRDefault="007C1E25" w:rsidP="007C1E25">
      <w:pPr>
        <w:pStyle w:val="2"/>
      </w:pPr>
      <w:r w:rsidRPr="005E758A">
        <w:t>綜合分析</w:t>
      </w:r>
    </w:p>
    <w:p w14:paraId="2258DB2C" w14:textId="77777777" w:rsidR="007C1E25" w:rsidRPr="005E758A" w:rsidRDefault="007C1E25" w:rsidP="007C1E25">
      <w:pPr>
        <w:snapToGrid w:val="0"/>
        <w:spacing w:before="100" w:beforeAutospacing="1" w:after="100" w:afterAutospacing="1"/>
        <w:ind w:firstLineChars="200" w:firstLine="560"/>
        <w:jc w:val="both"/>
        <w:rPr>
          <w:sz w:val="28"/>
        </w:rPr>
      </w:pPr>
      <w:r w:rsidRPr="005E758A">
        <w:rPr>
          <w:sz w:val="28"/>
        </w:rPr>
        <w:t>兒童最佳利益原則為公約最大的創舉，備受世人肯定。</w:t>
      </w:r>
      <w:proofErr w:type="gramStart"/>
      <w:r w:rsidRPr="005E758A">
        <w:rPr>
          <w:sz w:val="28"/>
        </w:rPr>
        <w:t>惟</w:t>
      </w:r>
      <w:proofErr w:type="gramEnd"/>
      <w:r w:rsidRPr="005E758A">
        <w:rPr>
          <w:sz w:val="28"/>
        </w:rPr>
        <w:t>由於並未明確定義其內涵，且本條第</w:t>
      </w:r>
      <w:r w:rsidRPr="005E758A">
        <w:rPr>
          <w:sz w:val="28"/>
        </w:rPr>
        <w:t>1</w:t>
      </w:r>
      <w:r w:rsidRPr="005E758A">
        <w:rPr>
          <w:sz w:val="28"/>
        </w:rPr>
        <w:t>項之用語為「為優先考量」</w:t>
      </w:r>
      <w:r w:rsidRPr="005E758A">
        <w:rPr>
          <w:sz w:val="28"/>
        </w:rPr>
        <w:t>(a primary consideration)</w:t>
      </w:r>
      <w:r w:rsidRPr="005E758A">
        <w:rPr>
          <w:sz w:val="28"/>
        </w:rPr>
        <w:t>，而非原先草案所定之「至高考量」</w:t>
      </w:r>
      <w:r w:rsidRPr="005E758A">
        <w:rPr>
          <w:sz w:val="28"/>
        </w:rPr>
        <w:t>(the paramount consideration)</w:t>
      </w:r>
      <w:r w:rsidRPr="005E758A">
        <w:rPr>
          <w:sz w:val="28"/>
        </w:rPr>
        <w:t>，故解釋上，其非唯一之優先考量，若有其他重要考量，如公共政策</w:t>
      </w:r>
      <w:r w:rsidRPr="005E758A">
        <w:rPr>
          <w:sz w:val="28"/>
        </w:rPr>
        <w:t>(public policy)</w:t>
      </w:r>
      <w:r w:rsidRPr="005E758A">
        <w:rPr>
          <w:sz w:val="28"/>
        </w:rPr>
        <w:t>等，仍可能必須妥協</w:t>
      </w:r>
      <w:r w:rsidRPr="005E758A">
        <w:rPr>
          <w:rStyle w:val="af3"/>
        </w:rPr>
        <w:endnoteReference w:id="39"/>
      </w:r>
      <w:r w:rsidRPr="005E758A">
        <w:rPr>
          <w:sz w:val="28"/>
        </w:rPr>
        <w:t>。在各國實踐上，兒童最佳利益原則曾引發許多爭議，例如，所謂最佳利益係指現在或未來兒童的最佳利益；異族收養如何判斷兒童最佳利益等等。凡此，皆引發各方熱烈討論</w:t>
      </w:r>
      <w:r w:rsidRPr="005E758A">
        <w:rPr>
          <w:rStyle w:val="af3"/>
        </w:rPr>
        <w:endnoteReference w:id="40"/>
      </w:r>
      <w:r w:rsidRPr="005E758A">
        <w:rPr>
          <w:sz w:val="28"/>
        </w:rPr>
        <w:t>。要之，論者認為兒童最佳利益原則具有三個角色</w:t>
      </w:r>
      <w:r w:rsidRPr="005E758A">
        <w:rPr>
          <w:sz w:val="28"/>
        </w:rPr>
        <w:t>(roles)</w:t>
      </w:r>
      <w:r w:rsidRPr="005E758A">
        <w:rPr>
          <w:sz w:val="28"/>
        </w:rPr>
        <w:t>：</w:t>
      </w:r>
      <w:r w:rsidRPr="005E758A">
        <w:rPr>
          <w:sz w:val="28"/>
        </w:rPr>
        <w:t>1.</w:t>
      </w:r>
      <w:r w:rsidRPr="005E758A">
        <w:rPr>
          <w:sz w:val="28"/>
        </w:rPr>
        <w:t>支持，合理化及</w:t>
      </w:r>
      <w:proofErr w:type="gramStart"/>
      <w:r w:rsidRPr="005E758A">
        <w:rPr>
          <w:sz w:val="28"/>
        </w:rPr>
        <w:t>釐</w:t>
      </w:r>
      <w:proofErr w:type="gramEnd"/>
      <w:r w:rsidRPr="005E758A">
        <w:rPr>
          <w:sz w:val="28"/>
        </w:rPr>
        <w:t>清公約所生之事項；</w:t>
      </w:r>
      <w:r w:rsidRPr="005E758A">
        <w:rPr>
          <w:sz w:val="28"/>
        </w:rPr>
        <w:t>2.</w:t>
      </w:r>
      <w:r w:rsidRPr="005E758A">
        <w:rPr>
          <w:sz w:val="28"/>
        </w:rPr>
        <w:t>作為公約共同權利相衝突的調和原則</w:t>
      </w:r>
      <w:r w:rsidRPr="005E758A">
        <w:rPr>
          <w:sz w:val="28"/>
        </w:rPr>
        <w:t>(mediating principle)</w:t>
      </w:r>
      <w:r w:rsidRPr="005E758A">
        <w:rPr>
          <w:sz w:val="28"/>
        </w:rPr>
        <w:t>；及</w:t>
      </w:r>
      <w:r w:rsidRPr="005E758A">
        <w:rPr>
          <w:sz w:val="28"/>
        </w:rPr>
        <w:t>3.</w:t>
      </w:r>
      <w:r w:rsidRPr="005E758A">
        <w:rPr>
          <w:sz w:val="28"/>
        </w:rPr>
        <w:t>在公約沒有明文規定的狀況下，作為各國法律與實踐的基礎</w:t>
      </w:r>
      <w:r w:rsidRPr="005E758A">
        <w:rPr>
          <w:rStyle w:val="af3"/>
        </w:rPr>
        <w:endnoteReference w:id="41"/>
      </w:r>
      <w:r w:rsidRPr="005E758A">
        <w:rPr>
          <w:sz w:val="28"/>
        </w:rPr>
        <w:t>。</w:t>
      </w:r>
      <w:proofErr w:type="gramStart"/>
      <w:r w:rsidRPr="005E758A">
        <w:rPr>
          <w:sz w:val="28"/>
        </w:rPr>
        <w:t>惟</w:t>
      </w:r>
      <w:proofErr w:type="gramEnd"/>
      <w:r w:rsidRPr="005E758A">
        <w:rPr>
          <w:sz w:val="28"/>
        </w:rPr>
        <w:t>不論如何，此項原則在公約施行</w:t>
      </w:r>
      <w:r w:rsidRPr="005E758A">
        <w:rPr>
          <w:sz w:val="28"/>
        </w:rPr>
        <w:t>20</w:t>
      </w:r>
      <w:r w:rsidRPr="005E758A">
        <w:rPr>
          <w:sz w:val="28"/>
        </w:rPr>
        <w:t>餘年來，對締約國兒童政策及法律的型塑，確實帶來重大的正面意義。</w:t>
      </w:r>
    </w:p>
    <w:p w14:paraId="45DCE2C7" w14:textId="77777777" w:rsidR="007C1E25" w:rsidRPr="005E758A" w:rsidRDefault="007C1E25" w:rsidP="007C1E25">
      <w:pPr>
        <w:snapToGrid w:val="0"/>
        <w:spacing w:before="100" w:beforeAutospacing="1" w:after="100" w:afterAutospacing="1"/>
        <w:ind w:firstLineChars="200" w:firstLine="560"/>
        <w:jc w:val="both"/>
        <w:rPr>
          <w:sz w:val="28"/>
        </w:rPr>
      </w:pPr>
      <w:r w:rsidRPr="005E758A">
        <w:rPr>
          <w:sz w:val="28"/>
        </w:rPr>
        <w:t>在我國，</w:t>
      </w:r>
      <w:r w:rsidR="00B60B9B" w:rsidRPr="005E758A">
        <w:rPr>
          <w:sz w:val="28"/>
        </w:rPr>
        <w:t>現行</w:t>
      </w:r>
      <w:r w:rsidRPr="005E758A">
        <w:rPr>
          <w:sz w:val="28"/>
        </w:rPr>
        <w:t>兒童及少年福利與權益保障法第</w:t>
      </w:r>
      <w:r w:rsidRPr="005E758A">
        <w:rPr>
          <w:sz w:val="28"/>
        </w:rPr>
        <w:t>5</w:t>
      </w:r>
      <w:r w:rsidRPr="005E758A">
        <w:rPr>
          <w:sz w:val="28"/>
        </w:rPr>
        <w:t>條第</w:t>
      </w:r>
      <w:r w:rsidRPr="005E758A">
        <w:rPr>
          <w:sz w:val="28"/>
        </w:rPr>
        <w:t>1</w:t>
      </w:r>
      <w:r w:rsidRPr="005E758A">
        <w:rPr>
          <w:sz w:val="28"/>
        </w:rPr>
        <w:t>項已將此項原則置入：「政府及公私立機構、團體處理兒童及少年相關事務時，應以兒童及少年之最佳利益為優先考量，並依其心智成熟程度權衡其意見；有關其保護及救助，並應優先處理。」。另民國</w:t>
      </w:r>
      <w:r w:rsidRPr="005E758A">
        <w:rPr>
          <w:sz w:val="28"/>
        </w:rPr>
        <w:t>85</w:t>
      </w:r>
      <w:r w:rsidRPr="005E758A">
        <w:rPr>
          <w:sz w:val="28"/>
        </w:rPr>
        <w:t>年修正之民法親屬編，增訂第</w:t>
      </w:r>
      <w:r w:rsidRPr="005E758A">
        <w:rPr>
          <w:sz w:val="28"/>
        </w:rPr>
        <w:t>1055</w:t>
      </w:r>
      <w:r w:rsidRPr="005E758A">
        <w:rPr>
          <w:sz w:val="28"/>
        </w:rPr>
        <w:t>條之</w:t>
      </w:r>
      <w:r w:rsidRPr="005E758A">
        <w:rPr>
          <w:sz w:val="28"/>
        </w:rPr>
        <w:t>1</w:t>
      </w:r>
      <w:r w:rsidRPr="005E758A">
        <w:rPr>
          <w:sz w:val="28"/>
        </w:rPr>
        <w:t>及第</w:t>
      </w:r>
      <w:r w:rsidRPr="005E758A">
        <w:rPr>
          <w:sz w:val="28"/>
        </w:rPr>
        <w:t>1055</w:t>
      </w:r>
      <w:r w:rsidRPr="005E758A">
        <w:rPr>
          <w:sz w:val="28"/>
        </w:rPr>
        <w:t>條之</w:t>
      </w:r>
      <w:r w:rsidRPr="005E758A">
        <w:rPr>
          <w:sz w:val="28"/>
        </w:rPr>
        <w:t>2</w:t>
      </w:r>
      <w:r w:rsidRPr="005E758A">
        <w:rPr>
          <w:sz w:val="28"/>
        </w:rPr>
        <w:t>，規定法院於夫妻離婚時，關於子女親權之酌定，應依子女之最佳利益，顯見我國關於兒</w:t>
      </w:r>
      <w:r w:rsidRPr="005E758A">
        <w:rPr>
          <w:sz w:val="28"/>
        </w:rPr>
        <w:lastRenderedPageBreak/>
        <w:t>童最佳利益原則之內國法化，已漸趨完整。</w:t>
      </w:r>
    </w:p>
    <w:p w14:paraId="45F4C42F" w14:textId="77777777" w:rsidR="007C1E25" w:rsidRPr="005E758A" w:rsidRDefault="007C1E25" w:rsidP="007C1E25">
      <w:pPr>
        <w:pStyle w:val="2"/>
      </w:pPr>
      <w:r w:rsidRPr="005E758A">
        <w:t>參考資料</w:t>
      </w:r>
    </w:p>
    <w:p w14:paraId="5A171B62" w14:textId="77777777" w:rsidR="007C1E25" w:rsidRPr="005E758A" w:rsidRDefault="007C1E25" w:rsidP="00890E44">
      <w:pPr>
        <w:pStyle w:val="a0"/>
        <w:numPr>
          <w:ilvl w:val="2"/>
          <w:numId w:val="1"/>
        </w:numPr>
        <w:snapToGrid w:val="0"/>
        <w:spacing w:before="100" w:beforeAutospacing="1" w:after="100" w:afterAutospacing="1"/>
        <w:ind w:leftChars="0" w:left="448" w:hanging="448"/>
        <w:jc w:val="both"/>
        <w:rPr>
          <w:rFonts w:ascii="Times New Roman" w:eastAsia="標楷體" w:hAnsi="Times New Roman"/>
          <w:sz w:val="28"/>
          <w:szCs w:val="28"/>
        </w:rPr>
      </w:pPr>
      <w:r w:rsidRPr="005E758A">
        <w:rPr>
          <w:rFonts w:ascii="Times New Roman" w:eastAsia="標楷體" w:hAnsi="Times New Roman"/>
          <w:sz w:val="28"/>
          <w:szCs w:val="28"/>
        </w:rPr>
        <w:t>兒童權利委員會，第</w:t>
      </w:r>
      <w:r w:rsidRPr="005E758A">
        <w:rPr>
          <w:rFonts w:ascii="Times New Roman" w:eastAsia="標楷體" w:hAnsi="Times New Roman"/>
          <w:sz w:val="28"/>
          <w:szCs w:val="28"/>
        </w:rPr>
        <w:t>14</w:t>
      </w:r>
      <w:r w:rsidRPr="005E758A">
        <w:rPr>
          <w:rFonts w:ascii="Times New Roman" w:eastAsia="標楷體" w:hAnsi="Times New Roman"/>
          <w:sz w:val="28"/>
          <w:szCs w:val="28"/>
        </w:rPr>
        <w:t>號一般性意見「兒童最佳利益」。</w:t>
      </w:r>
      <w:r w:rsidRPr="005E758A">
        <w:rPr>
          <w:rFonts w:ascii="Times New Roman" w:eastAsia="標楷體" w:hAnsi="Times New Roman"/>
          <w:sz w:val="28"/>
          <w:szCs w:val="28"/>
        </w:rPr>
        <w:t>(Committee on the Rights of the Child, General Comment No. 14 on the Right of the Child to Have His or Her Best Interests Taken as a Primary Consideration (art. 3, para. 1), U.N. Doc. CRC/C/GC/14 (May 29, 2013).)</w:t>
      </w:r>
      <w:r w:rsidR="00BB5412" w:rsidRPr="005E758A">
        <w:rPr>
          <w:rFonts w:ascii="Times New Roman" w:eastAsia="標楷體" w:hAnsi="Times New Roman"/>
          <w:sz w:val="28"/>
          <w:szCs w:val="28"/>
        </w:rPr>
        <w:t>.</w:t>
      </w:r>
    </w:p>
    <w:p w14:paraId="43827669" w14:textId="77777777" w:rsidR="007C1E25" w:rsidRPr="005E758A" w:rsidRDefault="007C1E25" w:rsidP="00890E44">
      <w:pPr>
        <w:pStyle w:val="a0"/>
        <w:numPr>
          <w:ilvl w:val="2"/>
          <w:numId w:val="1"/>
        </w:numPr>
        <w:snapToGrid w:val="0"/>
        <w:spacing w:before="100" w:beforeAutospacing="1" w:after="100" w:afterAutospacing="1"/>
        <w:ind w:leftChars="0" w:left="448" w:hanging="448"/>
        <w:jc w:val="both"/>
        <w:rPr>
          <w:rFonts w:ascii="Times New Roman" w:eastAsia="標楷體" w:hAnsi="Times New Roman"/>
          <w:sz w:val="32"/>
          <w:szCs w:val="28"/>
        </w:rPr>
      </w:pPr>
      <w:r w:rsidRPr="005E758A">
        <w:rPr>
          <w:rFonts w:ascii="Times New Roman" w:eastAsia="標楷體" w:hAnsi="Times New Roman"/>
          <w:sz w:val="28"/>
          <w:szCs w:val="24"/>
        </w:rPr>
        <w:t>兒童權利委員會，第</w:t>
      </w:r>
      <w:r w:rsidRPr="005E758A">
        <w:rPr>
          <w:rFonts w:ascii="Times New Roman" w:eastAsia="標楷體" w:hAnsi="Times New Roman"/>
          <w:sz w:val="28"/>
          <w:szCs w:val="24"/>
        </w:rPr>
        <w:t>7</w:t>
      </w:r>
      <w:r w:rsidRPr="005E758A">
        <w:rPr>
          <w:rFonts w:ascii="Times New Roman" w:eastAsia="標楷體" w:hAnsi="Times New Roman"/>
          <w:sz w:val="28"/>
          <w:szCs w:val="24"/>
        </w:rPr>
        <w:t>號一般性意見「在幼兒期落實兒童權利」。</w:t>
      </w:r>
      <w:r w:rsidRPr="005E758A">
        <w:rPr>
          <w:rFonts w:ascii="Times New Roman" w:eastAsia="標楷體" w:hAnsi="Times New Roman"/>
          <w:sz w:val="28"/>
          <w:szCs w:val="24"/>
        </w:rPr>
        <w:t>(Committee on the Rights of the Child, General Comment No. 7: Implementing Child Rights in Early Childhood, U.N. Doc. CRC/C/GC/7/Rev.1 (Sept. 20, 2006).)</w:t>
      </w:r>
    </w:p>
    <w:p w14:paraId="7F0584FD" w14:textId="77777777" w:rsidR="007C1E25" w:rsidRPr="005E758A" w:rsidRDefault="007C1E25" w:rsidP="00890E44">
      <w:pPr>
        <w:pStyle w:val="a0"/>
        <w:numPr>
          <w:ilvl w:val="2"/>
          <w:numId w:val="1"/>
        </w:numPr>
        <w:snapToGrid w:val="0"/>
        <w:spacing w:before="100" w:beforeAutospacing="1" w:after="100" w:afterAutospacing="1"/>
        <w:ind w:leftChars="0" w:left="448" w:hanging="448"/>
        <w:jc w:val="both"/>
        <w:rPr>
          <w:rFonts w:ascii="Times New Roman" w:eastAsia="標楷體" w:hAnsi="Times New Roman"/>
          <w:sz w:val="28"/>
          <w:szCs w:val="28"/>
        </w:rPr>
      </w:pPr>
      <w:r w:rsidRPr="005E758A">
        <w:rPr>
          <w:rFonts w:ascii="Times New Roman" w:eastAsia="標楷體" w:hAnsi="Times New Roman"/>
          <w:smallCaps/>
          <w:sz w:val="28"/>
          <w:szCs w:val="28"/>
        </w:rPr>
        <w:t>Michael Freeman, A Commentary on the U.N Convention on the Rights of the Child: Article 3. The Best Interests of the Child</w:t>
      </w:r>
      <w:r w:rsidRPr="005E758A">
        <w:rPr>
          <w:rFonts w:ascii="Times New Roman" w:eastAsia="標楷體" w:hAnsi="Times New Roman"/>
          <w:sz w:val="28"/>
          <w:szCs w:val="28"/>
        </w:rPr>
        <w:t xml:space="preserve"> (André Alen et al. eds., 2007).</w:t>
      </w:r>
    </w:p>
    <w:p w14:paraId="11CBDEDD" w14:textId="77777777" w:rsidR="007C1E25" w:rsidRPr="005E758A" w:rsidRDefault="007C1E25" w:rsidP="00890E44">
      <w:pPr>
        <w:pStyle w:val="a0"/>
        <w:numPr>
          <w:ilvl w:val="2"/>
          <w:numId w:val="1"/>
        </w:numPr>
        <w:snapToGrid w:val="0"/>
        <w:spacing w:before="100" w:beforeAutospacing="1" w:after="100" w:afterAutospacing="1"/>
        <w:ind w:leftChars="0" w:left="448" w:hanging="448"/>
        <w:jc w:val="both"/>
        <w:rPr>
          <w:rFonts w:ascii="Times New Roman" w:eastAsia="標楷體" w:hAnsi="Times New Roman"/>
          <w:sz w:val="28"/>
          <w:szCs w:val="28"/>
        </w:rPr>
      </w:pPr>
      <w:r w:rsidRPr="005E758A">
        <w:rPr>
          <w:rFonts w:ascii="Times New Roman" w:eastAsia="標楷體" w:hAnsi="Times New Roman"/>
          <w:smallCaps/>
          <w:sz w:val="28"/>
          <w:szCs w:val="28"/>
        </w:rPr>
        <w:t xml:space="preserve">UNICEF, Implementation Handbook for the Convention on the Rights of the Child </w:t>
      </w:r>
      <w:r w:rsidRPr="005E758A">
        <w:rPr>
          <w:rFonts w:ascii="Times New Roman" w:eastAsia="標楷體" w:hAnsi="Times New Roman"/>
          <w:sz w:val="28"/>
          <w:szCs w:val="28"/>
        </w:rPr>
        <w:t>(3d ed. 2007).</w:t>
      </w:r>
    </w:p>
    <w:p w14:paraId="55318EFD" w14:textId="77777777" w:rsidR="007C1E25" w:rsidRPr="005E758A" w:rsidRDefault="007C1E25" w:rsidP="00890E44">
      <w:pPr>
        <w:pStyle w:val="a0"/>
        <w:numPr>
          <w:ilvl w:val="2"/>
          <w:numId w:val="1"/>
        </w:numPr>
        <w:snapToGrid w:val="0"/>
        <w:spacing w:before="100" w:beforeAutospacing="1" w:after="100" w:afterAutospacing="1"/>
        <w:ind w:leftChars="0" w:left="448" w:hanging="448"/>
        <w:jc w:val="both"/>
        <w:rPr>
          <w:rFonts w:ascii="Times New Roman" w:eastAsia="標楷體" w:hAnsi="Times New Roman"/>
          <w:sz w:val="28"/>
          <w:szCs w:val="28"/>
        </w:rPr>
      </w:pPr>
      <w:r w:rsidRPr="005E758A">
        <w:rPr>
          <w:rFonts w:ascii="Times New Roman" w:eastAsia="標楷體" w:hAnsi="Times New Roman"/>
          <w:sz w:val="28"/>
          <w:szCs w:val="28"/>
        </w:rPr>
        <w:t>林沛君，兒少人權向前行，臺北市，台灣展翅協會，</w:t>
      </w:r>
      <w:r w:rsidRPr="005E758A">
        <w:rPr>
          <w:rFonts w:ascii="Times New Roman" w:eastAsia="標楷體" w:hAnsi="Times New Roman"/>
          <w:sz w:val="28"/>
          <w:szCs w:val="28"/>
        </w:rPr>
        <w:t>2015</w:t>
      </w:r>
      <w:r w:rsidRPr="005E758A">
        <w:rPr>
          <w:rFonts w:ascii="Times New Roman" w:eastAsia="標楷體" w:hAnsi="Times New Roman"/>
          <w:sz w:val="28"/>
          <w:szCs w:val="28"/>
        </w:rPr>
        <w:t>年</w:t>
      </w:r>
      <w:r w:rsidRPr="005E758A">
        <w:rPr>
          <w:rFonts w:ascii="Times New Roman" w:eastAsia="標楷體" w:hAnsi="Times New Roman"/>
          <w:sz w:val="28"/>
          <w:szCs w:val="28"/>
        </w:rPr>
        <w:t>4</w:t>
      </w:r>
      <w:r w:rsidRPr="005E758A">
        <w:rPr>
          <w:rFonts w:ascii="Times New Roman" w:eastAsia="標楷體" w:hAnsi="Times New Roman"/>
          <w:sz w:val="28"/>
          <w:szCs w:val="28"/>
        </w:rPr>
        <w:t>月。</w:t>
      </w:r>
    </w:p>
    <w:p w14:paraId="69475D6B" w14:textId="77777777" w:rsidR="00041AD0" w:rsidRPr="005E758A" w:rsidRDefault="00041AD0" w:rsidP="007C1E25">
      <w:pPr>
        <w:snapToGrid w:val="0"/>
        <w:spacing w:before="100" w:beforeAutospacing="1" w:after="100" w:afterAutospacing="1"/>
        <w:jc w:val="both"/>
        <w:rPr>
          <w:sz w:val="28"/>
        </w:rPr>
      </w:pPr>
    </w:p>
    <w:p w14:paraId="71D7C615" w14:textId="77777777" w:rsidR="007C1E25" w:rsidRPr="005E758A" w:rsidRDefault="007C1E25" w:rsidP="007B19B8">
      <w:pPr>
        <w:snapToGrid w:val="0"/>
        <w:spacing w:before="100" w:beforeAutospacing="1" w:after="100" w:afterAutospacing="1"/>
        <w:jc w:val="both"/>
      </w:pPr>
      <w:r w:rsidRPr="005E758A">
        <w:rPr>
          <w:sz w:val="28"/>
        </w:rPr>
        <w:t>關鍵詞：兒童最佳利益、優先考量、兒童福祉</w:t>
      </w:r>
    </w:p>
    <w:p w14:paraId="7DD70943" w14:textId="77777777" w:rsidR="007C1E25" w:rsidRPr="005E758A" w:rsidRDefault="007C1E25">
      <w:pPr>
        <w:sectPr w:rsidR="007C1E25" w:rsidRPr="005E758A" w:rsidSect="00135FC9">
          <w:footnotePr>
            <w:numRestart w:val="eachSect"/>
          </w:footnotePr>
          <w:endnotePr>
            <w:numFmt w:val="decimal"/>
            <w:numRestart w:val="eachSect"/>
          </w:endnotePr>
          <w:pgSz w:w="11906" w:h="16838"/>
          <w:pgMar w:top="1440" w:right="1797" w:bottom="1440" w:left="1797" w:header="851" w:footer="992" w:gutter="0"/>
          <w:cols w:space="425"/>
          <w:docGrid w:linePitch="360"/>
        </w:sectPr>
      </w:pPr>
    </w:p>
    <w:tbl>
      <w:tblPr>
        <w:tblpPr w:leftFromText="180" w:rightFromText="180" w:horzAnchor="margin" w:tblpXSpec="center" w:tblpY="810"/>
        <w:tblW w:w="82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8220"/>
      </w:tblGrid>
      <w:tr w:rsidR="007B19B8" w:rsidRPr="005E758A" w14:paraId="257FCD59" w14:textId="77777777" w:rsidTr="00A25E1F">
        <w:tc>
          <w:tcPr>
            <w:tcW w:w="8220" w:type="dxa"/>
          </w:tcPr>
          <w:p w14:paraId="3D8B5670" w14:textId="77777777" w:rsidR="007B19B8" w:rsidRPr="005E758A" w:rsidRDefault="007B19B8" w:rsidP="00A25E1F">
            <w:pPr>
              <w:snapToGrid w:val="0"/>
              <w:spacing w:before="100" w:beforeAutospacing="1" w:after="100" w:afterAutospacing="1"/>
              <w:jc w:val="both"/>
              <w:rPr>
                <w:i/>
                <w:sz w:val="28"/>
                <w:szCs w:val="28"/>
              </w:rPr>
            </w:pPr>
            <w:r w:rsidRPr="005E758A">
              <w:rPr>
                <w:kern w:val="0"/>
                <w:sz w:val="28"/>
                <w:szCs w:val="28"/>
              </w:rPr>
              <w:lastRenderedPageBreak/>
              <w:t>締約國應採取所有適當之立法、行政及其他措施，實現本公約所承認之各項權利。關於經濟、社會及文化權利方面，締約國應運用其本國最大可用之資源，並視需要，在國際合作架構下採取該等措施。</w:t>
            </w:r>
          </w:p>
        </w:tc>
      </w:tr>
    </w:tbl>
    <w:p w14:paraId="32F58DD3" w14:textId="77777777" w:rsidR="00A25E1F" w:rsidRDefault="00A25E1F" w:rsidP="00A25E1F">
      <w:pPr>
        <w:pStyle w:val="1"/>
        <w:rPr>
          <w:sz w:val="28"/>
        </w:rPr>
      </w:pPr>
      <w:bookmarkStart w:id="12" w:name="_Toc431072720"/>
      <w:r w:rsidRPr="005E758A">
        <w:t>第</w:t>
      </w:r>
      <w:r w:rsidRPr="005E758A">
        <w:t>4</w:t>
      </w:r>
      <w:r w:rsidRPr="005E758A">
        <w:t>條</w:t>
      </w:r>
      <w:r w:rsidR="00764009">
        <w:rPr>
          <w:rFonts w:hint="eastAsia"/>
        </w:rPr>
        <w:t xml:space="preserve">　</w:t>
      </w:r>
      <w:r w:rsidRPr="00A25E1F">
        <w:rPr>
          <w:rFonts w:hint="eastAsia"/>
        </w:rPr>
        <w:t>權利之落實</w:t>
      </w:r>
      <w:bookmarkEnd w:id="12"/>
    </w:p>
    <w:p w14:paraId="114E9DDD" w14:textId="77777777" w:rsidR="00A25E1F" w:rsidRPr="00A25E1F" w:rsidRDefault="00A25E1F" w:rsidP="00A25E1F">
      <w:pPr>
        <w:snapToGrid w:val="0"/>
        <w:spacing w:before="100" w:beforeAutospacing="1" w:after="100" w:afterAutospacing="1"/>
        <w:jc w:val="both"/>
        <w:rPr>
          <w:sz w:val="28"/>
        </w:rPr>
      </w:pPr>
    </w:p>
    <w:p w14:paraId="100AE255" w14:textId="77777777" w:rsidR="007B19B8" w:rsidRPr="005E758A" w:rsidRDefault="007B19B8" w:rsidP="00F02A5C">
      <w:pPr>
        <w:pStyle w:val="2"/>
        <w:numPr>
          <w:ilvl w:val="0"/>
          <w:numId w:val="108"/>
        </w:numPr>
      </w:pPr>
      <w:r w:rsidRPr="005E758A">
        <w:t>規範宗旨</w:t>
      </w:r>
    </w:p>
    <w:p w14:paraId="0C998F74" w14:textId="77777777" w:rsidR="007B19B8" w:rsidRPr="005E758A" w:rsidRDefault="007B19B8" w:rsidP="007B19B8">
      <w:pPr>
        <w:snapToGrid w:val="0"/>
        <w:spacing w:before="100" w:beforeAutospacing="1" w:after="100" w:afterAutospacing="1"/>
        <w:ind w:firstLineChars="200" w:firstLine="560"/>
        <w:jc w:val="both"/>
        <w:rPr>
          <w:sz w:val="28"/>
        </w:rPr>
      </w:pPr>
      <w:r w:rsidRPr="005E758A">
        <w:rPr>
          <w:sz w:val="28"/>
        </w:rPr>
        <w:t>本條要求締約國「</w:t>
      </w:r>
      <w:r w:rsidRPr="005E758A">
        <w:rPr>
          <w:kern w:val="0"/>
          <w:sz w:val="28"/>
          <w:szCs w:val="28"/>
        </w:rPr>
        <w:t>採取所有適當之立法、行政及其他措施</w:t>
      </w:r>
      <w:r w:rsidRPr="005E758A">
        <w:rPr>
          <w:sz w:val="28"/>
        </w:rPr>
        <w:t>」落實公約權利。在國際法下，雖然負公約義務者為國家，但為了徹底落實公約權利，需要締約國各階層的參與，因此有必要透過所有適當的措施，在各級政府及機關推展公約的原則及規定，進而促進社會中包括兒童的所有成員的參與。</w:t>
      </w:r>
      <w:bookmarkStart w:id="13" w:name="_Ref430688266"/>
      <w:r w:rsidRPr="005E758A">
        <w:rPr>
          <w:rStyle w:val="af3"/>
          <w:sz w:val="28"/>
        </w:rPr>
        <w:endnoteReference w:id="42"/>
      </w:r>
      <w:bookmarkEnd w:id="13"/>
    </w:p>
    <w:p w14:paraId="7A210DEF" w14:textId="77777777" w:rsidR="007B19B8" w:rsidRPr="005E758A" w:rsidRDefault="007B19B8" w:rsidP="007B19B8">
      <w:pPr>
        <w:pStyle w:val="2"/>
      </w:pPr>
      <w:r w:rsidRPr="005E758A">
        <w:t>條文要義</w:t>
      </w:r>
    </w:p>
    <w:p w14:paraId="61207DE3" w14:textId="77777777" w:rsidR="007B19B8" w:rsidRPr="005E758A" w:rsidRDefault="007B19B8" w:rsidP="007B19B8">
      <w:pPr>
        <w:pStyle w:val="3"/>
        <w:numPr>
          <w:ilvl w:val="0"/>
          <w:numId w:val="8"/>
        </w:numPr>
      </w:pPr>
      <w:r w:rsidRPr="005E758A">
        <w:t>「締約國應採取所有適當之立法、行政及其他措施，實現本公約所承認之各項權利。」</w:t>
      </w:r>
    </w:p>
    <w:p w14:paraId="368A553E" w14:textId="77777777" w:rsidR="007B19B8" w:rsidRPr="005E758A" w:rsidRDefault="007B19B8" w:rsidP="007B19B8">
      <w:pPr>
        <w:snapToGrid w:val="0"/>
        <w:spacing w:before="100" w:beforeAutospacing="1" w:after="100" w:afterAutospacing="1"/>
        <w:ind w:firstLineChars="200" w:firstLine="560"/>
        <w:jc w:val="both"/>
        <w:rPr>
          <w:sz w:val="28"/>
        </w:rPr>
      </w:pPr>
      <w:r w:rsidRPr="005E758A">
        <w:rPr>
          <w:sz w:val="28"/>
        </w:rPr>
        <w:t>就本條而言，在締約國撰寫首次國家報告時，兒童權利委員會要求締約國提供有關資料說明</w:t>
      </w:r>
      <w:r w:rsidRPr="005E758A">
        <w:rPr>
          <w:rStyle w:val="af3"/>
          <w:sz w:val="28"/>
        </w:rPr>
        <w:endnoteReference w:id="43"/>
      </w:r>
      <w:r w:rsidRPr="005E758A">
        <w:rPr>
          <w:sz w:val="28"/>
        </w:rPr>
        <w:t>：</w:t>
      </w:r>
    </w:p>
    <w:p w14:paraId="73F4F4F3" w14:textId="77777777" w:rsidR="007B19B8" w:rsidRPr="005E758A" w:rsidRDefault="007B19B8" w:rsidP="00F02A5C">
      <w:pPr>
        <w:pStyle w:val="a0"/>
        <w:numPr>
          <w:ilvl w:val="0"/>
          <w:numId w:val="106"/>
        </w:numPr>
        <w:snapToGrid w:val="0"/>
        <w:spacing w:before="100" w:beforeAutospacing="1" w:after="100" w:afterAutospacing="1"/>
        <w:ind w:leftChars="0"/>
        <w:jc w:val="both"/>
        <w:rPr>
          <w:rFonts w:ascii="Times New Roman" w:eastAsia="標楷體" w:hAnsi="Times New Roman"/>
          <w:sz w:val="28"/>
        </w:rPr>
      </w:pPr>
      <w:r w:rsidRPr="005E758A">
        <w:rPr>
          <w:rFonts w:ascii="Times New Roman" w:eastAsia="標楷體" w:hAnsi="Times New Roman"/>
          <w:sz w:val="28"/>
        </w:rPr>
        <w:t>採取何種措施使國內法律和政策與公約各項條款協調一致；</w:t>
      </w:r>
    </w:p>
    <w:p w14:paraId="17660EC8" w14:textId="77777777" w:rsidR="007B19B8" w:rsidRPr="005E758A" w:rsidRDefault="007B19B8" w:rsidP="00F02A5C">
      <w:pPr>
        <w:pStyle w:val="a0"/>
        <w:numPr>
          <w:ilvl w:val="0"/>
          <w:numId w:val="106"/>
        </w:numPr>
        <w:snapToGrid w:val="0"/>
        <w:spacing w:before="100" w:beforeAutospacing="1" w:after="100" w:afterAutospacing="1"/>
        <w:ind w:leftChars="0"/>
        <w:jc w:val="both"/>
        <w:rPr>
          <w:rFonts w:ascii="Times New Roman" w:eastAsia="標楷體" w:hAnsi="Times New Roman"/>
          <w:sz w:val="28"/>
        </w:rPr>
      </w:pPr>
      <w:r w:rsidRPr="005E758A">
        <w:rPr>
          <w:rFonts w:ascii="Times New Roman" w:eastAsia="標楷體" w:hAnsi="Times New Roman"/>
          <w:sz w:val="28"/>
        </w:rPr>
        <w:t>現有或規劃建立的全國性和地方性協調兒童政策和監督公約實施情況的機制。</w:t>
      </w:r>
    </w:p>
    <w:p w14:paraId="4151D5EA" w14:textId="77777777" w:rsidR="007B19B8" w:rsidRPr="005E758A" w:rsidRDefault="007B19B8" w:rsidP="007B19B8">
      <w:pPr>
        <w:snapToGrid w:val="0"/>
        <w:spacing w:before="100" w:beforeAutospacing="1" w:after="100" w:afterAutospacing="1"/>
        <w:ind w:firstLineChars="200" w:firstLine="560"/>
        <w:jc w:val="both"/>
        <w:rPr>
          <w:sz w:val="28"/>
        </w:rPr>
      </w:pPr>
      <w:r w:rsidRPr="005E758A">
        <w:rPr>
          <w:sz w:val="28"/>
        </w:rPr>
        <w:t>兒童權利委員會在定期報告的撰寫準則中另外要求締約國提供的資料包括</w:t>
      </w:r>
      <w:r w:rsidRPr="005E758A">
        <w:rPr>
          <w:rStyle w:val="af3"/>
          <w:sz w:val="28"/>
        </w:rPr>
        <w:endnoteReference w:id="44"/>
      </w:r>
      <w:r w:rsidRPr="005E758A">
        <w:rPr>
          <w:sz w:val="28"/>
        </w:rPr>
        <w:t>：</w:t>
      </w:r>
    </w:p>
    <w:p w14:paraId="7B8841E1" w14:textId="77777777" w:rsidR="007B19B8" w:rsidRPr="005E758A" w:rsidRDefault="007B19B8" w:rsidP="00F02A5C">
      <w:pPr>
        <w:pStyle w:val="a0"/>
        <w:numPr>
          <w:ilvl w:val="0"/>
          <w:numId w:val="106"/>
        </w:numPr>
        <w:snapToGrid w:val="0"/>
        <w:spacing w:before="100" w:beforeAutospacing="1" w:after="100" w:afterAutospacing="1"/>
        <w:ind w:leftChars="0"/>
        <w:jc w:val="both"/>
        <w:rPr>
          <w:rFonts w:ascii="Times New Roman" w:eastAsia="標楷體" w:hAnsi="Times New Roman"/>
          <w:sz w:val="28"/>
        </w:rPr>
      </w:pPr>
      <w:r w:rsidRPr="005E758A">
        <w:rPr>
          <w:rFonts w:ascii="Times New Roman" w:eastAsia="標楷體" w:hAnsi="Times New Roman"/>
          <w:sz w:val="28"/>
        </w:rPr>
        <w:t>採取何種措施對國內法律和實踐進行審查，使之完全符合公約的規定；</w:t>
      </w:r>
    </w:p>
    <w:p w14:paraId="355446B5" w14:textId="77777777" w:rsidR="007B19B8" w:rsidRPr="005E758A" w:rsidRDefault="007B19B8" w:rsidP="00F02A5C">
      <w:pPr>
        <w:pStyle w:val="a0"/>
        <w:numPr>
          <w:ilvl w:val="0"/>
          <w:numId w:val="106"/>
        </w:numPr>
        <w:snapToGrid w:val="0"/>
        <w:spacing w:before="100" w:beforeAutospacing="1" w:after="100" w:afterAutospacing="1"/>
        <w:ind w:leftChars="0"/>
        <w:jc w:val="both"/>
        <w:rPr>
          <w:rFonts w:ascii="Times New Roman" w:eastAsia="標楷體" w:hAnsi="Times New Roman"/>
          <w:sz w:val="28"/>
        </w:rPr>
      </w:pPr>
      <w:r w:rsidRPr="005E758A">
        <w:rPr>
          <w:rFonts w:ascii="Times New Roman" w:eastAsia="標楷體" w:hAnsi="Times New Roman"/>
          <w:sz w:val="28"/>
        </w:rPr>
        <w:t>是否制定了兒童問題國家綜合策略以及相應的行動計畫，這些計畫在多大程度上得到實施並評估；</w:t>
      </w:r>
    </w:p>
    <w:p w14:paraId="7D294BDE" w14:textId="77777777" w:rsidR="007B19B8" w:rsidRPr="005E758A" w:rsidRDefault="007B19B8" w:rsidP="00F02A5C">
      <w:pPr>
        <w:pStyle w:val="a0"/>
        <w:numPr>
          <w:ilvl w:val="0"/>
          <w:numId w:val="106"/>
        </w:numPr>
        <w:snapToGrid w:val="0"/>
        <w:spacing w:before="100" w:beforeAutospacing="1" w:after="100" w:afterAutospacing="1"/>
        <w:ind w:leftChars="0"/>
        <w:jc w:val="both"/>
        <w:rPr>
          <w:rFonts w:ascii="Times New Roman" w:eastAsia="標楷體" w:hAnsi="Times New Roman"/>
          <w:sz w:val="28"/>
        </w:rPr>
      </w:pPr>
      <w:r w:rsidRPr="005E758A">
        <w:rPr>
          <w:rFonts w:ascii="Times New Roman" w:eastAsia="標楷體" w:hAnsi="Times New Roman"/>
          <w:sz w:val="28"/>
        </w:rPr>
        <w:t>政府何部門負責協調公約的執行工作，該部門有何種權力；</w:t>
      </w:r>
    </w:p>
    <w:p w14:paraId="345073BE" w14:textId="77777777" w:rsidR="007B19B8" w:rsidRPr="005E758A" w:rsidRDefault="007B19B8" w:rsidP="00F02A5C">
      <w:pPr>
        <w:pStyle w:val="a0"/>
        <w:numPr>
          <w:ilvl w:val="0"/>
          <w:numId w:val="106"/>
        </w:numPr>
        <w:snapToGrid w:val="0"/>
        <w:spacing w:before="100" w:beforeAutospacing="1" w:after="100" w:afterAutospacing="1"/>
        <w:ind w:leftChars="0"/>
        <w:jc w:val="both"/>
        <w:rPr>
          <w:rFonts w:ascii="Times New Roman" w:eastAsia="標楷體" w:hAnsi="Times New Roman"/>
          <w:sz w:val="28"/>
        </w:rPr>
      </w:pPr>
      <w:r w:rsidRPr="005E758A">
        <w:rPr>
          <w:rFonts w:ascii="Times New Roman" w:eastAsia="標楷體" w:hAnsi="Times New Roman"/>
          <w:sz w:val="28"/>
        </w:rPr>
        <w:t>為執行公約及任擇議定書而劃撥的預算是否明確，並得到管控，以及如何用於兒童問題國家綜合策略以及相應的行動計畫上。</w:t>
      </w:r>
    </w:p>
    <w:p w14:paraId="0D750FAD" w14:textId="77777777" w:rsidR="007B19B8" w:rsidRPr="005E758A" w:rsidRDefault="007B19B8" w:rsidP="007B19B8">
      <w:pPr>
        <w:snapToGrid w:val="0"/>
        <w:spacing w:before="100" w:beforeAutospacing="1" w:after="100" w:afterAutospacing="1"/>
        <w:ind w:firstLineChars="200" w:firstLine="560"/>
        <w:jc w:val="both"/>
        <w:rPr>
          <w:sz w:val="28"/>
        </w:rPr>
      </w:pPr>
      <w:r w:rsidRPr="005E758A">
        <w:rPr>
          <w:sz w:val="28"/>
        </w:rPr>
        <w:t>本條要求締約國採取的「</w:t>
      </w:r>
      <w:r w:rsidRPr="005E758A">
        <w:rPr>
          <w:kern w:val="0"/>
          <w:sz w:val="28"/>
          <w:szCs w:val="28"/>
        </w:rPr>
        <w:t>所有適當之立法、行政及其他措施</w:t>
      </w:r>
      <w:r w:rsidRPr="005E758A">
        <w:rPr>
          <w:sz w:val="28"/>
        </w:rPr>
        <w:t>」可</w:t>
      </w:r>
      <w:r w:rsidRPr="005E758A">
        <w:rPr>
          <w:sz w:val="28"/>
        </w:rPr>
        <w:lastRenderedPageBreak/>
        <w:t>能包括：「立法、建立政府一級和獨立的協調和監測機構、綜合性數據收集、提高認識和開展培訓，並制定和實施適當的政策、服務及方案等」</w:t>
      </w:r>
      <w:r w:rsidRPr="005E758A">
        <w:rPr>
          <w:rStyle w:val="af3"/>
          <w:sz w:val="28"/>
        </w:rPr>
        <w:endnoteReference w:id="45"/>
      </w:r>
      <w:r w:rsidRPr="005E758A">
        <w:rPr>
          <w:sz w:val="28"/>
        </w:rPr>
        <w:t>。就立法而言，立法措施應在公約對締約國生效後立即著手</w:t>
      </w:r>
      <w:bookmarkStart w:id="14" w:name="_Ref430692652"/>
      <w:r w:rsidRPr="005E758A">
        <w:rPr>
          <w:rStyle w:val="af3"/>
          <w:sz w:val="28"/>
        </w:rPr>
        <w:endnoteReference w:id="46"/>
      </w:r>
      <w:bookmarkEnd w:id="14"/>
      <w:r w:rsidRPr="005E758A">
        <w:rPr>
          <w:sz w:val="28"/>
        </w:rPr>
        <w:t>，兒童權利委員會亦常建議締約國定期審查其國內兒童相關立法，確定其符合包含公約在內之國際人權規範，且應以兒童權利為基礎的角度審查</w:t>
      </w:r>
      <w:r w:rsidRPr="005E758A">
        <w:rPr>
          <w:rStyle w:val="af3"/>
          <w:sz w:val="28"/>
        </w:rPr>
        <w:endnoteReference w:id="47"/>
      </w:r>
      <w:r w:rsidRPr="005E758A">
        <w:rPr>
          <w:sz w:val="28"/>
        </w:rPr>
        <w:t>。</w:t>
      </w:r>
    </w:p>
    <w:p w14:paraId="5EE7168B" w14:textId="77777777" w:rsidR="007B19B8" w:rsidRPr="005E758A" w:rsidRDefault="007B19B8" w:rsidP="007B19B8">
      <w:pPr>
        <w:pStyle w:val="3"/>
        <w:numPr>
          <w:ilvl w:val="0"/>
          <w:numId w:val="3"/>
        </w:numPr>
        <w:ind w:left="482" w:hanging="482"/>
      </w:pPr>
      <w:r w:rsidRPr="005E758A">
        <w:t>「關於經濟、社會及文化權利方面，締約國應運用其本國最大可用之資源，並視需要，在國際合作架構下採取該等措施。」</w:t>
      </w:r>
    </w:p>
    <w:p w14:paraId="6258C343" w14:textId="77777777" w:rsidR="007B19B8" w:rsidRPr="005E758A" w:rsidRDefault="007B19B8" w:rsidP="007B19B8">
      <w:pPr>
        <w:snapToGrid w:val="0"/>
        <w:spacing w:before="100" w:beforeAutospacing="1" w:after="100" w:afterAutospacing="1"/>
        <w:ind w:firstLineChars="200" w:firstLine="560"/>
        <w:jc w:val="both"/>
        <w:rPr>
          <w:sz w:val="28"/>
        </w:rPr>
      </w:pPr>
      <w:r w:rsidRPr="005E758A">
        <w:rPr>
          <w:sz w:val="28"/>
        </w:rPr>
        <w:t>此部分的規定顯示了公民與政治權利與經濟、社會及文化權利有所區別，並反映了資源有限的現實考量</w:t>
      </w:r>
      <w:r w:rsidRPr="005E758A">
        <w:rPr>
          <w:rStyle w:val="af3"/>
          <w:sz w:val="28"/>
        </w:rPr>
        <w:endnoteReference w:id="48"/>
      </w:r>
      <w:r w:rsidRPr="005E758A">
        <w:rPr>
          <w:sz w:val="28"/>
        </w:rPr>
        <w:t>，但不論締約國經濟狀況為何，仍應採取一切可能的措施</w:t>
      </w:r>
      <w:r w:rsidRPr="005E758A">
        <w:rPr>
          <w:rStyle w:val="af3"/>
          <w:sz w:val="28"/>
        </w:rPr>
        <w:endnoteReference w:id="49"/>
      </w:r>
      <w:r w:rsidRPr="005E758A">
        <w:rPr>
          <w:sz w:val="28"/>
        </w:rPr>
        <w:t>。然而，此處所規定締約國應運用「最大可用之資源」，是否表</w:t>
      </w:r>
      <w:r w:rsidRPr="005E758A">
        <w:rPr>
          <w:kern w:val="0"/>
          <w:sz w:val="28"/>
          <w:szCs w:val="28"/>
        </w:rPr>
        <w:t>示經濟、社會及文化權利</w:t>
      </w:r>
      <w:r w:rsidRPr="005E758A">
        <w:rPr>
          <w:sz w:val="28"/>
        </w:rPr>
        <w:t>的保護於預算及資源分配上應優於國家其他項目的預算？兒童權利委員會並未直接就此問題做出說明，但表示締約國依照第</w:t>
      </w:r>
      <w:r w:rsidRPr="005E758A">
        <w:rPr>
          <w:sz w:val="28"/>
        </w:rPr>
        <w:t>4</w:t>
      </w:r>
      <w:r w:rsidRPr="005E758A">
        <w:rPr>
          <w:sz w:val="28"/>
        </w:rPr>
        <w:t>條運用最大可用之資源時，「應該首先考慮兒童，使全體兒童都能獲得高品質的基礎社會服務。</w:t>
      </w:r>
      <w:r w:rsidRPr="005E758A">
        <w:rPr>
          <w:sz w:val="28"/>
        </w:rPr>
        <w:t>...</w:t>
      </w:r>
      <w:r w:rsidRPr="005E758A">
        <w:rPr>
          <w:sz w:val="28"/>
        </w:rPr>
        <w:t>讓兒童普遍獲得綜合性基礎社會服務是國際社會財政能力所及，往往需要早日、大幅度地減免債務和削減軍事開支」</w:t>
      </w:r>
      <w:r w:rsidRPr="005E758A">
        <w:rPr>
          <w:rStyle w:val="af3"/>
          <w:sz w:val="28"/>
        </w:rPr>
        <w:endnoteReference w:id="50"/>
      </w:r>
      <w:r w:rsidRPr="005E758A">
        <w:rPr>
          <w:sz w:val="28"/>
        </w:rPr>
        <w:t>。而在國家資源有限，無法完全滿足所有權利的狀況下，締約國應視情況決定須優先處理的問題，並適當分配資源，且締約國的預算及資源的分配比例應定期分析和審查</w:t>
      </w:r>
      <w:r w:rsidRPr="005E758A">
        <w:rPr>
          <w:rStyle w:val="af3"/>
          <w:sz w:val="28"/>
        </w:rPr>
        <w:endnoteReference w:id="51"/>
      </w:r>
      <w:r w:rsidRPr="005E758A">
        <w:rPr>
          <w:sz w:val="28"/>
        </w:rPr>
        <w:t>。</w:t>
      </w:r>
    </w:p>
    <w:p w14:paraId="0247C958" w14:textId="77777777" w:rsidR="007B19B8" w:rsidRPr="005E758A" w:rsidRDefault="007B19B8" w:rsidP="007B19B8">
      <w:pPr>
        <w:snapToGrid w:val="0"/>
        <w:spacing w:before="100" w:beforeAutospacing="1" w:after="100" w:afterAutospacing="1"/>
        <w:ind w:firstLineChars="200" w:firstLine="560"/>
        <w:jc w:val="both"/>
        <w:rPr>
          <w:sz w:val="28"/>
        </w:rPr>
      </w:pPr>
      <w:r w:rsidRPr="005E758A">
        <w:rPr>
          <w:sz w:val="28"/>
        </w:rPr>
        <w:t>本條最後提到為實現公約權利之國際合作，兒童權利委員會認為當一個國家成為公約締約國時，其不但承諾在管轄範圍內應落實公約，亦同意透過國際合作推動在全球各地落實公約</w:t>
      </w:r>
      <w:r w:rsidRPr="005E758A">
        <w:rPr>
          <w:rStyle w:val="af3"/>
          <w:sz w:val="28"/>
        </w:rPr>
        <w:endnoteReference w:id="52"/>
      </w:r>
      <w:r w:rsidRPr="005E758A">
        <w:rPr>
          <w:sz w:val="28"/>
        </w:rPr>
        <w:t>，而國際合作的形式</w:t>
      </w:r>
      <w:proofErr w:type="gramStart"/>
      <w:r w:rsidRPr="005E758A">
        <w:rPr>
          <w:sz w:val="28"/>
        </w:rPr>
        <w:t>多樣，</w:t>
      </w:r>
      <w:proofErr w:type="gramEnd"/>
      <w:r w:rsidRPr="005E758A">
        <w:rPr>
          <w:sz w:val="28"/>
        </w:rPr>
        <w:t>包括聯合國機構的技術援助、雙邊及多邊援助或貸款協定等</w:t>
      </w:r>
      <w:r w:rsidRPr="005E758A">
        <w:rPr>
          <w:rStyle w:val="af3"/>
          <w:sz w:val="28"/>
        </w:rPr>
        <w:endnoteReference w:id="53"/>
      </w:r>
      <w:r w:rsidRPr="005E758A">
        <w:rPr>
          <w:sz w:val="28"/>
        </w:rPr>
        <w:t>，世界銀行及國際貨幣基金等國際援助機構在這方面亦可扮演積極的角色。舉例而言，兒童權利委員會即曾鼓勵透過上述兩機構共同發起之降低貧窮策略書</w:t>
      </w:r>
      <w:r w:rsidRPr="005E758A">
        <w:rPr>
          <w:sz w:val="28"/>
        </w:rPr>
        <w:t>(Poverty Reduction Strategy Paper, PRSP)</w:t>
      </w:r>
      <w:r w:rsidRPr="005E758A">
        <w:rPr>
          <w:sz w:val="28"/>
        </w:rPr>
        <w:t>減少貧窮狀況，並維護兒童權利</w:t>
      </w:r>
      <w:r w:rsidRPr="005E758A">
        <w:rPr>
          <w:rStyle w:val="af3"/>
          <w:sz w:val="28"/>
        </w:rPr>
        <w:endnoteReference w:id="54"/>
      </w:r>
      <w:r w:rsidRPr="005E758A">
        <w:rPr>
          <w:sz w:val="28"/>
        </w:rPr>
        <w:t>。</w:t>
      </w:r>
    </w:p>
    <w:p w14:paraId="1703ECF1" w14:textId="77777777" w:rsidR="007B19B8" w:rsidRPr="005E758A" w:rsidRDefault="007B19B8" w:rsidP="007B19B8">
      <w:pPr>
        <w:pStyle w:val="2"/>
      </w:pPr>
      <w:r w:rsidRPr="005E758A">
        <w:t>案例介紹</w:t>
      </w:r>
    </w:p>
    <w:p w14:paraId="0CA5A755" w14:textId="77777777" w:rsidR="007B19B8" w:rsidRPr="005E758A" w:rsidRDefault="007B19B8" w:rsidP="007030EA">
      <w:pPr>
        <w:pStyle w:val="3"/>
        <w:numPr>
          <w:ilvl w:val="0"/>
          <w:numId w:val="211"/>
        </w:numPr>
        <w:rPr>
          <w:szCs w:val="28"/>
        </w:rPr>
      </w:pPr>
      <w:r w:rsidRPr="005E758A">
        <w:rPr>
          <w:szCs w:val="28"/>
        </w:rPr>
        <w:t>2008</w:t>
      </w:r>
      <w:r w:rsidRPr="005E758A">
        <w:rPr>
          <w:szCs w:val="28"/>
        </w:rPr>
        <w:t>年聯合國大會</w:t>
      </w:r>
      <w:r w:rsidRPr="005E758A">
        <w:rPr>
          <w:szCs w:val="28"/>
        </w:rPr>
        <w:t>63/241</w:t>
      </w:r>
      <w:r w:rsidRPr="005E758A">
        <w:rPr>
          <w:szCs w:val="28"/>
        </w:rPr>
        <w:t>號決議</w:t>
      </w:r>
      <w:r w:rsidRPr="005E758A">
        <w:rPr>
          <w:rStyle w:val="af3"/>
          <w:szCs w:val="28"/>
        </w:rPr>
        <w:endnoteReference w:id="55"/>
      </w:r>
    </w:p>
    <w:p w14:paraId="4A1120D3" w14:textId="77777777" w:rsidR="007B19B8" w:rsidRPr="005E758A" w:rsidRDefault="007B19B8" w:rsidP="007B19B8">
      <w:pPr>
        <w:snapToGrid w:val="0"/>
        <w:spacing w:before="100" w:beforeAutospacing="1" w:after="100" w:afterAutospacing="1"/>
        <w:ind w:firstLineChars="200" w:firstLine="560"/>
        <w:jc w:val="both"/>
        <w:rPr>
          <w:sz w:val="28"/>
          <w:szCs w:val="28"/>
        </w:rPr>
      </w:pPr>
      <w:r w:rsidRPr="005E758A">
        <w:rPr>
          <w:sz w:val="28"/>
          <w:szCs w:val="28"/>
        </w:rPr>
        <w:t>聯合國大會於</w:t>
      </w:r>
      <w:r w:rsidRPr="005E758A">
        <w:rPr>
          <w:sz w:val="28"/>
          <w:szCs w:val="28"/>
        </w:rPr>
        <w:t>2008</w:t>
      </w:r>
      <w:r w:rsidRPr="005E758A">
        <w:rPr>
          <w:sz w:val="28"/>
          <w:szCs w:val="28"/>
        </w:rPr>
        <w:t>年</w:t>
      </w:r>
      <w:r w:rsidRPr="005E758A">
        <w:rPr>
          <w:sz w:val="28"/>
          <w:szCs w:val="28"/>
        </w:rPr>
        <w:t>12</w:t>
      </w:r>
      <w:r w:rsidRPr="005E758A">
        <w:rPr>
          <w:sz w:val="28"/>
          <w:szCs w:val="28"/>
        </w:rPr>
        <w:t>月</w:t>
      </w:r>
      <w:r w:rsidRPr="005E758A">
        <w:rPr>
          <w:sz w:val="28"/>
          <w:szCs w:val="28"/>
        </w:rPr>
        <w:t>24</w:t>
      </w:r>
      <w:r w:rsidRPr="005E758A">
        <w:rPr>
          <w:sz w:val="28"/>
          <w:szCs w:val="28"/>
        </w:rPr>
        <w:t>日以</w:t>
      </w:r>
      <w:r w:rsidRPr="005E758A">
        <w:rPr>
          <w:sz w:val="28"/>
          <w:szCs w:val="28"/>
        </w:rPr>
        <w:t>159</w:t>
      </w:r>
      <w:r w:rsidRPr="005E758A">
        <w:rPr>
          <w:sz w:val="28"/>
          <w:szCs w:val="28"/>
        </w:rPr>
        <w:t>票同意、</w:t>
      </w:r>
      <w:r w:rsidRPr="005E758A">
        <w:rPr>
          <w:sz w:val="28"/>
          <w:szCs w:val="28"/>
        </w:rPr>
        <w:t>1</w:t>
      </w:r>
      <w:r w:rsidRPr="005E758A">
        <w:rPr>
          <w:sz w:val="28"/>
          <w:szCs w:val="28"/>
        </w:rPr>
        <w:t>票反對（美國）、</w:t>
      </w:r>
      <w:r w:rsidRPr="005E758A">
        <w:rPr>
          <w:sz w:val="28"/>
          <w:szCs w:val="28"/>
        </w:rPr>
        <w:t>0</w:t>
      </w:r>
      <w:r w:rsidRPr="005E758A">
        <w:rPr>
          <w:sz w:val="28"/>
          <w:szCs w:val="28"/>
        </w:rPr>
        <w:t>票棄權的票數（另外有</w:t>
      </w:r>
      <w:r w:rsidRPr="005E758A">
        <w:rPr>
          <w:sz w:val="28"/>
          <w:szCs w:val="28"/>
        </w:rPr>
        <w:t>32</w:t>
      </w:r>
      <w:r w:rsidRPr="005E758A">
        <w:rPr>
          <w:sz w:val="28"/>
          <w:szCs w:val="28"/>
        </w:rPr>
        <w:t>國未投票）通過主題為兒童權利之</w:t>
      </w:r>
      <w:r w:rsidRPr="005E758A">
        <w:rPr>
          <w:sz w:val="28"/>
          <w:szCs w:val="28"/>
        </w:rPr>
        <w:t>63/241</w:t>
      </w:r>
      <w:r w:rsidRPr="005E758A">
        <w:rPr>
          <w:sz w:val="28"/>
          <w:szCs w:val="28"/>
        </w:rPr>
        <w:t>號決議，通過「執行兒童權利公約及其各項任擇議定書」、「促</w:t>
      </w:r>
      <w:r w:rsidRPr="005E758A">
        <w:rPr>
          <w:sz w:val="28"/>
          <w:szCs w:val="28"/>
        </w:rPr>
        <w:lastRenderedPageBreak/>
        <w:t>進和保護兒童權利以及不歧視兒童」、「童工」及「後續行動」</w:t>
      </w:r>
      <w:r w:rsidRPr="005E758A">
        <w:rPr>
          <w:sz w:val="28"/>
          <w:szCs w:val="28"/>
        </w:rPr>
        <w:t>4</w:t>
      </w:r>
      <w:r w:rsidRPr="005E758A">
        <w:rPr>
          <w:sz w:val="28"/>
          <w:szCs w:val="28"/>
        </w:rPr>
        <w:t>個主題，其中「執行兒童權利公約及其各項任擇議定書」主題下的部分內容與兒童權利公約第</w:t>
      </w:r>
      <w:r w:rsidRPr="005E758A">
        <w:rPr>
          <w:sz w:val="28"/>
          <w:szCs w:val="28"/>
        </w:rPr>
        <w:t>4</w:t>
      </w:r>
      <w:r w:rsidRPr="005E758A">
        <w:rPr>
          <w:sz w:val="28"/>
          <w:szCs w:val="28"/>
        </w:rPr>
        <w:t>條的內涵有關，摘要如下：</w:t>
      </w:r>
    </w:p>
    <w:p w14:paraId="0E251A4B" w14:textId="77777777" w:rsidR="007B19B8" w:rsidRPr="005E758A" w:rsidRDefault="007B19B8" w:rsidP="00F02A5C">
      <w:pPr>
        <w:pStyle w:val="a0"/>
        <w:numPr>
          <w:ilvl w:val="0"/>
          <w:numId w:val="106"/>
        </w:numPr>
        <w:snapToGrid w:val="0"/>
        <w:spacing w:before="100" w:beforeAutospacing="1" w:after="100" w:afterAutospacing="1"/>
        <w:ind w:leftChars="0"/>
        <w:jc w:val="both"/>
        <w:rPr>
          <w:rFonts w:ascii="Times New Roman" w:eastAsia="標楷體" w:hAnsi="Times New Roman"/>
          <w:sz w:val="28"/>
        </w:rPr>
      </w:pPr>
      <w:r w:rsidRPr="005E758A">
        <w:rPr>
          <w:rFonts w:ascii="Times New Roman" w:eastAsia="標楷體" w:hAnsi="Times New Roman"/>
          <w:sz w:val="28"/>
        </w:rPr>
        <w:t>敦促尚未成為兒童權利公約及其各項任擇議定書之</w:t>
      </w:r>
      <w:r w:rsidRPr="005E758A">
        <w:rPr>
          <w:rFonts w:ascii="Times New Roman" w:eastAsia="標楷體" w:hAnsi="Times New Roman"/>
          <w:sz w:val="28"/>
        </w:rPr>
        <w:t xml:space="preserve"> </w:t>
      </w:r>
      <w:r w:rsidRPr="005E758A">
        <w:rPr>
          <w:rFonts w:ascii="Times New Roman" w:eastAsia="標楷體" w:hAnsi="Times New Roman"/>
          <w:sz w:val="28"/>
        </w:rPr>
        <w:t>締約國的國家優先考慮成為這些文書的締約國，並予以充分執行，途徑包括制定有效的國家法律、政策和行動計畫，強化政府負責兒童問題的相關架構，並確保為所有從事兒童工作者提供充分、系統的兒童權利培訓，同時確保對兒童本身進行兒童權利教育；</w:t>
      </w:r>
    </w:p>
    <w:p w14:paraId="406E6857" w14:textId="77777777" w:rsidR="007B19B8" w:rsidRPr="005E758A" w:rsidRDefault="007B19B8" w:rsidP="00F02A5C">
      <w:pPr>
        <w:pStyle w:val="a0"/>
        <w:numPr>
          <w:ilvl w:val="0"/>
          <w:numId w:val="106"/>
        </w:numPr>
        <w:snapToGrid w:val="0"/>
        <w:spacing w:before="100" w:beforeAutospacing="1" w:after="100" w:afterAutospacing="1"/>
        <w:ind w:leftChars="0"/>
        <w:jc w:val="both"/>
        <w:rPr>
          <w:rFonts w:ascii="Times New Roman" w:eastAsia="標楷體" w:hAnsi="Times New Roman"/>
          <w:sz w:val="28"/>
        </w:rPr>
      </w:pPr>
      <w:r w:rsidRPr="005E758A">
        <w:rPr>
          <w:rFonts w:ascii="Times New Roman" w:eastAsia="標楷體" w:hAnsi="Times New Roman"/>
          <w:sz w:val="28"/>
        </w:rPr>
        <w:t>籲請各國指定、建立或加強負責兒童問題的政府機構，可酌情加入負責兒童和青年問題的部長、兒童問題獨立監察員或促進和保護兒童權利的其他機構；</w:t>
      </w:r>
    </w:p>
    <w:p w14:paraId="66A5BB2D" w14:textId="77777777" w:rsidR="007B19B8" w:rsidRPr="005E758A" w:rsidRDefault="007B19B8" w:rsidP="00F02A5C">
      <w:pPr>
        <w:pStyle w:val="a0"/>
        <w:numPr>
          <w:ilvl w:val="0"/>
          <w:numId w:val="106"/>
        </w:numPr>
        <w:snapToGrid w:val="0"/>
        <w:spacing w:before="100" w:beforeAutospacing="1" w:after="100" w:afterAutospacing="1"/>
        <w:ind w:leftChars="0"/>
        <w:jc w:val="both"/>
        <w:rPr>
          <w:rFonts w:ascii="Times New Roman" w:eastAsia="標楷體" w:hAnsi="Times New Roman"/>
          <w:sz w:val="28"/>
        </w:rPr>
      </w:pPr>
      <w:r w:rsidRPr="005E758A">
        <w:rPr>
          <w:rFonts w:ascii="Times New Roman" w:eastAsia="標楷體" w:hAnsi="Times New Roman"/>
          <w:sz w:val="28"/>
        </w:rPr>
        <w:t>籲請所有國家加強與委員會的合作，按照委員會擬定的指導原則及時履行公約及其各項任擇議定書規定的報告義務，並考慮到委員會關於執行公約的建議；</w:t>
      </w:r>
    </w:p>
    <w:p w14:paraId="7F0AAAED" w14:textId="77777777" w:rsidR="007B19B8" w:rsidRPr="005E758A" w:rsidRDefault="007B19B8" w:rsidP="00F02A5C">
      <w:pPr>
        <w:pStyle w:val="a0"/>
        <w:numPr>
          <w:ilvl w:val="0"/>
          <w:numId w:val="106"/>
        </w:numPr>
        <w:snapToGrid w:val="0"/>
        <w:spacing w:before="100" w:beforeAutospacing="1" w:after="100" w:afterAutospacing="1"/>
        <w:ind w:leftChars="0"/>
        <w:jc w:val="both"/>
        <w:rPr>
          <w:rFonts w:ascii="Times New Roman" w:eastAsia="標楷體" w:hAnsi="Times New Roman"/>
          <w:sz w:val="28"/>
        </w:rPr>
      </w:pPr>
      <w:r w:rsidRPr="005E758A">
        <w:rPr>
          <w:rFonts w:ascii="Times New Roman" w:eastAsia="標楷體" w:hAnsi="Times New Roman"/>
          <w:sz w:val="28"/>
        </w:rPr>
        <w:t>鼓勵各國加強本國的統計能力，並在國家、區域、次區域和國際各級使用分列的統計數字，特別是按年齡、性別和其他可能導致差異的有關因素的分列的統計數字以及其他統計指標，擬訂和評估社會政策和方案，以提高效率、有效地利用經濟和社會資源，充分實現兒童權利。</w:t>
      </w:r>
    </w:p>
    <w:p w14:paraId="574C306B" w14:textId="77777777" w:rsidR="007B19B8" w:rsidRPr="005E758A" w:rsidRDefault="007B19B8" w:rsidP="007B19B8">
      <w:pPr>
        <w:pStyle w:val="3"/>
        <w:numPr>
          <w:ilvl w:val="0"/>
          <w:numId w:val="8"/>
        </w:numPr>
        <w:rPr>
          <w:szCs w:val="28"/>
        </w:rPr>
      </w:pPr>
      <w:r w:rsidRPr="005E758A">
        <w:rPr>
          <w:szCs w:val="28"/>
        </w:rPr>
        <w:t>2012</w:t>
      </w:r>
      <w:r w:rsidRPr="005E758A">
        <w:rPr>
          <w:szCs w:val="28"/>
        </w:rPr>
        <w:t>年印度最高法院教育權案：</w:t>
      </w:r>
      <w:r w:rsidRPr="005E758A">
        <w:rPr>
          <w:szCs w:val="28"/>
        </w:rPr>
        <w:t>Society for Un-</w:t>
      </w:r>
      <w:r w:rsidR="00890E44" w:rsidRPr="005E758A">
        <w:rPr>
          <w:szCs w:val="28"/>
        </w:rPr>
        <w:t>A</w:t>
      </w:r>
      <w:r w:rsidRPr="005E758A">
        <w:rPr>
          <w:szCs w:val="28"/>
        </w:rPr>
        <w:t>ided Private Schools of Rajasthan v. Union of India &amp; Another</w:t>
      </w:r>
      <w:r w:rsidRPr="005E758A">
        <w:rPr>
          <w:rStyle w:val="af3"/>
          <w:szCs w:val="28"/>
        </w:rPr>
        <w:endnoteReference w:id="56"/>
      </w:r>
    </w:p>
    <w:p w14:paraId="20EA6F7C" w14:textId="77777777" w:rsidR="007B19B8" w:rsidRPr="005E758A" w:rsidRDefault="007B19B8" w:rsidP="007B19B8">
      <w:pPr>
        <w:snapToGrid w:val="0"/>
        <w:spacing w:before="100" w:beforeAutospacing="1" w:after="100" w:afterAutospacing="1"/>
        <w:ind w:firstLineChars="200" w:firstLine="560"/>
        <w:jc w:val="both"/>
        <w:rPr>
          <w:sz w:val="28"/>
        </w:rPr>
      </w:pPr>
      <w:r w:rsidRPr="005E758A">
        <w:rPr>
          <w:sz w:val="28"/>
          <w:szCs w:val="28"/>
        </w:rPr>
        <w:t>印度憲法第</w:t>
      </w:r>
      <w:r w:rsidRPr="005E758A">
        <w:rPr>
          <w:sz w:val="28"/>
          <w:szCs w:val="28"/>
        </w:rPr>
        <w:t>86</w:t>
      </w:r>
      <w:r w:rsidRPr="005E758A">
        <w:rPr>
          <w:sz w:val="28"/>
          <w:szCs w:val="28"/>
        </w:rPr>
        <w:t>次修正案中加入了憲法第</w:t>
      </w:r>
      <w:r w:rsidRPr="005E758A">
        <w:rPr>
          <w:sz w:val="28"/>
          <w:szCs w:val="28"/>
        </w:rPr>
        <w:t>21A</w:t>
      </w:r>
      <w:r w:rsidRPr="005E758A">
        <w:rPr>
          <w:sz w:val="28"/>
          <w:szCs w:val="28"/>
        </w:rPr>
        <w:t>條，要求國家提供</w:t>
      </w:r>
      <w:r w:rsidRPr="005E758A">
        <w:rPr>
          <w:sz w:val="28"/>
          <w:szCs w:val="28"/>
        </w:rPr>
        <w:t>6</w:t>
      </w:r>
      <w:r w:rsidRPr="005E758A">
        <w:rPr>
          <w:sz w:val="28"/>
          <w:szCs w:val="28"/>
        </w:rPr>
        <w:t>歲至</w:t>
      </w:r>
      <w:r w:rsidRPr="005E758A">
        <w:rPr>
          <w:sz w:val="28"/>
          <w:szCs w:val="28"/>
        </w:rPr>
        <w:t>14</w:t>
      </w:r>
      <w:r w:rsidRPr="005E758A">
        <w:rPr>
          <w:sz w:val="28"/>
          <w:szCs w:val="28"/>
        </w:rPr>
        <w:t>歲的兒童免費義務教育，兒童接受免費義務教育權法</w:t>
      </w:r>
      <w:r w:rsidRPr="005E758A">
        <w:rPr>
          <w:sz w:val="28"/>
          <w:szCs w:val="28"/>
        </w:rPr>
        <w:t>(</w:t>
      </w:r>
      <w:r w:rsidRPr="005E758A">
        <w:rPr>
          <w:sz w:val="28"/>
        </w:rPr>
        <w:t>Right of Children to Free and Compulsory Education Act)</w:t>
      </w:r>
      <w:r w:rsidRPr="005E758A">
        <w:rPr>
          <w:sz w:val="28"/>
        </w:rPr>
        <w:t>於</w:t>
      </w:r>
      <w:r w:rsidRPr="005E758A">
        <w:rPr>
          <w:sz w:val="28"/>
        </w:rPr>
        <w:t>2009</w:t>
      </w:r>
      <w:r w:rsidRPr="005E758A">
        <w:rPr>
          <w:sz w:val="28"/>
        </w:rPr>
        <w:t>年通過，除提供上述年齡層之兒童免費義務教育外，保留了百分之</w:t>
      </w:r>
      <w:proofErr w:type="gramStart"/>
      <w:r w:rsidRPr="005E758A">
        <w:rPr>
          <w:sz w:val="28"/>
        </w:rPr>
        <w:t>25</w:t>
      </w:r>
      <w:proofErr w:type="gramEnd"/>
      <w:r w:rsidRPr="005E758A">
        <w:rPr>
          <w:sz w:val="28"/>
        </w:rPr>
        <w:t>的學生名額給弱勢家庭兒童，並要求學校需符合一定的建設及管制方面的條件。幾個私立學校共同提出違憲解釋申請，主張該法限制了印度憲法第</w:t>
      </w:r>
      <w:r w:rsidRPr="005E758A">
        <w:rPr>
          <w:sz w:val="28"/>
        </w:rPr>
        <w:t>19</w:t>
      </w:r>
      <w:r w:rsidRPr="005E758A">
        <w:rPr>
          <w:sz w:val="28"/>
        </w:rPr>
        <w:t>條第</w:t>
      </w:r>
      <w:r w:rsidRPr="005E758A">
        <w:rPr>
          <w:sz w:val="28"/>
        </w:rPr>
        <w:t>1</w:t>
      </w:r>
      <w:r w:rsidRPr="005E758A">
        <w:rPr>
          <w:sz w:val="28"/>
        </w:rPr>
        <w:t>項第</w:t>
      </w:r>
      <w:r w:rsidRPr="005E758A">
        <w:rPr>
          <w:sz w:val="28"/>
        </w:rPr>
        <w:t>g</w:t>
      </w:r>
      <w:r w:rsidRPr="005E758A">
        <w:rPr>
          <w:sz w:val="28"/>
        </w:rPr>
        <w:t>款的職業自由。</w:t>
      </w:r>
    </w:p>
    <w:p w14:paraId="5CC3B020" w14:textId="77777777" w:rsidR="007B19B8" w:rsidRPr="005E758A" w:rsidRDefault="007B19B8" w:rsidP="007B19B8">
      <w:pPr>
        <w:snapToGrid w:val="0"/>
        <w:spacing w:before="100" w:beforeAutospacing="1" w:after="100" w:afterAutospacing="1"/>
        <w:ind w:firstLineChars="200" w:firstLine="560"/>
        <w:jc w:val="both"/>
        <w:rPr>
          <w:sz w:val="28"/>
          <w:szCs w:val="28"/>
        </w:rPr>
      </w:pPr>
      <w:r w:rsidRPr="005E758A">
        <w:rPr>
          <w:sz w:val="28"/>
        </w:rPr>
        <w:t>法院認為，在憲法第</w:t>
      </w:r>
      <w:r w:rsidRPr="005E758A">
        <w:rPr>
          <w:sz w:val="28"/>
        </w:rPr>
        <w:t>21A</w:t>
      </w:r>
      <w:r w:rsidRPr="005E758A">
        <w:rPr>
          <w:sz w:val="28"/>
        </w:rPr>
        <w:t>條以及</w:t>
      </w:r>
      <w:r w:rsidRPr="005E758A">
        <w:rPr>
          <w:sz w:val="28"/>
        </w:rPr>
        <w:t>2009</w:t>
      </w:r>
      <w:r w:rsidRPr="005E758A">
        <w:rPr>
          <w:sz w:val="28"/>
        </w:rPr>
        <w:t>年之義務教育法下，國家的首要義務是提供</w:t>
      </w:r>
      <w:r w:rsidRPr="005E758A">
        <w:rPr>
          <w:sz w:val="28"/>
          <w:szCs w:val="28"/>
        </w:rPr>
        <w:t>6</w:t>
      </w:r>
      <w:r w:rsidRPr="005E758A">
        <w:rPr>
          <w:sz w:val="28"/>
          <w:szCs w:val="28"/>
        </w:rPr>
        <w:t>歲至</w:t>
      </w:r>
      <w:r w:rsidRPr="005E758A">
        <w:rPr>
          <w:sz w:val="28"/>
          <w:szCs w:val="28"/>
        </w:rPr>
        <w:t>14</w:t>
      </w:r>
      <w:r w:rsidRPr="005E758A">
        <w:rPr>
          <w:sz w:val="28"/>
          <w:szCs w:val="28"/>
        </w:rPr>
        <w:t>歲的兒童免費義務教育，尤其應確保無法負擔基礎教育之兒童享有受義務教育的權利。根據憲法</w:t>
      </w:r>
      <w:r w:rsidRPr="005E758A">
        <w:rPr>
          <w:sz w:val="28"/>
        </w:rPr>
        <w:t>第</w:t>
      </w:r>
      <w:r w:rsidRPr="005E758A">
        <w:rPr>
          <w:sz w:val="28"/>
        </w:rPr>
        <w:t>19</w:t>
      </w:r>
      <w:r w:rsidRPr="005E758A">
        <w:rPr>
          <w:sz w:val="28"/>
        </w:rPr>
        <w:t>條第</w:t>
      </w:r>
      <w:r w:rsidRPr="005E758A">
        <w:rPr>
          <w:sz w:val="28"/>
        </w:rPr>
        <w:t>1</w:t>
      </w:r>
      <w:r w:rsidRPr="005E758A">
        <w:rPr>
          <w:sz w:val="28"/>
        </w:rPr>
        <w:t>項第</w:t>
      </w:r>
      <w:r w:rsidRPr="005E758A">
        <w:rPr>
          <w:sz w:val="28"/>
        </w:rPr>
        <w:t>g</w:t>
      </w:r>
      <w:r w:rsidRPr="005E758A">
        <w:rPr>
          <w:sz w:val="28"/>
        </w:rPr>
        <w:t>款的，印度公民的確可以設立及經營學校，惟應保持慈善性質，國家也有權立法規範未受補助之私立學校的活動，本案涉及之保留名額等限制乃是為了公共利益所設，屬合憲的合理限制。法院於判</w:t>
      </w:r>
      <w:r w:rsidRPr="005E758A">
        <w:rPr>
          <w:sz w:val="28"/>
        </w:rPr>
        <w:lastRenderedPageBreak/>
        <w:t>決中引用數項包括兒童權利公約在內的國際人權公約，並表示國際公約能協助法院判斷國家及相關非國家行為者的權利義務。法院並直接引用兒童權利公約第</w:t>
      </w:r>
      <w:r w:rsidRPr="005E758A">
        <w:rPr>
          <w:sz w:val="28"/>
        </w:rPr>
        <w:t>4</w:t>
      </w:r>
      <w:r w:rsidRPr="005E758A">
        <w:rPr>
          <w:sz w:val="28"/>
        </w:rPr>
        <w:t>條，強調國家應採取所有適當的立法、行政及其他措施確保公約權利的實現，而兒童受教權乃是規範於第</w:t>
      </w:r>
      <w:r w:rsidRPr="005E758A">
        <w:rPr>
          <w:sz w:val="28"/>
        </w:rPr>
        <w:t>28</w:t>
      </w:r>
      <w:r w:rsidRPr="005E758A">
        <w:rPr>
          <w:sz w:val="28"/>
        </w:rPr>
        <w:t>條及第</w:t>
      </w:r>
      <w:r w:rsidRPr="005E758A">
        <w:rPr>
          <w:sz w:val="28"/>
        </w:rPr>
        <w:t>29</w:t>
      </w:r>
      <w:r w:rsidRPr="005E758A">
        <w:rPr>
          <w:sz w:val="28"/>
        </w:rPr>
        <w:t>條的兒童權利之</w:t>
      </w:r>
      <w:proofErr w:type="gramStart"/>
      <w:r w:rsidRPr="005E758A">
        <w:rPr>
          <w:sz w:val="28"/>
        </w:rPr>
        <w:t>一</w:t>
      </w:r>
      <w:proofErr w:type="gramEnd"/>
      <w:r w:rsidRPr="005E758A">
        <w:rPr>
          <w:sz w:val="28"/>
        </w:rPr>
        <w:t>。法院進一步指出，上開規定要求締約國尊重、保護及確保兒童權利的落實，國家除消極地不干預兒童的權利外，尚應積極地防止兒童的權利遭私人侵害，行使如經營學校之國家功能的非國家行為者亦應尊重及保護兒童的權利。國家為</w:t>
      </w:r>
      <w:r w:rsidRPr="005E758A">
        <w:rPr>
          <w:sz w:val="28"/>
          <w:szCs w:val="28"/>
        </w:rPr>
        <w:t>達成此目的所設立之規範不應被認為係對私人權利的侵擾。</w:t>
      </w:r>
    </w:p>
    <w:p w14:paraId="5A48B1C9" w14:textId="77777777" w:rsidR="007B19B8" w:rsidRPr="005E758A" w:rsidRDefault="007B19B8" w:rsidP="007B19B8">
      <w:pPr>
        <w:pStyle w:val="2"/>
      </w:pPr>
      <w:r w:rsidRPr="005E758A">
        <w:t>綜合分析</w:t>
      </w:r>
    </w:p>
    <w:p w14:paraId="31D95705" w14:textId="77777777" w:rsidR="007B19B8" w:rsidRPr="005E758A" w:rsidRDefault="007B19B8" w:rsidP="007B19B8">
      <w:pPr>
        <w:snapToGrid w:val="0"/>
        <w:spacing w:before="100" w:beforeAutospacing="1" w:after="100" w:afterAutospacing="1"/>
        <w:ind w:firstLineChars="200" w:firstLine="560"/>
        <w:jc w:val="both"/>
        <w:rPr>
          <w:sz w:val="28"/>
        </w:rPr>
      </w:pPr>
      <w:r w:rsidRPr="005E758A">
        <w:rPr>
          <w:sz w:val="28"/>
        </w:rPr>
        <w:t>本條雖未規範特定兒童權利，但解釋上應與公約四大原則相同，具有貫徹公約的性質，締約國在落實公約規範之權利時，</w:t>
      </w:r>
      <w:proofErr w:type="gramStart"/>
      <w:r w:rsidRPr="005E758A">
        <w:rPr>
          <w:sz w:val="28"/>
        </w:rPr>
        <w:t>均應考量</w:t>
      </w:r>
      <w:proofErr w:type="gramEnd"/>
      <w:r w:rsidRPr="005E758A">
        <w:rPr>
          <w:sz w:val="28"/>
        </w:rPr>
        <w:t>本條的規定，確保與採取</w:t>
      </w:r>
      <w:r w:rsidRPr="005E758A">
        <w:rPr>
          <w:kern w:val="0"/>
          <w:sz w:val="28"/>
          <w:szCs w:val="28"/>
        </w:rPr>
        <w:t>所有適當之立法、行政及其他措施。本條後段規定係針對社、經發展狀況並不成熟的開發中國家而設，除了給予「最大可用之資源」此種具相當解釋空間的寬容規定外，尚提醒這些國家可以透過國際組織或與其他國家合作的方式取得資源，以漸進的方式實現公約的規定。</w:t>
      </w:r>
    </w:p>
    <w:p w14:paraId="79EC1CFA" w14:textId="77777777" w:rsidR="007B19B8" w:rsidRPr="005E758A" w:rsidRDefault="007B19B8" w:rsidP="007B19B8">
      <w:pPr>
        <w:pStyle w:val="2"/>
      </w:pPr>
      <w:r w:rsidRPr="005E758A">
        <w:t>參考資料</w:t>
      </w:r>
    </w:p>
    <w:p w14:paraId="72208B91" w14:textId="77777777" w:rsidR="007B19B8" w:rsidRPr="005E758A" w:rsidRDefault="007B19B8" w:rsidP="008D5C1D">
      <w:pPr>
        <w:pStyle w:val="a0"/>
        <w:numPr>
          <w:ilvl w:val="0"/>
          <w:numId w:val="217"/>
        </w:numPr>
        <w:snapToGrid w:val="0"/>
        <w:ind w:leftChars="0"/>
        <w:jc w:val="both"/>
        <w:rPr>
          <w:rFonts w:ascii="Times New Roman" w:eastAsia="標楷體" w:hAnsi="Times New Roman"/>
          <w:sz w:val="28"/>
          <w:szCs w:val="28"/>
        </w:rPr>
      </w:pPr>
      <w:proofErr w:type="spellStart"/>
      <w:r w:rsidRPr="005E758A">
        <w:rPr>
          <w:rFonts w:ascii="Times New Roman" w:eastAsia="標楷體" w:hAnsi="Times New Roman"/>
          <w:smallCaps/>
          <w:sz w:val="28"/>
          <w:szCs w:val="28"/>
        </w:rPr>
        <w:t>Mervat</w:t>
      </w:r>
      <w:proofErr w:type="spellEnd"/>
      <w:r w:rsidRPr="005E758A">
        <w:rPr>
          <w:rFonts w:ascii="Times New Roman" w:eastAsia="標楷體" w:hAnsi="Times New Roman"/>
          <w:smallCaps/>
          <w:sz w:val="28"/>
          <w:szCs w:val="28"/>
        </w:rPr>
        <w:t xml:space="preserve"> </w:t>
      </w:r>
      <w:proofErr w:type="spellStart"/>
      <w:r w:rsidRPr="005E758A">
        <w:rPr>
          <w:rFonts w:ascii="Times New Roman" w:eastAsia="標楷體" w:hAnsi="Times New Roman"/>
          <w:smallCaps/>
          <w:sz w:val="28"/>
          <w:szCs w:val="28"/>
        </w:rPr>
        <w:t>Rishmawi</w:t>
      </w:r>
      <w:proofErr w:type="spellEnd"/>
      <w:r w:rsidRPr="005E758A">
        <w:rPr>
          <w:rFonts w:ascii="Times New Roman" w:eastAsia="標楷體" w:hAnsi="Times New Roman"/>
          <w:smallCaps/>
          <w:sz w:val="28"/>
          <w:szCs w:val="28"/>
        </w:rPr>
        <w:t xml:space="preserve">, A Commentary on the United Nations Convention on the Rights of the Child: Article 4. The Nature of States Parties’ Obligations </w:t>
      </w:r>
      <w:r w:rsidRPr="005E758A">
        <w:rPr>
          <w:rFonts w:ascii="Times New Roman" w:eastAsia="標楷體" w:hAnsi="Times New Roman"/>
          <w:sz w:val="28"/>
          <w:szCs w:val="28"/>
        </w:rPr>
        <w:t>(André Alen et al. eds., 2006).</w:t>
      </w:r>
    </w:p>
    <w:p w14:paraId="6597377A" w14:textId="77777777" w:rsidR="007B19B8" w:rsidRPr="005E758A" w:rsidRDefault="007B19B8" w:rsidP="008D5C1D">
      <w:pPr>
        <w:pStyle w:val="a0"/>
        <w:numPr>
          <w:ilvl w:val="0"/>
          <w:numId w:val="217"/>
        </w:numPr>
        <w:snapToGrid w:val="0"/>
        <w:ind w:leftChars="0"/>
        <w:jc w:val="both"/>
        <w:rPr>
          <w:rFonts w:ascii="Times New Roman" w:eastAsia="標楷體" w:hAnsi="Times New Roman"/>
          <w:sz w:val="28"/>
          <w:szCs w:val="28"/>
        </w:rPr>
      </w:pPr>
      <w:r w:rsidRPr="005E758A">
        <w:rPr>
          <w:rFonts w:ascii="Times New Roman" w:eastAsia="標楷體" w:hAnsi="Times New Roman"/>
          <w:sz w:val="28"/>
          <w:szCs w:val="28"/>
        </w:rPr>
        <w:t>兒童權利委員會，第</w:t>
      </w:r>
      <w:r w:rsidRPr="005E758A">
        <w:rPr>
          <w:rFonts w:ascii="Times New Roman" w:eastAsia="標楷體" w:hAnsi="Times New Roman"/>
          <w:sz w:val="28"/>
          <w:szCs w:val="28"/>
        </w:rPr>
        <w:t>5</w:t>
      </w:r>
      <w:r w:rsidRPr="005E758A">
        <w:rPr>
          <w:rFonts w:ascii="Times New Roman" w:eastAsia="標楷體" w:hAnsi="Times New Roman"/>
          <w:sz w:val="28"/>
          <w:szCs w:val="28"/>
        </w:rPr>
        <w:t>號一般性意見「執行兒童權利公約的一般措施」。</w:t>
      </w:r>
      <w:r w:rsidRPr="005E758A">
        <w:rPr>
          <w:rFonts w:ascii="Times New Roman" w:eastAsia="標楷體" w:hAnsi="Times New Roman"/>
          <w:sz w:val="28"/>
          <w:szCs w:val="28"/>
        </w:rPr>
        <w:t>(Committee on the Rights of the Child, General Comment No. 5: General Measures of Implementation of the Convention on the Rights of the Child (Arts. 4, 42 and 44, Para. 6), U.N. Doc. CRC/GC/2003/5 (Nov. 27, 2003).)</w:t>
      </w:r>
    </w:p>
    <w:p w14:paraId="7538429F" w14:textId="77777777" w:rsidR="007B19B8" w:rsidRPr="005E758A" w:rsidRDefault="007B19B8" w:rsidP="008D5C1D">
      <w:pPr>
        <w:pStyle w:val="a0"/>
        <w:numPr>
          <w:ilvl w:val="0"/>
          <w:numId w:val="217"/>
        </w:numPr>
        <w:snapToGrid w:val="0"/>
        <w:ind w:leftChars="0"/>
        <w:jc w:val="both"/>
        <w:rPr>
          <w:rFonts w:ascii="Times New Roman" w:eastAsia="標楷體" w:hAnsi="Times New Roman"/>
          <w:sz w:val="28"/>
          <w:szCs w:val="28"/>
        </w:rPr>
      </w:pPr>
      <w:r w:rsidRPr="005E758A">
        <w:rPr>
          <w:rFonts w:ascii="Times New Roman" w:eastAsia="標楷體" w:hAnsi="Times New Roman"/>
          <w:sz w:val="28"/>
          <w:szCs w:val="28"/>
        </w:rPr>
        <w:t>兒童權利委員會，第</w:t>
      </w:r>
      <w:r w:rsidRPr="005E758A">
        <w:rPr>
          <w:rFonts w:ascii="Times New Roman" w:eastAsia="標楷體" w:hAnsi="Times New Roman"/>
          <w:sz w:val="28"/>
          <w:szCs w:val="28"/>
        </w:rPr>
        <w:t>22</w:t>
      </w:r>
      <w:r w:rsidRPr="005E758A">
        <w:rPr>
          <w:rFonts w:ascii="Times New Roman" w:eastAsia="標楷體" w:hAnsi="Times New Roman"/>
          <w:sz w:val="28"/>
          <w:szCs w:val="28"/>
        </w:rPr>
        <w:t>屆會議報告。</w:t>
      </w:r>
      <w:r w:rsidRPr="005E758A">
        <w:rPr>
          <w:rFonts w:ascii="Times New Roman" w:eastAsia="標楷體" w:hAnsi="Times New Roman"/>
          <w:sz w:val="28"/>
          <w:szCs w:val="28"/>
        </w:rPr>
        <w:t>(Committee on the Rights of the Child, Report on the Twenty-Second Session, U.N. Doc. CRC/C/90 (Dec. 7, 1999).)</w:t>
      </w:r>
    </w:p>
    <w:p w14:paraId="0A60BEE8" w14:textId="77777777" w:rsidR="007B19B8" w:rsidRPr="005E758A" w:rsidRDefault="007B19B8" w:rsidP="008D5C1D">
      <w:pPr>
        <w:pStyle w:val="a0"/>
        <w:numPr>
          <w:ilvl w:val="0"/>
          <w:numId w:val="217"/>
        </w:numPr>
        <w:snapToGrid w:val="0"/>
        <w:ind w:leftChars="0"/>
        <w:jc w:val="both"/>
        <w:rPr>
          <w:rFonts w:ascii="Times New Roman" w:eastAsia="標楷體" w:hAnsi="Times New Roman"/>
          <w:sz w:val="28"/>
          <w:szCs w:val="28"/>
        </w:rPr>
      </w:pPr>
      <w:r w:rsidRPr="005E758A">
        <w:rPr>
          <w:rFonts w:ascii="Times New Roman" w:eastAsia="標楷體" w:hAnsi="Times New Roman"/>
          <w:sz w:val="28"/>
          <w:szCs w:val="28"/>
        </w:rPr>
        <w:t>兒童權利委員會，關於締約國根據兒童權利公約第</w:t>
      </w:r>
      <w:r w:rsidRPr="005E758A">
        <w:rPr>
          <w:rFonts w:ascii="Times New Roman" w:eastAsia="標楷體" w:hAnsi="Times New Roman"/>
          <w:sz w:val="28"/>
          <w:szCs w:val="28"/>
        </w:rPr>
        <w:t>44</w:t>
      </w:r>
      <w:r w:rsidRPr="005E758A">
        <w:rPr>
          <w:rFonts w:ascii="Times New Roman" w:eastAsia="標楷體" w:hAnsi="Times New Roman"/>
          <w:sz w:val="28"/>
          <w:szCs w:val="28"/>
        </w:rPr>
        <w:t>條第</w:t>
      </w:r>
      <w:r w:rsidRPr="005E758A">
        <w:rPr>
          <w:rFonts w:ascii="Times New Roman" w:eastAsia="標楷體" w:hAnsi="Times New Roman"/>
          <w:sz w:val="28"/>
          <w:szCs w:val="28"/>
        </w:rPr>
        <w:t>1</w:t>
      </w:r>
      <w:r w:rsidRPr="005E758A">
        <w:rPr>
          <w:rFonts w:ascii="Times New Roman" w:eastAsia="標楷體" w:hAnsi="Times New Roman"/>
          <w:sz w:val="28"/>
          <w:szCs w:val="28"/>
        </w:rPr>
        <w:t>款</w:t>
      </w:r>
      <w:r w:rsidRPr="005E758A">
        <w:rPr>
          <w:rFonts w:ascii="Times New Roman" w:eastAsia="標楷體" w:hAnsi="Times New Roman"/>
          <w:sz w:val="28"/>
          <w:szCs w:val="28"/>
        </w:rPr>
        <w:t>(a)</w:t>
      </w:r>
      <w:r w:rsidRPr="005E758A">
        <w:rPr>
          <w:rFonts w:ascii="Times New Roman" w:eastAsia="標楷體" w:hAnsi="Times New Roman"/>
          <w:sz w:val="28"/>
          <w:szCs w:val="28"/>
        </w:rPr>
        <w:t>項提交的首次報告的形式和內容的一般準則。</w:t>
      </w:r>
      <w:r w:rsidRPr="005E758A">
        <w:rPr>
          <w:rFonts w:ascii="Times New Roman" w:eastAsia="標楷體" w:hAnsi="Times New Roman"/>
          <w:sz w:val="28"/>
          <w:szCs w:val="28"/>
        </w:rPr>
        <w:t>(Committee on the Rights of the Child, General Guidelines Regarding the Form and Content of Initial Reports to Be Submitted by States Parties under Article 44, Paragraph 1(a), of the Convention, U.N. Doc. CRC/C/5 (Oct. 30, 1991).)</w:t>
      </w:r>
    </w:p>
    <w:p w14:paraId="3C88888C" w14:textId="77777777" w:rsidR="007B19B8" w:rsidRPr="005E758A" w:rsidRDefault="007B19B8" w:rsidP="008D5C1D">
      <w:pPr>
        <w:pStyle w:val="a0"/>
        <w:numPr>
          <w:ilvl w:val="0"/>
          <w:numId w:val="217"/>
        </w:numPr>
        <w:snapToGrid w:val="0"/>
        <w:ind w:leftChars="0"/>
        <w:jc w:val="both"/>
        <w:rPr>
          <w:rFonts w:ascii="Times New Roman" w:eastAsia="標楷體" w:hAnsi="Times New Roman"/>
          <w:sz w:val="28"/>
          <w:szCs w:val="28"/>
        </w:rPr>
      </w:pPr>
      <w:r w:rsidRPr="005E758A">
        <w:rPr>
          <w:rFonts w:ascii="Times New Roman" w:eastAsia="標楷體" w:hAnsi="Times New Roman"/>
          <w:sz w:val="28"/>
          <w:szCs w:val="28"/>
        </w:rPr>
        <w:t>兒童權利委員會，關於締約國根據兒童權利公約第</w:t>
      </w:r>
      <w:r w:rsidRPr="005E758A">
        <w:rPr>
          <w:rFonts w:ascii="Times New Roman" w:eastAsia="標楷體" w:hAnsi="Times New Roman"/>
          <w:sz w:val="28"/>
          <w:szCs w:val="28"/>
        </w:rPr>
        <w:t>44</w:t>
      </w:r>
      <w:r w:rsidRPr="005E758A">
        <w:rPr>
          <w:rFonts w:ascii="Times New Roman" w:eastAsia="標楷體" w:hAnsi="Times New Roman"/>
          <w:sz w:val="28"/>
          <w:szCs w:val="28"/>
        </w:rPr>
        <w:t>條第</w:t>
      </w:r>
      <w:r w:rsidRPr="005E758A">
        <w:rPr>
          <w:rFonts w:ascii="Times New Roman" w:eastAsia="標楷體" w:hAnsi="Times New Roman"/>
          <w:sz w:val="28"/>
          <w:szCs w:val="28"/>
        </w:rPr>
        <w:t>1</w:t>
      </w:r>
      <w:r w:rsidRPr="005E758A">
        <w:rPr>
          <w:rFonts w:ascii="Times New Roman" w:eastAsia="標楷體" w:hAnsi="Times New Roman"/>
          <w:sz w:val="28"/>
          <w:szCs w:val="28"/>
        </w:rPr>
        <w:t>款</w:t>
      </w:r>
      <w:r w:rsidRPr="005E758A">
        <w:rPr>
          <w:rFonts w:ascii="Times New Roman" w:eastAsia="標楷體" w:hAnsi="Times New Roman"/>
          <w:sz w:val="28"/>
          <w:szCs w:val="28"/>
        </w:rPr>
        <w:lastRenderedPageBreak/>
        <w:t>(b)</w:t>
      </w:r>
      <w:r w:rsidRPr="005E758A">
        <w:rPr>
          <w:rFonts w:ascii="Times New Roman" w:eastAsia="標楷體" w:hAnsi="Times New Roman"/>
          <w:sz w:val="28"/>
          <w:szCs w:val="28"/>
        </w:rPr>
        <w:t>項提交的定期報告的形式和內容的條約專要準則。</w:t>
      </w:r>
      <w:r w:rsidRPr="005E758A">
        <w:rPr>
          <w:rFonts w:ascii="Times New Roman" w:eastAsia="標楷體" w:hAnsi="Times New Roman"/>
          <w:sz w:val="28"/>
          <w:szCs w:val="28"/>
        </w:rPr>
        <w:t>(Committee on the Rights of the Child, Treaty-Specific Guidelines Regarding the Form and Content of Periodic Reports to Be Submitted by States Parties under Article 44, Paragraph 1 (b), of the Convention on the Rights of the Child, U.N. Doc. CRC/C/58/Rev.3 (Mar. 3, 2015).)</w:t>
      </w:r>
    </w:p>
    <w:p w14:paraId="5CEB3A86" w14:textId="77777777" w:rsidR="007B19B8" w:rsidRPr="005E758A" w:rsidRDefault="007B19B8" w:rsidP="007B19B8">
      <w:pPr>
        <w:snapToGrid w:val="0"/>
        <w:spacing w:before="100" w:beforeAutospacing="1" w:after="100" w:afterAutospacing="1"/>
        <w:jc w:val="both"/>
        <w:rPr>
          <w:sz w:val="28"/>
        </w:rPr>
      </w:pPr>
    </w:p>
    <w:p w14:paraId="47311473" w14:textId="77777777" w:rsidR="007B19B8" w:rsidRPr="005E758A" w:rsidRDefault="007B19B8" w:rsidP="007B19B8">
      <w:pPr>
        <w:snapToGrid w:val="0"/>
        <w:spacing w:before="100" w:beforeAutospacing="1" w:after="100" w:afterAutospacing="1"/>
        <w:jc w:val="both"/>
        <w:rPr>
          <w:sz w:val="28"/>
        </w:rPr>
        <w:sectPr w:rsidR="007B19B8" w:rsidRPr="005E758A" w:rsidSect="0096212B">
          <w:footerReference w:type="default" r:id="rId13"/>
          <w:footnotePr>
            <w:numRestart w:val="eachSect"/>
          </w:footnotePr>
          <w:endnotePr>
            <w:numFmt w:val="decimal"/>
            <w:numRestart w:val="eachSect"/>
          </w:endnotePr>
          <w:pgSz w:w="11906" w:h="16838"/>
          <w:pgMar w:top="1440" w:right="1797" w:bottom="1440" w:left="1797" w:header="851" w:footer="992" w:gutter="0"/>
          <w:cols w:space="425"/>
          <w:docGrid w:type="lines" w:linePitch="360"/>
        </w:sectPr>
      </w:pPr>
      <w:r w:rsidRPr="005E758A">
        <w:rPr>
          <w:sz w:val="28"/>
        </w:rPr>
        <w:t>關鍵詞：一般執行措施、最大可用資源、國際合作</w:t>
      </w:r>
    </w:p>
    <w:tbl>
      <w:tblPr>
        <w:tblpPr w:leftFromText="180" w:rightFromText="180" w:horzAnchor="margin" w:tblpXSpec="center" w:tblpY="765"/>
        <w:tblW w:w="82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8220"/>
      </w:tblGrid>
      <w:tr w:rsidR="007B19B8" w:rsidRPr="005E758A" w14:paraId="7A152D36" w14:textId="77777777" w:rsidTr="00A25E1F">
        <w:tc>
          <w:tcPr>
            <w:tcW w:w="8220" w:type="dxa"/>
          </w:tcPr>
          <w:p w14:paraId="40EA5D96" w14:textId="77777777" w:rsidR="007B19B8" w:rsidRPr="005E758A" w:rsidRDefault="007B19B8" w:rsidP="00A25E1F">
            <w:pPr>
              <w:snapToGrid w:val="0"/>
              <w:spacing w:before="100" w:beforeAutospacing="1" w:after="100" w:afterAutospacing="1"/>
              <w:jc w:val="both"/>
            </w:pPr>
            <w:r w:rsidRPr="005E758A">
              <w:rPr>
                <w:kern w:val="0"/>
                <w:sz w:val="28"/>
                <w:szCs w:val="28"/>
              </w:rPr>
              <w:lastRenderedPageBreak/>
              <w:t>締約國應尊重兒童之父母或於其他適用情形下，依地方習俗所規定之大家庭或社區成員、其法定監護人或其他對兒童負有法律責任者，以符合兒童各發展階段之能力的方式，提供適當指導與指引兒童行使本公約確認權利之責任、權利及義務。</w:t>
            </w:r>
          </w:p>
        </w:tc>
      </w:tr>
    </w:tbl>
    <w:p w14:paraId="19747C23" w14:textId="77777777" w:rsidR="00A25E1F" w:rsidRDefault="00A25E1F" w:rsidP="00A25E1F">
      <w:pPr>
        <w:pStyle w:val="1"/>
        <w:rPr>
          <w:sz w:val="28"/>
          <w:szCs w:val="28"/>
        </w:rPr>
      </w:pPr>
      <w:bookmarkStart w:id="15" w:name="_Toc431072721"/>
      <w:r w:rsidRPr="005E758A">
        <w:t>第</w:t>
      </w:r>
      <w:r w:rsidRPr="005E758A">
        <w:t>5</w:t>
      </w:r>
      <w:r w:rsidRPr="005E758A">
        <w:t>條</w:t>
      </w:r>
      <w:r w:rsidR="00764009">
        <w:rPr>
          <w:rFonts w:hint="eastAsia"/>
        </w:rPr>
        <w:t xml:space="preserve">　</w:t>
      </w:r>
      <w:r>
        <w:rPr>
          <w:rFonts w:hint="eastAsia"/>
        </w:rPr>
        <w:t>父母之引導</w:t>
      </w:r>
      <w:bookmarkEnd w:id="15"/>
    </w:p>
    <w:p w14:paraId="24CB0696" w14:textId="77777777" w:rsidR="00A25E1F" w:rsidRPr="00A25E1F" w:rsidRDefault="00A25E1F" w:rsidP="00A25E1F">
      <w:pPr>
        <w:snapToGrid w:val="0"/>
        <w:spacing w:before="100" w:beforeAutospacing="1" w:after="100" w:afterAutospacing="1"/>
        <w:jc w:val="both"/>
        <w:rPr>
          <w:sz w:val="28"/>
          <w:szCs w:val="28"/>
        </w:rPr>
      </w:pPr>
    </w:p>
    <w:p w14:paraId="1BC860FE" w14:textId="77777777" w:rsidR="007B19B8" w:rsidRPr="005E758A" w:rsidRDefault="007B19B8" w:rsidP="00F02A5C">
      <w:pPr>
        <w:pStyle w:val="2"/>
        <w:numPr>
          <w:ilvl w:val="0"/>
          <w:numId w:val="109"/>
        </w:numPr>
        <w:rPr>
          <w:szCs w:val="28"/>
        </w:rPr>
      </w:pPr>
      <w:r w:rsidRPr="005E758A">
        <w:rPr>
          <w:szCs w:val="28"/>
        </w:rPr>
        <w:t>規範宗旨</w:t>
      </w:r>
    </w:p>
    <w:p w14:paraId="713DA219" w14:textId="77777777" w:rsidR="007B19B8" w:rsidRPr="005E758A" w:rsidRDefault="007B19B8" w:rsidP="007B19B8">
      <w:pPr>
        <w:snapToGrid w:val="0"/>
        <w:spacing w:before="100" w:beforeAutospacing="1" w:after="100" w:afterAutospacing="1"/>
        <w:ind w:firstLineChars="200" w:firstLine="560"/>
        <w:jc w:val="both"/>
        <w:rPr>
          <w:sz w:val="28"/>
        </w:rPr>
      </w:pPr>
      <w:r w:rsidRPr="005E758A">
        <w:rPr>
          <w:sz w:val="28"/>
        </w:rPr>
        <w:t>本條一方面確認父母或其他對兒童負有法律責任者對兒童之指導責任、權利及義務；另一方面也要求締約國尊重上開責任、權利及義務。就前者而言，兒童，尤其在幼兒時期，非常需要生理上的滋養、情緒上的照顧以及細心的指引</w:t>
      </w:r>
      <w:bookmarkStart w:id="16" w:name="_Ref430705023"/>
      <w:r w:rsidRPr="005E758A">
        <w:rPr>
          <w:rStyle w:val="af3"/>
          <w:sz w:val="28"/>
        </w:rPr>
        <w:endnoteReference w:id="57"/>
      </w:r>
      <w:bookmarkEnd w:id="16"/>
      <w:r w:rsidRPr="005E758A">
        <w:rPr>
          <w:sz w:val="28"/>
        </w:rPr>
        <w:t>，父母或其他對兒童負有法律責任者雖屬兒童生活中的重要參與者，但不應該決定兒童的命運</w:t>
      </w:r>
      <w:bookmarkStart w:id="17" w:name="_Ref430704170"/>
      <w:r w:rsidRPr="005E758A">
        <w:rPr>
          <w:rStyle w:val="af3"/>
          <w:sz w:val="28"/>
        </w:rPr>
        <w:endnoteReference w:id="58"/>
      </w:r>
      <w:bookmarkEnd w:id="17"/>
      <w:r w:rsidRPr="005E758A">
        <w:rPr>
          <w:sz w:val="28"/>
        </w:rPr>
        <w:t>，而係應以符合其各發展階段的能力的方式，使兒童成長。</w:t>
      </w:r>
    </w:p>
    <w:p w14:paraId="64809144" w14:textId="77777777" w:rsidR="007B19B8" w:rsidRPr="005E758A" w:rsidRDefault="007B19B8" w:rsidP="007B19B8">
      <w:pPr>
        <w:pStyle w:val="2"/>
      </w:pPr>
      <w:r w:rsidRPr="005E758A">
        <w:t>條文要義</w:t>
      </w:r>
    </w:p>
    <w:p w14:paraId="3351C508" w14:textId="77777777" w:rsidR="007B19B8" w:rsidRPr="005E758A" w:rsidRDefault="007B19B8" w:rsidP="00F02A5C">
      <w:pPr>
        <w:pStyle w:val="3"/>
        <w:numPr>
          <w:ilvl w:val="0"/>
          <w:numId w:val="110"/>
        </w:numPr>
        <w:rPr>
          <w:kern w:val="0"/>
          <w:szCs w:val="28"/>
        </w:rPr>
      </w:pPr>
      <w:r w:rsidRPr="005E758A">
        <w:rPr>
          <w:kern w:val="0"/>
          <w:szCs w:val="28"/>
        </w:rPr>
        <w:t>「締約國應尊重兒童之父母或於其他適用情形下，依地方習俗所規定之大家庭或社區成員、其法定監護人或其他對兒童負有法律責任者</w:t>
      </w:r>
      <w:r w:rsidRPr="005E758A">
        <w:rPr>
          <w:kern w:val="0"/>
          <w:szCs w:val="28"/>
        </w:rPr>
        <w:t>…</w:t>
      </w:r>
      <w:r w:rsidRPr="005E758A">
        <w:rPr>
          <w:kern w:val="0"/>
          <w:szCs w:val="28"/>
        </w:rPr>
        <w:t>之責任、權利及義務」</w:t>
      </w:r>
    </w:p>
    <w:p w14:paraId="630089E3" w14:textId="77777777" w:rsidR="007B19B8" w:rsidRPr="005E758A" w:rsidRDefault="007B19B8" w:rsidP="007B19B8">
      <w:pPr>
        <w:snapToGrid w:val="0"/>
        <w:spacing w:before="100" w:beforeAutospacing="1" w:after="100" w:afterAutospacing="1"/>
        <w:ind w:firstLineChars="200" w:firstLine="560"/>
        <w:jc w:val="both"/>
        <w:rPr>
          <w:sz w:val="28"/>
        </w:rPr>
      </w:pPr>
      <w:r w:rsidRPr="005E758A">
        <w:rPr>
          <w:sz w:val="28"/>
        </w:rPr>
        <w:t>本條並未說明父母或其他對兒童負有法律責任者之責任、權利及義務為何，但由於這些責任、權利及義務與「</w:t>
      </w:r>
      <w:r w:rsidRPr="005E758A">
        <w:rPr>
          <w:kern w:val="0"/>
          <w:sz w:val="28"/>
          <w:szCs w:val="28"/>
        </w:rPr>
        <w:t>兒童行使本公約確認權利</w:t>
      </w:r>
      <w:r w:rsidRPr="005E758A">
        <w:rPr>
          <w:sz w:val="28"/>
        </w:rPr>
        <w:t>」相關，公約所有條文均可用來幫助瞭解其內容</w:t>
      </w:r>
      <w:bookmarkStart w:id="18" w:name="_Ref430704856"/>
      <w:r w:rsidRPr="005E758A">
        <w:rPr>
          <w:rStyle w:val="af3"/>
          <w:sz w:val="28"/>
          <w:szCs w:val="28"/>
        </w:rPr>
        <w:endnoteReference w:id="59"/>
      </w:r>
      <w:bookmarkEnd w:id="18"/>
      <w:r w:rsidRPr="005E758A">
        <w:rPr>
          <w:sz w:val="28"/>
        </w:rPr>
        <w:t>，兒童權利委員會亦曾強調「父母和其他主要養育人的關鍵作用」</w:t>
      </w:r>
      <w:r w:rsidRPr="005E758A">
        <w:rPr>
          <w:rStyle w:val="af3"/>
          <w:sz w:val="28"/>
        </w:rPr>
        <w:endnoteReference w:id="60"/>
      </w:r>
      <w:r w:rsidRPr="005E758A">
        <w:rPr>
          <w:sz w:val="28"/>
        </w:rPr>
        <w:t>。由於不同國家、種族、文化等因素影響下形成的家庭型態不同，兒童權利委員會認為家庭型態的不同對促進兒童福利是相符合的</w:t>
      </w:r>
      <w:r w:rsidRPr="005E758A">
        <w:rPr>
          <w:rStyle w:val="af3"/>
          <w:sz w:val="28"/>
        </w:rPr>
        <w:endnoteReference w:id="61"/>
      </w:r>
      <w:r w:rsidRPr="005E758A">
        <w:rPr>
          <w:sz w:val="28"/>
        </w:rPr>
        <w:t>，公約也承認在各地習俗下對兒童負有法律責任之人可能有不同類型，而締約國對於這些類型的人之責任、權利及</w:t>
      </w:r>
      <w:proofErr w:type="gramStart"/>
      <w:r w:rsidRPr="005E758A">
        <w:rPr>
          <w:sz w:val="28"/>
        </w:rPr>
        <w:t>義務均須予以</w:t>
      </w:r>
      <w:proofErr w:type="gramEnd"/>
      <w:r w:rsidRPr="005E758A">
        <w:rPr>
          <w:sz w:val="28"/>
        </w:rPr>
        <w:t>尊重。</w:t>
      </w:r>
    </w:p>
    <w:p w14:paraId="26B6BC55" w14:textId="77777777" w:rsidR="007B19B8" w:rsidRPr="005E758A" w:rsidRDefault="007B19B8" w:rsidP="007B19B8">
      <w:pPr>
        <w:pStyle w:val="3"/>
        <w:numPr>
          <w:ilvl w:val="0"/>
          <w:numId w:val="3"/>
        </w:numPr>
        <w:ind w:left="482" w:hanging="482"/>
      </w:pPr>
      <w:r w:rsidRPr="005E758A">
        <w:t>「</w:t>
      </w:r>
      <w:r w:rsidRPr="005E758A">
        <w:rPr>
          <w:kern w:val="0"/>
          <w:szCs w:val="28"/>
        </w:rPr>
        <w:t>以符合兒童各發展階段之能力的方式，提供適當指導與指引兒童行使本公約確認權利</w:t>
      </w:r>
      <w:r w:rsidRPr="005E758A">
        <w:t>」</w:t>
      </w:r>
    </w:p>
    <w:p w14:paraId="4B63CDD0" w14:textId="77777777" w:rsidR="007B19B8" w:rsidRPr="005E758A" w:rsidRDefault="007B19B8" w:rsidP="007B19B8">
      <w:pPr>
        <w:snapToGrid w:val="0"/>
        <w:spacing w:before="100" w:beforeAutospacing="1" w:after="100" w:afterAutospacing="1"/>
        <w:ind w:firstLineChars="200" w:firstLine="560"/>
        <w:jc w:val="both"/>
        <w:rPr>
          <w:sz w:val="28"/>
        </w:rPr>
      </w:pPr>
      <w:r w:rsidRPr="005E758A">
        <w:rPr>
          <w:sz w:val="28"/>
        </w:rPr>
        <w:t>由此處用語可以看出，本條將兒童定位為較積極之權利「行使者」</w:t>
      </w:r>
      <w:r w:rsidRPr="005E758A">
        <w:rPr>
          <w:rStyle w:val="af3"/>
          <w:sz w:val="28"/>
          <w:szCs w:val="28"/>
        </w:rPr>
        <w:endnoteReference w:id="62"/>
      </w:r>
      <w:r w:rsidRPr="005E758A">
        <w:rPr>
          <w:sz w:val="28"/>
        </w:rPr>
        <w:t>，而父母或其他對其有法律責任者在指導與指引兒童時，應以「符合兒童各發展階段之能力」的方式為之。兒童權利委員會曾指出「符合兒童各發展階段之能力」是兒童「逐步獲取知識、能力和認識」的基</w:t>
      </w:r>
      <w:r w:rsidRPr="005E758A">
        <w:rPr>
          <w:sz w:val="28"/>
        </w:rPr>
        <w:lastRenderedPageBreak/>
        <w:t>礎，「包括逐步瞭解其權利，以及知道如何以最佳方式實現這些權利的成熟和學習過程」，父母或其他對其有法律責任者應依各階段調整其指導與引導兒童的方式</w:t>
      </w:r>
      <w:r w:rsidRPr="005E758A">
        <w:rPr>
          <w:rStyle w:val="af3"/>
          <w:sz w:val="28"/>
        </w:rPr>
        <w:endnoteReference w:id="63"/>
      </w:r>
      <w:r w:rsidRPr="005E758A">
        <w:rPr>
          <w:sz w:val="28"/>
        </w:rPr>
        <w:t>。為此，締約國應該鼓勵父母或其他對兒童有法律責任者與兒童對話，聽取其意見並瞭解其需求</w:t>
      </w:r>
      <w:r w:rsidRPr="005E758A">
        <w:rPr>
          <w:rStyle w:val="af3"/>
          <w:sz w:val="28"/>
        </w:rPr>
        <w:endnoteReference w:id="64"/>
      </w:r>
      <w:r w:rsidRPr="005E758A">
        <w:rPr>
          <w:sz w:val="28"/>
        </w:rPr>
        <w:t>。</w:t>
      </w:r>
    </w:p>
    <w:p w14:paraId="4EDB8299" w14:textId="77777777" w:rsidR="007B19B8" w:rsidRPr="005E758A" w:rsidRDefault="007B19B8" w:rsidP="007B19B8">
      <w:pPr>
        <w:pStyle w:val="2"/>
      </w:pPr>
      <w:r w:rsidRPr="005E758A">
        <w:t>案例介紹</w:t>
      </w:r>
    </w:p>
    <w:p w14:paraId="562DFFD9" w14:textId="77777777" w:rsidR="007B19B8" w:rsidRPr="005E758A" w:rsidRDefault="007B19B8" w:rsidP="00F02A5C">
      <w:pPr>
        <w:pStyle w:val="3"/>
        <w:numPr>
          <w:ilvl w:val="0"/>
          <w:numId w:val="111"/>
        </w:numPr>
      </w:pPr>
      <w:r w:rsidRPr="005E758A">
        <w:t>2010</w:t>
      </w:r>
      <w:r w:rsidRPr="005E758A">
        <w:t>年捷克憲法法院兒童暫時安置案：</w:t>
      </w:r>
      <w:r w:rsidRPr="005E758A">
        <w:t xml:space="preserve">On the Issue of Interim Measures with Respect to the Care of Minors in Relation to the Rights of Parents, </w:t>
      </w:r>
      <w:proofErr w:type="gramStart"/>
      <w:r w:rsidRPr="005E758A">
        <w:t>Children</w:t>
      </w:r>
      <w:proofErr w:type="gramEnd"/>
      <w:r w:rsidRPr="005E758A">
        <w:t xml:space="preserve"> and the Issue of a Fair Trial</w:t>
      </w:r>
      <w:r w:rsidRPr="005E758A">
        <w:rPr>
          <w:rStyle w:val="af3"/>
        </w:rPr>
        <w:endnoteReference w:id="65"/>
      </w:r>
    </w:p>
    <w:p w14:paraId="3DBD009F" w14:textId="77777777" w:rsidR="007B19B8" w:rsidRPr="005E758A" w:rsidRDefault="007B19B8" w:rsidP="007B19B8">
      <w:pPr>
        <w:snapToGrid w:val="0"/>
        <w:spacing w:before="100" w:beforeAutospacing="1" w:after="100" w:afterAutospacing="1"/>
        <w:ind w:firstLineChars="200" w:firstLine="560"/>
        <w:jc w:val="both"/>
        <w:rPr>
          <w:sz w:val="28"/>
        </w:rPr>
      </w:pPr>
      <w:r w:rsidRPr="005E758A">
        <w:rPr>
          <w:sz w:val="28"/>
        </w:rPr>
        <w:t>一名女童在出生後不久即被強制安置於兒童照顧機構，法院認為其母親的生活環境不佳，不適合照顧及養育兒童，因此做出安置的決定。其母親針對此決定提出上訴，並要求回復其監護權，認為這項決定違反多項國際人權文件，包括兒童權利公約第</w:t>
      </w:r>
      <w:r w:rsidRPr="005E758A">
        <w:rPr>
          <w:sz w:val="28"/>
        </w:rPr>
        <w:t>2</w:t>
      </w:r>
      <w:r w:rsidRPr="005E758A">
        <w:rPr>
          <w:sz w:val="28"/>
        </w:rPr>
        <w:t>條、第</w:t>
      </w:r>
      <w:r w:rsidRPr="005E758A">
        <w:rPr>
          <w:sz w:val="28"/>
        </w:rPr>
        <w:t>5</w:t>
      </w:r>
      <w:r w:rsidRPr="005E758A">
        <w:rPr>
          <w:sz w:val="28"/>
        </w:rPr>
        <w:t>條和第</w:t>
      </w:r>
      <w:r w:rsidRPr="005E758A">
        <w:rPr>
          <w:sz w:val="28"/>
        </w:rPr>
        <w:t>7</w:t>
      </w:r>
      <w:r w:rsidRPr="005E758A">
        <w:rPr>
          <w:sz w:val="28"/>
        </w:rPr>
        <w:t>條至第</w:t>
      </w:r>
      <w:r w:rsidRPr="005E758A">
        <w:rPr>
          <w:sz w:val="28"/>
        </w:rPr>
        <w:t>9</w:t>
      </w:r>
      <w:r w:rsidRPr="005E758A">
        <w:rPr>
          <w:sz w:val="28"/>
        </w:rPr>
        <w:t>條，且持續使其與女兒分離亦違反許多公約條文。</w:t>
      </w:r>
    </w:p>
    <w:p w14:paraId="16CDB6F8" w14:textId="77777777" w:rsidR="007B19B8" w:rsidRPr="005E758A" w:rsidRDefault="007B19B8" w:rsidP="007B19B8">
      <w:pPr>
        <w:snapToGrid w:val="0"/>
        <w:spacing w:before="100" w:beforeAutospacing="1" w:after="100" w:afterAutospacing="1"/>
        <w:ind w:firstLineChars="200" w:firstLine="560"/>
        <w:jc w:val="both"/>
        <w:rPr>
          <w:sz w:val="28"/>
        </w:rPr>
      </w:pPr>
      <w:r w:rsidRPr="005E758A">
        <w:rPr>
          <w:sz w:val="28"/>
        </w:rPr>
        <w:t>憲法法院認為母親與兒童的關係對兒童的成長發展而言相當重要，因此應給予兒童的父母機會證明其有能力照顧兒童，其後國家才可以在有必要時干預。本案中女童出生後不久即與母親分離，未提供</w:t>
      </w:r>
      <w:r w:rsidRPr="005E758A">
        <w:rPr>
          <w:sz w:val="28"/>
          <w:szCs w:val="28"/>
        </w:rPr>
        <w:t>母親機會盡其照顧義務，因此，上開將女童帶離家庭並安置於照顧機構的決</w:t>
      </w:r>
      <w:r w:rsidRPr="005E758A">
        <w:rPr>
          <w:sz w:val="28"/>
        </w:rPr>
        <w:t>定違憲、無法律基礎，且違反兒童權利公約第</w:t>
      </w:r>
      <w:r w:rsidRPr="005E758A">
        <w:rPr>
          <w:sz w:val="28"/>
        </w:rPr>
        <w:t>2</w:t>
      </w:r>
      <w:r w:rsidRPr="005E758A">
        <w:rPr>
          <w:sz w:val="28"/>
        </w:rPr>
        <w:t>條、第</w:t>
      </w:r>
      <w:r w:rsidRPr="005E758A">
        <w:rPr>
          <w:sz w:val="28"/>
        </w:rPr>
        <w:t>5</w:t>
      </w:r>
      <w:r w:rsidRPr="005E758A">
        <w:rPr>
          <w:sz w:val="28"/>
        </w:rPr>
        <w:t>條和第</w:t>
      </w:r>
      <w:r w:rsidRPr="005E758A">
        <w:rPr>
          <w:sz w:val="28"/>
        </w:rPr>
        <w:t>7</w:t>
      </w:r>
      <w:r w:rsidRPr="005E758A">
        <w:rPr>
          <w:sz w:val="28"/>
        </w:rPr>
        <w:t>條至第</w:t>
      </w:r>
      <w:r w:rsidRPr="005E758A">
        <w:rPr>
          <w:sz w:val="28"/>
        </w:rPr>
        <w:t>9</w:t>
      </w:r>
      <w:r w:rsidRPr="005E758A">
        <w:rPr>
          <w:sz w:val="28"/>
        </w:rPr>
        <w:t>條之規定。</w:t>
      </w:r>
    </w:p>
    <w:p w14:paraId="6CF10E73" w14:textId="77777777" w:rsidR="007B19B8" w:rsidRPr="005E758A" w:rsidRDefault="007B19B8" w:rsidP="007B19B8">
      <w:pPr>
        <w:pStyle w:val="3"/>
        <w:numPr>
          <w:ilvl w:val="0"/>
          <w:numId w:val="8"/>
        </w:numPr>
      </w:pPr>
      <w:r w:rsidRPr="005E758A">
        <w:t>2004</w:t>
      </w:r>
      <w:r w:rsidRPr="005E758A">
        <w:t>年宏都拉斯最高法院兒童監護權案：</w:t>
      </w:r>
      <w:proofErr w:type="spellStart"/>
      <w:r w:rsidRPr="005E758A">
        <w:t>Izaguiree</w:t>
      </w:r>
      <w:proofErr w:type="spellEnd"/>
      <w:r w:rsidRPr="005E758A">
        <w:t xml:space="preserve"> Bertrand vs. </w:t>
      </w:r>
      <w:proofErr w:type="spellStart"/>
      <w:r w:rsidRPr="005E758A">
        <w:t>Barcenas</w:t>
      </w:r>
      <w:proofErr w:type="spellEnd"/>
      <w:r w:rsidRPr="005E758A">
        <w:t xml:space="preserve"> Ulloa</w:t>
      </w:r>
      <w:r w:rsidRPr="005E758A">
        <w:rPr>
          <w:rStyle w:val="af3"/>
        </w:rPr>
        <w:endnoteReference w:id="66"/>
      </w:r>
    </w:p>
    <w:p w14:paraId="76C4411E" w14:textId="77777777" w:rsidR="007B19B8" w:rsidRPr="005E758A" w:rsidRDefault="007B19B8" w:rsidP="007B19B8">
      <w:pPr>
        <w:snapToGrid w:val="0"/>
        <w:spacing w:before="100" w:beforeAutospacing="1" w:after="100" w:afterAutospacing="1"/>
        <w:ind w:firstLineChars="200" w:firstLine="560"/>
        <w:jc w:val="both"/>
        <w:rPr>
          <w:sz w:val="28"/>
        </w:rPr>
      </w:pPr>
      <w:r w:rsidRPr="005E758A">
        <w:rPr>
          <w:sz w:val="28"/>
        </w:rPr>
        <w:t>本案涉及兩名兒童的監護權爭議。第一審法院將監護權判給兩名兒童的母親，而父親僅暫時享有有限的探視權。該名父親針對此項法院判決上訴，認為法院越權並嚴重限制其與兩名兒童接觸的機會。</w:t>
      </w:r>
    </w:p>
    <w:p w14:paraId="6203191A" w14:textId="77777777" w:rsidR="007B19B8" w:rsidRPr="005E758A" w:rsidRDefault="007B19B8" w:rsidP="007B19B8">
      <w:pPr>
        <w:snapToGrid w:val="0"/>
        <w:spacing w:before="100" w:beforeAutospacing="1" w:after="100" w:afterAutospacing="1"/>
        <w:ind w:firstLineChars="200" w:firstLine="560"/>
        <w:jc w:val="both"/>
        <w:rPr>
          <w:sz w:val="28"/>
        </w:rPr>
      </w:pPr>
      <w:r w:rsidRPr="005E758A">
        <w:rPr>
          <w:sz w:val="28"/>
        </w:rPr>
        <w:t>最高法院認為，根據宏國親屬法第</w:t>
      </w:r>
      <w:r w:rsidRPr="005E758A">
        <w:rPr>
          <w:sz w:val="28"/>
        </w:rPr>
        <w:t>194</w:t>
      </w:r>
      <w:r w:rsidRPr="005E758A">
        <w:rPr>
          <w:sz w:val="28"/>
        </w:rPr>
        <w:t>條至第</w:t>
      </w:r>
      <w:r w:rsidRPr="005E758A">
        <w:rPr>
          <w:sz w:val="28"/>
        </w:rPr>
        <w:t>196</w:t>
      </w:r>
      <w:r w:rsidRPr="005E758A">
        <w:rPr>
          <w:sz w:val="28"/>
        </w:rPr>
        <w:t>條，家事法院可限制父母與兒童的接觸機會，尤其在接觸可能對兒童有害的情況下更應為之限制，這樣的限制確保了兒童的保護和照顧，符合兒童權利公約第</w:t>
      </w:r>
      <w:r w:rsidRPr="005E758A">
        <w:rPr>
          <w:sz w:val="28"/>
        </w:rPr>
        <w:t>3</w:t>
      </w:r>
      <w:r w:rsidRPr="005E758A">
        <w:rPr>
          <w:sz w:val="28"/>
        </w:rPr>
        <w:t>條之兒童最佳利益原則；並且也反映了政府在考量父母親指導及指引之權利下，採取依據</w:t>
      </w:r>
      <w:r w:rsidRPr="005E758A">
        <w:rPr>
          <w:kern w:val="0"/>
          <w:sz w:val="28"/>
          <w:szCs w:val="28"/>
        </w:rPr>
        <w:t>兒童各發展階段之能力</w:t>
      </w:r>
      <w:r w:rsidRPr="005E758A">
        <w:rPr>
          <w:sz w:val="28"/>
        </w:rPr>
        <w:t>有效落實兒童權利的措施，符合公約第</w:t>
      </w:r>
      <w:r w:rsidRPr="005E758A">
        <w:rPr>
          <w:sz w:val="28"/>
        </w:rPr>
        <w:t>4</w:t>
      </w:r>
      <w:r w:rsidRPr="005E758A">
        <w:rPr>
          <w:sz w:val="28"/>
        </w:rPr>
        <w:t>條及第</w:t>
      </w:r>
      <w:r w:rsidRPr="005E758A">
        <w:rPr>
          <w:sz w:val="28"/>
        </w:rPr>
        <w:t>5</w:t>
      </w:r>
      <w:r w:rsidRPr="005E758A">
        <w:rPr>
          <w:sz w:val="28"/>
        </w:rPr>
        <w:t>條之規定。法院認為該名父親與其兩名子女的接觸不符合兒童最佳利益，因此駁回了該名父親的上訴，並維持前審法院之判決。</w:t>
      </w:r>
    </w:p>
    <w:p w14:paraId="2BE6E85E" w14:textId="77777777" w:rsidR="007B19B8" w:rsidRPr="005E758A" w:rsidRDefault="007B19B8" w:rsidP="007B19B8">
      <w:pPr>
        <w:pStyle w:val="2"/>
      </w:pPr>
      <w:r w:rsidRPr="005E758A">
        <w:lastRenderedPageBreak/>
        <w:t>綜合分析</w:t>
      </w:r>
    </w:p>
    <w:p w14:paraId="546D2388" w14:textId="77777777" w:rsidR="007B19B8" w:rsidRPr="005E758A" w:rsidRDefault="007B19B8" w:rsidP="007B19B8">
      <w:pPr>
        <w:snapToGrid w:val="0"/>
        <w:spacing w:before="100" w:beforeAutospacing="1" w:after="100" w:afterAutospacing="1"/>
        <w:ind w:firstLineChars="200" w:firstLine="560"/>
        <w:jc w:val="both"/>
        <w:rPr>
          <w:sz w:val="28"/>
        </w:rPr>
      </w:pPr>
      <w:proofErr w:type="gramStart"/>
      <w:r w:rsidRPr="005E758A">
        <w:rPr>
          <w:sz w:val="28"/>
        </w:rPr>
        <w:t>本條肯認</w:t>
      </w:r>
      <w:proofErr w:type="gramEnd"/>
      <w:r w:rsidRPr="005E758A">
        <w:rPr>
          <w:sz w:val="28"/>
        </w:rPr>
        <w:t>父母或其他對兒童負有法律責任者之責任、權利及義務。另外，公約第</w:t>
      </w:r>
      <w:r w:rsidRPr="005E758A">
        <w:rPr>
          <w:sz w:val="28"/>
        </w:rPr>
        <w:t>18</w:t>
      </w:r>
      <w:r w:rsidRPr="005E758A">
        <w:rPr>
          <w:sz w:val="28"/>
        </w:rPr>
        <w:t>條規定父母對子女養育發展的主要責任，解讀本條時宜一併參照。值得注意的是，傳統上由於國際條約由國家締結，條約中較少規範非國家行為者，但隨著全球化帶來的改變以及非國家行為者數量及其重要性的增加，非國家行為者不再是國際法不得規範的對象。就兒童權利及尊嚴的維護而言，國際社會的成員似已無理由反對兒童權利公約對父母或其他對兒童負有法律責任者課予國際法義務。此亦可謂係本條之特色。</w:t>
      </w:r>
      <w:r w:rsidRPr="005E758A">
        <w:rPr>
          <w:rStyle w:val="af3"/>
        </w:rPr>
        <w:endnoteReference w:id="67"/>
      </w:r>
    </w:p>
    <w:p w14:paraId="79F8F9E2" w14:textId="77777777" w:rsidR="007B19B8" w:rsidRPr="005E758A" w:rsidRDefault="007B19B8" w:rsidP="007B19B8">
      <w:pPr>
        <w:pStyle w:val="2"/>
      </w:pPr>
      <w:r w:rsidRPr="005E758A">
        <w:t>參考資料</w:t>
      </w:r>
    </w:p>
    <w:p w14:paraId="5F975F5E" w14:textId="77777777" w:rsidR="007B19B8" w:rsidRPr="005E758A" w:rsidRDefault="00DE4E74" w:rsidP="00F02A5C">
      <w:pPr>
        <w:pStyle w:val="a0"/>
        <w:numPr>
          <w:ilvl w:val="0"/>
          <w:numId w:val="107"/>
        </w:numPr>
        <w:snapToGrid w:val="0"/>
        <w:ind w:leftChars="0"/>
        <w:jc w:val="both"/>
        <w:rPr>
          <w:rFonts w:ascii="Times New Roman" w:hAnsi="Times New Roman"/>
        </w:rPr>
      </w:pPr>
      <w:r w:rsidRPr="005E758A">
        <w:rPr>
          <w:rFonts w:ascii="Times New Roman" w:eastAsia="標楷體" w:hAnsi="Times New Roman"/>
          <w:smallCaps/>
          <w:sz w:val="28"/>
          <w:szCs w:val="28"/>
        </w:rPr>
        <w:t xml:space="preserve">Garton </w:t>
      </w:r>
      <w:proofErr w:type="spellStart"/>
      <w:r w:rsidRPr="005E758A">
        <w:rPr>
          <w:rFonts w:ascii="Times New Roman" w:eastAsia="標楷體" w:hAnsi="Times New Roman"/>
          <w:smallCaps/>
          <w:sz w:val="28"/>
          <w:szCs w:val="28"/>
        </w:rPr>
        <w:t>Kamchedzera</w:t>
      </w:r>
      <w:proofErr w:type="spellEnd"/>
      <w:r w:rsidR="007B19B8" w:rsidRPr="005E758A">
        <w:rPr>
          <w:rFonts w:ascii="Times New Roman" w:eastAsia="標楷體" w:hAnsi="Times New Roman"/>
          <w:smallCaps/>
          <w:sz w:val="28"/>
          <w:szCs w:val="28"/>
        </w:rPr>
        <w:t>, A Commentary on the United Nations Convention on the Rights of the Child: Article 5. The Child</w:t>
      </w:r>
      <w:r w:rsidRPr="005E758A">
        <w:rPr>
          <w:rFonts w:ascii="Times New Roman" w:eastAsia="標楷體" w:hAnsi="Times New Roman"/>
          <w:smallCaps/>
          <w:sz w:val="28"/>
          <w:szCs w:val="28"/>
        </w:rPr>
        <w:t>’</w:t>
      </w:r>
      <w:r w:rsidR="007B19B8" w:rsidRPr="005E758A">
        <w:rPr>
          <w:rFonts w:ascii="Times New Roman" w:eastAsia="標楷體" w:hAnsi="Times New Roman"/>
          <w:smallCaps/>
          <w:sz w:val="28"/>
          <w:szCs w:val="28"/>
        </w:rPr>
        <w:t xml:space="preserve">s Right to </w:t>
      </w:r>
      <w:proofErr w:type="spellStart"/>
      <w:r w:rsidR="007B19B8" w:rsidRPr="005E758A">
        <w:rPr>
          <w:rFonts w:ascii="Times New Roman" w:eastAsia="標楷體" w:hAnsi="Times New Roman"/>
          <w:smallCaps/>
          <w:sz w:val="28"/>
          <w:szCs w:val="28"/>
        </w:rPr>
        <w:t>Appropridate</w:t>
      </w:r>
      <w:proofErr w:type="spellEnd"/>
      <w:r w:rsidR="007B19B8" w:rsidRPr="005E758A">
        <w:rPr>
          <w:rFonts w:ascii="Times New Roman" w:eastAsia="標楷體" w:hAnsi="Times New Roman"/>
          <w:smallCaps/>
          <w:sz w:val="28"/>
          <w:szCs w:val="28"/>
        </w:rPr>
        <w:t xml:space="preserve"> Direction and Guidance </w:t>
      </w:r>
      <w:r w:rsidR="007B19B8" w:rsidRPr="005E758A">
        <w:rPr>
          <w:rFonts w:ascii="Times New Roman" w:eastAsia="標楷體" w:hAnsi="Times New Roman"/>
          <w:sz w:val="28"/>
          <w:szCs w:val="28"/>
        </w:rPr>
        <w:t>(André Alen et al. eds., 2012).</w:t>
      </w:r>
    </w:p>
    <w:p w14:paraId="4D327430" w14:textId="77777777" w:rsidR="007B19B8" w:rsidRPr="005E758A" w:rsidRDefault="007B19B8" w:rsidP="00F02A5C">
      <w:pPr>
        <w:pStyle w:val="a0"/>
        <w:numPr>
          <w:ilvl w:val="0"/>
          <w:numId w:val="107"/>
        </w:numPr>
        <w:snapToGrid w:val="0"/>
        <w:ind w:leftChars="0"/>
        <w:jc w:val="both"/>
        <w:rPr>
          <w:rFonts w:ascii="Times New Roman" w:hAnsi="Times New Roman"/>
        </w:rPr>
      </w:pPr>
      <w:r w:rsidRPr="005E758A">
        <w:rPr>
          <w:rFonts w:ascii="Times New Roman" w:hAnsi="Times New Roman"/>
          <w:smallCaps/>
          <w:sz w:val="28"/>
          <w:szCs w:val="28"/>
        </w:rPr>
        <w:t xml:space="preserve">UNICEF, Implementation Handbook for the Convention on the Rights of the Child </w:t>
      </w:r>
      <w:r w:rsidRPr="005E758A">
        <w:rPr>
          <w:rFonts w:ascii="Times New Roman" w:hAnsi="Times New Roman"/>
          <w:sz w:val="28"/>
          <w:szCs w:val="28"/>
        </w:rPr>
        <w:t>(3d. 2007).</w:t>
      </w:r>
    </w:p>
    <w:p w14:paraId="23A02384" w14:textId="77777777" w:rsidR="007B19B8" w:rsidRPr="005E758A" w:rsidRDefault="007B19B8" w:rsidP="00F02A5C">
      <w:pPr>
        <w:pStyle w:val="a0"/>
        <w:numPr>
          <w:ilvl w:val="0"/>
          <w:numId w:val="107"/>
        </w:numPr>
        <w:snapToGrid w:val="0"/>
        <w:ind w:leftChars="0"/>
        <w:jc w:val="both"/>
        <w:rPr>
          <w:rFonts w:ascii="Times New Roman" w:hAnsi="Times New Roman"/>
        </w:rPr>
      </w:pPr>
      <w:r w:rsidRPr="005E758A">
        <w:rPr>
          <w:rFonts w:ascii="Times New Roman" w:eastAsia="標楷體" w:hAnsi="Times New Roman"/>
          <w:sz w:val="28"/>
          <w:szCs w:val="28"/>
        </w:rPr>
        <w:t>兒童權利委員會，第</w:t>
      </w:r>
      <w:r w:rsidRPr="005E758A">
        <w:rPr>
          <w:rFonts w:ascii="Times New Roman" w:eastAsia="標楷體" w:hAnsi="Times New Roman"/>
          <w:sz w:val="28"/>
          <w:szCs w:val="28"/>
        </w:rPr>
        <w:t>7</w:t>
      </w:r>
      <w:r w:rsidRPr="005E758A">
        <w:rPr>
          <w:rFonts w:ascii="Times New Roman" w:eastAsia="標楷體" w:hAnsi="Times New Roman"/>
          <w:sz w:val="28"/>
          <w:szCs w:val="28"/>
        </w:rPr>
        <w:t>號一般性意見「在幼兒期落實兒童權利」。</w:t>
      </w:r>
      <w:r w:rsidRPr="005E758A">
        <w:rPr>
          <w:rFonts w:ascii="Times New Roman" w:eastAsia="標楷體" w:hAnsi="Times New Roman"/>
          <w:sz w:val="28"/>
          <w:szCs w:val="28"/>
        </w:rPr>
        <w:t>(Committee on the Rights of the Child, General Comment No. 7: Implementing Child Rights in Early Childhood, U.N. Doc. CRC/C/GC/7/Rev.1 (Sept. 20, 2006).)</w:t>
      </w:r>
    </w:p>
    <w:p w14:paraId="517F3CC5" w14:textId="77777777" w:rsidR="007B19B8" w:rsidRPr="005E758A" w:rsidRDefault="007B19B8" w:rsidP="007B19B8"/>
    <w:p w14:paraId="194B25CA" w14:textId="77777777" w:rsidR="007B19B8" w:rsidRPr="005E758A" w:rsidRDefault="007B19B8" w:rsidP="007B19B8">
      <w:pPr>
        <w:snapToGrid w:val="0"/>
        <w:spacing w:before="100" w:beforeAutospacing="1" w:after="100" w:afterAutospacing="1"/>
        <w:jc w:val="both"/>
      </w:pPr>
      <w:r w:rsidRPr="005E758A">
        <w:rPr>
          <w:sz w:val="28"/>
        </w:rPr>
        <w:t>關鍵詞：父母指導責任、地方習俗、兒童各發展階段之能力</w:t>
      </w:r>
    </w:p>
    <w:p w14:paraId="72F57026" w14:textId="77777777" w:rsidR="007B19B8" w:rsidRPr="005E758A" w:rsidRDefault="007B19B8" w:rsidP="00745DE3">
      <w:pPr>
        <w:pStyle w:val="1"/>
        <w:sectPr w:rsidR="007B19B8" w:rsidRPr="005E758A" w:rsidSect="00135FC9">
          <w:footnotePr>
            <w:numRestart w:val="eachSect"/>
          </w:footnotePr>
          <w:endnotePr>
            <w:numFmt w:val="decimal"/>
            <w:numRestart w:val="eachSect"/>
          </w:endnotePr>
          <w:pgSz w:w="11906" w:h="16838"/>
          <w:pgMar w:top="1440" w:right="1797" w:bottom="1440" w:left="1797" w:header="851" w:footer="992" w:gutter="0"/>
          <w:cols w:space="425"/>
          <w:docGrid w:linePitch="360"/>
        </w:sectPr>
      </w:pPr>
    </w:p>
    <w:tbl>
      <w:tblPr>
        <w:tblpPr w:leftFromText="180" w:rightFromText="180" w:horzAnchor="margin" w:tblpXSpec="center" w:tblpY="885"/>
        <w:tblW w:w="82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20"/>
      </w:tblGrid>
      <w:tr w:rsidR="007C1E25" w:rsidRPr="005E758A" w14:paraId="75103DAB" w14:textId="77777777" w:rsidTr="00764009">
        <w:tc>
          <w:tcPr>
            <w:tcW w:w="8220" w:type="dxa"/>
            <w:shd w:val="clear" w:color="auto" w:fill="auto"/>
          </w:tcPr>
          <w:p w14:paraId="4CDC63BB" w14:textId="77777777" w:rsidR="007C1E25" w:rsidRPr="005E758A" w:rsidRDefault="007C1E25" w:rsidP="00764009">
            <w:pPr>
              <w:pStyle w:val="a0"/>
              <w:numPr>
                <w:ilvl w:val="0"/>
                <w:numId w:val="37"/>
              </w:numPr>
              <w:snapToGrid w:val="0"/>
              <w:spacing w:before="100" w:beforeAutospacing="1" w:after="100" w:afterAutospacing="1"/>
              <w:ind w:leftChars="0"/>
              <w:jc w:val="both"/>
              <w:rPr>
                <w:rFonts w:ascii="Times New Roman" w:eastAsia="標楷體" w:hAnsi="Times New Roman"/>
                <w:sz w:val="28"/>
                <w:szCs w:val="28"/>
              </w:rPr>
            </w:pPr>
            <w:r w:rsidRPr="005E758A">
              <w:rPr>
                <w:rFonts w:ascii="Times New Roman" w:eastAsia="標楷體" w:hAnsi="Times New Roman"/>
                <w:sz w:val="28"/>
                <w:szCs w:val="28"/>
              </w:rPr>
              <w:lastRenderedPageBreak/>
              <w:t>締約國承認兒童有與生俱來之生命權。</w:t>
            </w:r>
          </w:p>
          <w:p w14:paraId="3DEAD593" w14:textId="77777777" w:rsidR="007C1E25" w:rsidRPr="005E758A" w:rsidRDefault="007C1E25" w:rsidP="00764009">
            <w:pPr>
              <w:pStyle w:val="a0"/>
              <w:numPr>
                <w:ilvl w:val="0"/>
                <w:numId w:val="37"/>
              </w:numPr>
              <w:snapToGrid w:val="0"/>
              <w:spacing w:before="100" w:beforeAutospacing="1" w:after="100" w:afterAutospacing="1"/>
              <w:ind w:leftChars="0"/>
              <w:jc w:val="both"/>
              <w:rPr>
                <w:rFonts w:ascii="Times New Roman" w:eastAsia="標楷體" w:hAnsi="Times New Roman"/>
              </w:rPr>
            </w:pPr>
            <w:r w:rsidRPr="005E758A">
              <w:rPr>
                <w:rFonts w:ascii="Times New Roman" w:eastAsia="標楷體" w:hAnsi="Times New Roman"/>
                <w:sz w:val="28"/>
                <w:szCs w:val="28"/>
              </w:rPr>
              <w:t>締約國應盡最大可能確保兒童之生存及發展。</w:t>
            </w:r>
          </w:p>
        </w:tc>
      </w:tr>
    </w:tbl>
    <w:p w14:paraId="0B1ABE16" w14:textId="77777777" w:rsidR="00764009" w:rsidRDefault="00764009" w:rsidP="00764009">
      <w:pPr>
        <w:pStyle w:val="1"/>
        <w:rPr>
          <w:sz w:val="28"/>
        </w:rPr>
      </w:pPr>
      <w:bookmarkStart w:id="19" w:name="_Toc431072722"/>
      <w:r w:rsidRPr="005E758A">
        <w:t>第</w:t>
      </w:r>
      <w:r w:rsidRPr="005E758A">
        <w:t>6</w:t>
      </w:r>
      <w:r w:rsidRPr="005E758A">
        <w:t>條</w:t>
      </w:r>
      <w:r>
        <w:rPr>
          <w:rFonts w:hint="eastAsia"/>
        </w:rPr>
        <w:t xml:space="preserve">　</w:t>
      </w:r>
      <w:r w:rsidRPr="00764009">
        <w:rPr>
          <w:rFonts w:hint="eastAsia"/>
        </w:rPr>
        <w:t>生存及發展權</w:t>
      </w:r>
      <w:bookmarkEnd w:id="19"/>
    </w:p>
    <w:p w14:paraId="1BFB1A4D" w14:textId="77777777" w:rsidR="00764009" w:rsidRPr="00764009" w:rsidRDefault="00764009" w:rsidP="00764009">
      <w:pPr>
        <w:snapToGrid w:val="0"/>
        <w:spacing w:before="100" w:beforeAutospacing="1" w:after="100" w:afterAutospacing="1"/>
        <w:jc w:val="both"/>
        <w:rPr>
          <w:sz w:val="28"/>
        </w:rPr>
      </w:pPr>
    </w:p>
    <w:p w14:paraId="0B2CBA51" w14:textId="77777777" w:rsidR="007C1E25" w:rsidRPr="005E758A" w:rsidRDefault="007C1E25" w:rsidP="007119F4">
      <w:pPr>
        <w:pStyle w:val="2"/>
        <w:numPr>
          <w:ilvl w:val="0"/>
          <w:numId w:val="39"/>
        </w:numPr>
      </w:pPr>
      <w:r w:rsidRPr="005E758A">
        <w:t>規範宗旨</w:t>
      </w:r>
    </w:p>
    <w:p w14:paraId="4DF46DB2" w14:textId="77777777" w:rsidR="007C1E25" w:rsidRPr="005E758A" w:rsidRDefault="008F62FA" w:rsidP="007C1E25">
      <w:pPr>
        <w:snapToGrid w:val="0"/>
        <w:spacing w:before="100" w:beforeAutospacing="1" w:after="100" w:afterAutospacing="1"/>
        <w:ind w:firstLineChars="200" w:firstLine="560"/>
        <w:jc w:val="both"/>
        <w:rPr>
          <w:sz w:val="28"/>
          <w:szCs w:val="28"/>
        </w:rPr>
      </w:pPr>
      <w:r w:rsidRPr="005E758A">
        <w:rPr>
          <w:sz w:val="28"/>
          <w:szCs w:val="28"/>
        </w:rPr>
        <w:t>世界人權宣言、公民與政治權利國際公約及</w:t>
      </w:r>
      <w:r w:rsidR="007C1E25" w:rsidRPr="005E758A">
        <w:rPr>
          <w:sz w:val="28"/>
          <w:szCs w:val="28"/>
        </w:rPr>
        <w:t>經濟社會</w:t>
      </w:r>
      <w:r w:rsidRPr="005E758A">
        <w:rPr>
          <w:sz w:val="28"/>
          <w:szCs w:val="28"/>
        </w:rPr>
        <w:t>及文化權利國際公約</w:t>
      </w:r>
      <w:r w:rsidR="007C1E25" w:rsidRPr="005E758A">
        <w:rPr>
          <w:sz w:val="28"/>
          <w:szCs w:val="28"/>
        </w:rPr>
        <w:t>揭示人人有權享有生命、自由和人身安全，並受法律之保護。而其中家庭為社會之自然基本團體單位，應受社會及國家之保護。</w:t>
      </w:r>
      <w:proofErr w:type="gramStart"/>
      <w:r w:rsidR="007C1E25" w:rsidRPr="005E758A">
        <w:rPr>
          <w:sz w:val="28"/>
          <w:szCs w:val="28"/>
        </w:rPr>
        <w:t>所有兒</w:t>
      </w:r>
      <w:proofErr w:type="gramEnd"/>
      <w:r w:rsidR="007C1E25" w:rsidRPr="005E758A">
        <w:rPr>
          <w:sz w:val="28"/>
          <w:szCs w:val="28"/>
        </w:rPr>
        <w:t>童有權享受家庭、社會及國家為其未成年身分</w:t>
      </w:r>
      <w:r w:rsidRPr="005E758A">
        <w:rPr>
          <w:sz w:val="28"/>
          <w:szCs w:val="28"/>
        </w:rPr>
        <w:t>給予必需之保護措施，不得因出生或其他關係而受任何歧視。兒童</w:t>
      </w:r>
      <w:r w:rsidR="007C1E25" w:rsidRPr="005E758A">
        <w:rPr>
          <w:sz w:val="28"/>
          <w:szCs w:val="28"/>
        </w:rPr>
        <w:t>應有保障、免受經濟及社會剝削。延續此項基本人權的規範，兒童權利公約更進一步的將生存發展權與公約第</w:t>
      </w:r>
      <w:r w:rsidR="007C1E25" w:rsidRPr="005E758A">
        <w:rPr>
          <w:sz w:val="28"/>
          <w:szCs w:val="28"/>
        </w:rPr>
        <w:t>2</w:t>
      </w:r>
      <w:r w:rsidR="007C1E25" w:rsidRPr="005E758A">
        <w:rPr>
          <w:sz w:val="28"/>
          <w:szCs w:val="28"/>
        </w:rPr>
        <w:t>條</w:t>
      </w:r>
      <w:r w:rsidR="006B062F">
        <w:rPr>
          <w:rFonts w:hint="eastAsia"/>
          <w:sz w:val="28"/>
          <w:szCs w:val="28"/>
        </w:rPr>
        <w:t>（</w:t>
      </w:r>
      <w:r w:rsidR="007C1E25" w:rsidRPr="005E758A">
        <w:rPr>
          <w:sz w:val="28"/>
          <w:szCs w:val="28"/>
        </w:rPr>
        <w:t>「禁止歧視」</w:t>
      </w:r>
      <w:r w:rsidR="006B062F">
        <w:rPr>
          <w:rFonts w:hint="eastAsia"/>
          <w:sz w:val="28"/>
          <w:szCs w:val="28"/>
        </w:rPr>
        <w:t>）</w:t>
      </w:r>
      <w:r w:rsidR="007C1E25" w:rsidRPr="005E758A">
        <w:rPr>
          <w:sz w:val="28"/>
          <w:szCs w:val="28"/>
        </w:rPr>
        <w:t>、第</w:t>
      </w:r>
      <w:r w:rsidR="007C1E25" w:rsidRPr="005E758A">
        <w:rPr>
          <w:sz w:val="28"/>
          <w:szCs w:val="28"/>
        </w:rPr>
        <w:t>3</w:t>
      </w:r>
      <w:r w:rsidR="007C1E25" w:rsidRPr="005E758A">
        <w:rPr>
          <w:sz w:val="28"/>
          <w:szCs w:val="28"/>
        </w:rPr>
        <w:t>條第</w:t>
      </w:r>
      <w:r w:rsidR="007C1E25" w:rsidRPr="005E758A">
        <w:rPr>
          <w:sz w:val="28"/>
          <w:szCs w:val="28"/>
        </w:rPr>
        <w:t>1</w:t>
      </w:r>
      <w:r w:rsidR="007C1E25" w:rsidRPr="005E758A">
        <w:rPr>
          <w:sz w:val="28"/>
          <w:szCs w:val="28"/>
        </w:rPr>
        <w:t>項</w:t>
      </w:r>
      <w:r w:rsidR="006B062F">
        <w:rPr>
          <w:rFonts w:hint="eastAsia"/>
          <w:sz w:val="28"/>
          <w:szCs w:val="28"/>
        </w:rPr>
        <w:t>（</w:t>
      </w:r>
      <w:r w:rsidR="007C1E25" w:rsidRPr="005E758A">
        <w:rPr>
          <w:sz w:val="28"/>
          <w:szCs w:val="28"/>
        </w:rPr>
        <w:t>「兒童最佳利益</w:t>
      </w:r>
      <w:r w:rsidR="006B062F">
        <w:rPr>
          <w:rFonts w:hint="eastAsia"/>
          <w:sz w:val="28"/>
          <w:szCs w:val="28"/>
        </w:rPr>
        <w:t>）</w:t>
      </w:r>
      <w:r w:rsidR="007C1E25" w:rsidRPr="005E758A">
        <w:rPr>
          <w:sz w:val="28"/>
          <w:szCs w:val="28"/>
        </w:rPr>
        <w:t>及第</w:t>
      </w:r>
      <w:r w:rsidR="007C1E25" w:rsidRPr="005E758A">
        <w:rPr>
          <w:sz w:val="28"/>
          <w:szCs w:val="28"/>
        </w:rPr>
        <w:t>12</w:t>
      </w:r>
      <w:r w:rsidR="007C1E25" w:rsidRPr="005E758A">
        <w:rPr>
          <w:sz w:val="28"/>
          <w:szCs w:val="28"/>
        </w:rPr>
        <w:t>條</w:t>
      </w:r>
      <w:r w:rsidR="006B062F">
        <w:rPr>
          <w:rFonts w:hint="eastAsia"/>
          <w:sz w:val="28"/>
          <w:szCs w:val="28"/>
        </w:rPr>
        <w:t>（</w:t>
      </w:r>
      <w:r w:rsidR="007C1E25" w:rsidRPr="005E758A">
        <w:rPr>
          <w:sz w:val="28"/>
          <w:szCs w:val="28"/>
        </w:rPr>
        <w:t>「表意權」</w:t>
      </w:r>
      <w:r w:rsidR="006B062F">
        <w:rPr>
          <w:rFonts w:hint="eastAsia"/>
          <w:sz w:val="28"/>
          <w:szCs w:val="28"/>
        </w:rPr>
        <w:t>）</w:t>
      </w:r>
      <w:r w:rsidR="007C1E25" w:rsidRPr="005E758A">
        <w:rPr>
          <w:sz w:val="28"/>
          <w:szCs w:val="28"/>
        </w:rPr>
        <w:t>並列為公約之四項一般性原則，作為落實與解釋公約所有條款必須納入考量的原則之</w:t>
      </w:r>
      <w:proofErr w:type="gramStart"/>
      <w:r w:rsidR="007C1E25" w:rsidRPr="005E758A">
        <w:rPr>
          <w:sz w:val="28"/>
          <w:szCs w:val="28"/>
        </w:rPr>
        <w:t>一</w:t>
      </w:r>
      <w:proofErr w:type="gramEnd"/>
      <w:r w:rsidR="007C1E25" w:rsidRPr="005E758A">
        <w:rPr>
          <w:sz w:val="28"/>
          <w:szCs w:val="28"/>
        </w:rPr>
        <w:t>。而本條所保障之生存權為其他兒童權利之根本，倘若此項權利未獲尊重與足夠之保障，其他權利亦將喪失其意義</w:t>
      </w:r>
      <w:bookmarkStart w:id="20" w:name="_Ref427232870"/>
      <w:r w:rsidR="007C1E25" w:rsidRPr="005E758A">
        <w:rPr>
          <w:rStyle w:val="af3"/>
        </w:rPr>
        <w:endnoteReference w:id="68"/>
      </w:r>
      <w:bookmarkEnd w:id="20"/>
      <w:r w:rsidR="007C1E25" w:rsidRPr="005E758A">
        <w:rPr>
          <w:sz w:val="28"/>
          <w:szCs w:val="28"/>
        </w:rPr>
        <w:t>。</w:t>
      </w:r>
    </w:p>
    <w:p w14:paraId="35212F50" w14:textId="77777777" w:rsidR="007C1E25" w:rsidRPr="005E758A" w:rsidRDefault="007C1E25" w:rsidP="007C1E25">
      <w:pPr>
        <w:pStyle w:val="2"/>
      </w:pPr>
      <w:r w:rsidRPr="005E758A">
        <w:t>條文要義</w:t>
      </w:r>
    </w:p>
    <w:p w14:paraId="5520EE3F" w14:textId="77777777" w:rsidR="007C1E25" w:rsidRPr="005E758A" w:rsidRDefault="007C1E25" w:rsidP="007119F4">
      <w:pPr>
        <w:pStyle w:val="3"/>
        <w:numPr>
          <w:ilvl w:val="0"/>
          <w:numId w:val="40"/>
        </w:numPr>
      </w:pPr>
      <w:r w:rsidRPr="005E758A">
        <w:t>第</w:t>
      </w:r>
      <w:r w:rsidRPr="005E758A">
        <w:t>6</w:t>
      </w:r>
      <w:r w:rsidRPr="005E758A">
        <w:t>條第</w:t>
      </w:r>
      <w:r w:rsidRPr="005E758A">
        <w:t>1</w:t>
      </w:r>
      <w:r w:rsidRPr="005E758A">
        <w:t>項</w:t>
      </w:r>
    </w:p>
    <w:p w14:paraId="6B60CD16" w14:textId="77777777" w:rsidR="007C1E25" w:rsidRPr="005E758A" w:rsidRDefault="007C1E25" w:rsidP="007C1E25">
      <w:pPr>
        <w:snapToGrid w:val="0"/>
        <w:spacing w:before="100" w:beforeAutospacing="1" w:after="100" w:afterAutospacing="1"/>
        <w:ind w:firstLineChars="200" w:firstLine="560"/>
        <w:jc w:val="both"/>
        <w:rPr>
          <w:sz w:val="28"/>
          <w:szCs w:val="28"/>
        </w:rPr>
      </w:pPr>
      <w:r w:rsidRPr="005E758A">
        <w:rPr>
          <w:sz w:val="28"/>
          <w:szCs w:val="28"/>
        </w:rPr>
        <w:t>「生存權」係</w:t>
      </w:r>
      <w:proofErr w:type="gramStart"/>
      <w:r w:rsidRPr="005E758A">
        <w:rPr>
          <w:sz w:val="28"/>
          <w:szCs w:val="28"/>
        </w:rPr>
        <w:t>一</w:t>
      </w:r>
      <w:proofErr w:type="gramEnd"/>
      <w:r w:rsidRPr="005E758A">
        <w:rPr>
          <w:sz w:val="28"/>
          <w:szCs w:val="28"/>
        </w:rPr>
        <w:t>「與生俱來」的權利</w:t>
      </w:r>
      <w:r w:rsidRPr="005E758A">
        <w:rPr>
          <w:sz w:val="28"/>
          <w:szCs w:val="28"/>
        </w:rPr>
        <w:t>(inherent right)</w:t>
      </w:r>
      <w:r w:rsidR="008F62FA" w:rsidRPr="005E758A">
        <w:rPr>
          <w:sz w:val="28"/>
          <w:szCs w:val="28"/>
        </w:rPr>
        <w:t>。依據聯合國人權事務委員會就公民與政治權利國際公約</w:t>
      </w:r>
      <w:r w:rsidRPr="005E758A">
        <w:rPr>
          <w:sz w:val="28"/>
          <w:szCs w:val="28"/>
        </w:rPr>
        <w:t>第</w:t>
      </w:r>
      <w:r w:rsidRPr="005E758A">
        <w:rPr>
          <w:sz w:val="28"/>
          <w:szCs w:val="28"/>
        </w:rPr>
        <w:t>6</w:t>
      </w:r>
      <w:r w:rsidRPr="005E758A">
        <w:rPr>
          <w:sz w:val="28"/>
          <w:szCs w:val="28"/>
        </w:rPr>
        <w:t>條生存權所做之解釋，生存權係</w:t>
      </w:r>
      <w:proofErr w:type="gramStart"/>
      <w:r w:rsidRPr="005E758A">
        <w:rPr>
          <w:sz w:val="28"/>
          <w:szCs w:val="28"/>
        </w:rPr>
        <w:t>一</w:t>
      </w:r>
      <w:proofErr w:type="gramEnd"/>
      <w:r w:rsidRPr="005E758A">
        <w:rPr>
          <w:sz w:val="28"/>
          <w:szCs w:val="28"/>
        </w:rPr>
        <w:t>不得限縮解釋之人權項目。此權利除具有國家不得侵害人民生命的消極防禦面向外，國家亦應採取積極措施予以保護。因此，國家應特別就降低嬰兒死亡率、幼兒傳染病、母親產前照護等方面採取積極作為以保障兒童的生存權</w:t>
      </w:r>
      <w:r w:rsidRPr="005E758A">
        <w:rPr>
          <w:rStyle w:val="af3"/>
        </w:rPr>
        <w:endnoteReference w:id="69"/>
      </w:r>
      <w:r w:rsidRPr="005E758A">
        <w:rPr>
          <w:sz w:val="28"/>
          <w:szCs w:val="28"/>
        </w:rPr>
        <w:t>。</w:t>
      </w:r>
    </w:p>
    <w:p w14:paraId="7BA8BBE6" w14:textId="77777777" w:rsidR="007C1E25" w:rsidRPr="005E758A" w:rsidRDefault="007C1E25" w:rsidP="007C1E25">
      <w:pPr>
        <w:snapToGrid w:val="0"/>
        <w:spacing w:before="100" w:beforeAutospacing="1" w:after="100" w:afterAutospacing="1"/>
        <w:ind w:firstLineChars="200" w:firstLine="560"/>
        <w:jc w:val="both"/>
        <w:rPr>
          <w:sz w:val="28"/>
          <w:szCs w:val="28"/>
        </w:rPr>
      </w:pPr>
      <w:r w:rsidRPr="005E758A">
        <w:rPr>
          <w:sz w:val="28"/>
          <w:szCs w:val="28"/>
        </w:rPr>
        <w:t>就兒童生存權的議題，兒童權利委員會曾於個別國家之結論性意見中提出以下關切：</w:t>
      </w:r>
      <w:proofErr w:type="gramStart"/>
      <w:r w:rsidRPr="005E758A">
        <w:rPr>
          <w:sz w:val="28"/>
          <w:szCs w:val="28"/>
        </w:rPr>
        <w:t>愛滋病</w:t>
      </w:r>
      <w:proofErr w:type="gramEnd"/>
      <w:r w:rsidRPr="005E758A">
        <w:rPr>
          <w:sz w:val="28"/>
          <w:szCs w:val="28"/>
        </w:rPr>
        <w:t>兒童、墮胎、殺嬰</w:t>
      </w:r>
      <w:r w:rsidR="006B062F">
        <w:rPr>
          <w:rFonts w:hint="eastAsia"/>
          <w:sz w:val="28"/>
          <w:szCs w:val="28"/>
        </w:rPr>
        <w:t>（</w:t>
      </w:r>
      <w:r w:rsidRPr="005E758A">
        <w:rPr>
          <w:sz w:val="28"/>
          <w:szCs w:val="28"/>
        </w:rPr>
        <w:t>特別是女嬰</w:t>
      </w:r>
      <w:r w:rsidR="006B062F">
        <w:rPr>
          <w:rFonts w:hint="eastAsia"/>
          <w:sz w:val="28"/>
          <w:szCs w:val="28"/>
        </w:rPr>
        <w:t>）</w:t>
      </w:r>
      <w:r w:rsidRPr="005E758A">
        <w:rPr>
          <w:sz w:val="28"/>
          <w:szCs w:val="28"/>
        </w:rPr>
        <w:t>、兒童自殺率偏高、兒童因交通事故喪生比例偏高等問題。以兒童自殺率的問題為例，兒童權利委員會曾建議國家就少年自殺的可能原因、危險族群之特徵、原住民兒童自殺率偏高等問題進行研究，並盡速在健康、教育等領域增加支持性地介入方案；同時參考他國處理此問題之經驗，以降低該等事件之發生</w:t>
      </w:r>
      <w:bookmarkStart w:id="21" w:name="_Ref428800126"/>
      <w:r w:rsidRPr="005E758A">
        <w:rPr>
          <w:rStyle w:val="af3"/>
        </w:rPr>
        <w:endnoteReference w:id="70"/>
      </w:r>
      <w:bookmarkEnd w:id="21"/>
      <w:r w:rsidRPr="005E758A">
        <w:rPr>
          <w:sz w:val="28"/>
          <w:szCs w:val="28"/>
        </w:rPr>
        <w:t>。</w:t>
      </w:r>
    </w:p>
    <w:p w14:paraId="133D70F3" w14:textId="77777777" w:rsidR="007C1E25" w:rsidRPr="005E758A" w:rsidRDefault="007C1E25" w:rsidP="007119F4">
      <w:pPr>
        <w:pStyle w:val="3"/>
        <w:numPr>
          <w:ilvl w:val="0"/>
          <w:numId w:val="40"/>
        </w:numPr>
      </w:pPr>
      <w:r w:rsidRPr="005E758A">
        <w:lastRenderedPageBreak/>
        <w:t>第</w:t>
      </w:r>
      <w:r w:rsidRPr="005E758A">
        <w:t>6</w:t>
      </w:r>
      <w:r w:rsidRPr="005E758A">
        <w:t>條第</w:t>
      </w:r>
      <w:r w:rsidRPr="005E758A">
        <w:t>2</w:t>
      </w:r>
      <w:r w:rsidRPr="005E758A">
        <w:t>項</w:t>
      </w:r>
    </w:p>
    <w:p w14:paraId="3722E0A3" w14:textId="77777777" w:rsidR="007C1E25" w:rsidRPr="005E758A" w:rsidRDefault="007C1E25" w:rsidP="007C1E25">
      <w:pPr>
        <w:snapToGrid w:val="0"/>
        <w:spacing w:before="100" w:beforeAutospacing="1" w:after="100" w:afterAutospacing="1"/>
        <w:ind w:firstLineChars="200" w:firstLine="560"/>
        <w:jc w:val="both"/>
        <w:rPr>
          <w:sz w:val="28"/>
        </w:rPr>
      </w:pPr>
      <w:r w:rsidRPr="005E758A">
        <w:rPr>
          <w:sz w:val="28"/>
        </w:rPr>
        <w:t>除生存權外，本條另規定國家有「盡最大可能確保兒童的生存與發展」的義務。由公約制定的協商過程觀之，兒童發展權的概念係受到當時國際間對於「發展權」</w:t>
      </w:r>
      <w:r w:rsidRPr="005E758A">
        <w:rPr>
          <w:sz w:val="28"/>
        </w:rPr>
        <w:t>(the right to development)</w:t>
      </w:r>
      <w:r w:rsidRPr="005E758A">
        <w:rPr>
          <w:sz w:val="28"/>
        </w:rPr>
        <w:t>概念的影響，即強調「參與」對於發展的重要性，並透過參與的過程達到個人權利及基本自由的實現</w:t>
      </w:r>
      <w:r w:rsidRPr="005E758A">
        <w:rPr>
          <w:rStyle w:val="af3"/>
        </w:rPr>
        <w:endnoteReference w:id="71"/>
      </w:r>
      <w:r w:rsidRPr="005E758A">
        <w:rPr>
          <w:sz w:val="28"/>
        </w:rPr>
        <w:t>。</w:t>
      </w:r>
    </w:p>
    <w:p w14:paraId="50109632" w14:textId="77777777" w:rsidR="007C1E25" w:rsidRPr="005E758A" w:rsidRDefault="007C1E25" w:rsidP="007C1E25">
      <w:pPr>
        <w:snapToGrid w:val="0"/>
        <w:spacing w:before="100" w:beforeAutospacing="1" w:after="100" w:afterAutospacing="1"/>
        <w:ind w:firstLineChars="200" w:firstLine="560"/>
        <w:jc w:val="both"/>
        <w:rPr>
          <w:sz w:val="28"/>
        </w:rPr>
      </w:pPr>
      <w:proofErr w:type="gramStart"/>
      <w:r w:rsidRPr="005E758A">
        <w:rPr>
          <w:sz w:val="28"/>
        </w:rPr>
        <w:t>此外，</w:t>
      </w:r>
      <w:proofErr w:type="gramEnd"/>
      <w:r w:rsidRPr="005E758A">
        <w:rPr>
          <w:sz w:val="28"/>
        </w:rPr>
        <w:t>兒童權利委員會相當強調發展的全面性，例如該委員會於其定期國家報告提交指導方針</w:t>
      </w:r>
      <w:r w:rsidR="00F35BED" w:rsidRPr="005E758A">
        <w:rPr>
          <w:sz w:val="28"/>
        </w:rPr>
        <w:t>（</w:t>
      </w:r>
      <w:r w:rsidRPr="005E758A">
        <w:rPr>
          <w:sz w:val="28"/>
        </w:rPr>
        <w:t>1966</w:t>
      </w:r>
      <w:r w:rsidRPr="005E758A">
        <w:rPr>
          <w:sz w:val="28"/>
        </w:rPr>
        <w:t>年版</w:t>
      </w:r>
      <w:r w:rsidR="00F35BED" w:rsidRPr="005E758A">
        <w:rPr>
          <w:sz w:val="28"/>
        </w:rPr>
        <w:t>）</w:t>
      </w:r>
      <w:r w:rsidRPr="005E758A">
        <w:rPr>
          <w:sz w:val="28"/>
        </w:rPr>
        <w:t>所提及之發展概念及包括「身體、心理、心靈、道德、精神、及社會的發展」，並為兒童於「自由社會展開個人生活預作準備」</w:t>
      </w:r>
      <w:r w:rsidRPr="005E758A">
        <w:rPr>
          <w:rStyle w:val="af3"/>
        </w:rPr>
        <w:endnoteReference w:id="72"/>
      </w:r>
      <w:r w:rsidRPr="005E758A">
        <w:rPr>
          <w:sz w:val="28"/>
        </w:rPr>
        <w:t>。而唯有完全保障公約之各項公民、政治、經濟與社會等權利之國家始得稱為已「盡最大可能」確保兒童的發展</w:t>
      </w:r>
      <w:r w:rsidRPr="005E758A">
        <w:rPr>
          <w:rStyle w:val="af3"/>
        </w:rPr>
        <w:endnoteReference w:id="73"/>
      </w:r>
      <w:r w:rsidRPr="005E758A">
        <w:rPr>
          <w:sz w:val="28"/>
        </w:rPr>
        <w:t>。換言之，兒童發展權全面性的落實必須仰賴公約其他權利項目之實踐，包括健康權、足夠的營養與教育</w:t>
      </w:r>
      <w:r w:rsidR="00F35BED" w:rsidRPr="005E758A">
        <w:rPr>
          <w:sz w:val="28"/>
        </w:rPr>
        <w:t>（</w:t>
      </w:r>
      <w:r w:rsidRPr="005E758A">
        <w:rPr>
          <w:sz w:val="28"/>
        </w:rPr>
        <w:t>第</w:t>
      </w:r>
      <w:r w:rsidRPr="005E758A">
        <w:rPr>
          <w:sz w:val="28"/>
        </w:rPr>
        <w:t>24</w:t>
      </w:r>
      <w:r w:rsidRPr="005E758A">
        <w:rPr>
          <w:sz w:val="28"/>
        </w:rPr>
        <w:t>條、第</w:t>
      </w:r>
      <w:r w:rsidRPr="005E758A">
        <w:rPr>
          <w:sz w:val="28"/>
        </w:rPr>
        <w:t>28</w:t>
      </w:r>
      <w:r w:rsidRPr="005E758A">
        <w:rPr>
          <w:sz w:val="28"/>
        </w:rPr>
        <w:t>條、第</w:t>
      </w:r>
      <w:r w:rsidRPr="005E758A">
        <w:rPr>
          <w:sz w:val="28"/>
        </w:rPr>
        <w:t>29</w:t>
      </w:r>
      <w:r w:rsidRPr="005E758A">
        <w:rPr>
          <w:sz w:val="28"/>
        </w:rPr>
        <w:t>條等等</w:t>
      </w:r>
      <w:r w:rsidR="00F35BED" w:rsidRPr="005E758A">
        <w:rPr>
          <w:sz w:val="28"/>
        </w:rPr>
        <w:t>）</w:t>
      </w:r>
      <w:r w:rsidRPr="005E758A">
        <w:rPr>
          <w:rStyle w:val="af3"/>
        </w:rPr>
        <w:endnoteReference w:id="74"/>
      </w:r>
      <w:r w:rsidRPr="005E758A">
        <w:rPr>
          <w:sz w:val="28"/>
        </w:rPr>
        <w:t>。</w:t>
      </w:r>
    </w:p>
    <w:p w14:paraId="275ED2DC" w14:textId="77777777" w:rsidR="007C1E25" w:rsidRPr="005E758A" w:rsidRDefault="007C1E25" w:rsidP="007C1E25">
      <w:pPr>
        <w:snapToGrid w:val="0"/>
        <w:spacing w:before="100" w:beforeAutospacing="1" w:after="100" w:afterAutospacing="1"/>
        <w:ind w:firstLineChars="200" w:firstLine="560"/>
        <w:jc w:val="both"/>
        <w:rPr>
          <w:sz w:val="28"/>
        </w:rPr>
      </w:pPr>
      <w:r w:rsidRPr="005E758A">
        <w:rPr>
          <w:sz w:val="28"/>
        </w:rPr>
        <w:t>兒童權利委員會期待公約其他所有規範之</w:t>
      </w:r>
      <w:proofErr w:type="gramStart"/>
      <w:r w:rsidRPr="005E758A">
        <w:rPr>
          <w:sz w:val="28"/>
        </w:rPr>
        <w:t>落實均以達成</w:t>
      </w:r>
      <w:proofErr w:type="gramEnd"/>
      <w:r w:rsidRPr="005E758A">
        <w:rPr>
          <w:sz w:val="28"/>
        </w:rPr>
        <w:t>兒童最大可能之生存及發展為目標，而此亦是兒童最佳利益之核心所在</w:t>
      </w:r>
      <w:r w:rsidRPr="005E758A">
        <w:rPr>
          <w:rStyle w:val="af3"/>
        </w:rPr>
        <w:endnoteReference w:id="75"/>
      </w:r>
      <w:r w:rsidRPr="005E758A">
        <w:rPr>
          <w:sz w:val="28"/>
        </w:rPr>
        <w:t>。</w:t>
      </w:r>
    </w:p>
    <w:p w14:paraId="7BCBFB77" w14:textId="77777777" w:rsidR="007C1E25" w:rsidRPr="005E758A" w:rsidRDefault="007C1E25" w:rsidP="007C1E25">
      <w:pPr>
        <w:pStyle w:val="2"/>
      </w:pPr>
      <w:r w:rsidRPr="005E758A">
        <w:t>案例介紹</w:t>
      </w:r>
    </w:p>
    <w:p w14:paraId="5B7AF140" w14:textId="77777777" w:rsidR="007C1E25" w:rsidRPr="005E758A" w:rsidRDefault="007C1E25" w:rsidP="009F66C9">
      <w:pPr>
        <w:pStyle w:val="3"/>
        <w:numPr>
          <w:ilvl w:val="0"/>
          <w:numId w:val="204"/>
        </w:numPr>
      </w:pPr>
      <w:r w:rsidRPr="005E758A">
        <w:t>2004</w:t>
      </w:r>
      <w:r w:rsidRPr="005E758A">
        <w:t>年</w:t>
      </w:r>
      <w:r w:rsidR="00FF1E75" w:rsidRPr="005E758A">
        <w:t>美洲國家間人權法院</w:t>
      </w:r>
      <w:proofErr w:type="gramStart"/>
      <w:r w:rsidRPr="005E758A">
        <w:t>反恐案</w:t>
      </w:r>
      <w:proofErr w:type="gramEnd"/>
      <w:r w:rsidRPr="005E758A">
        <w:t>：</w:t>
      </w:r>
      <w:r w:rsidRPr="005E758A">
        <w:t xml:space="preserve">Gomez </w:t>
      </w:r>
      <w:proofErr w:type="spellStart"/>
      <w:r w:rsidRPr="005E758A">
        <w:t>Paquiyauri</w:t>
      </w:r>
      <w:proofErr w:type="spellEnd"/>
      <w:r w:rsidRPr="005E758A">
        <w:t xml:space="preserve"> Brothers v. Peru</w:t>
      </w:r>
      <w:r w:rsidRPr="005E758A">
        <w:rPr>
          <w:rStyle w:val="af3"/>
        </w:rPr>
        <w:endnoteReference w:id="76"/>
      </w:r>
    </w:p>
    <w:p w14:paraId="1686092E" w14:textId="77777777" w:rsidR="007C1E25" w:rsidRPr="005E758A" w:rsidRDefault="007C1E25" w:rsidP="007C1E25">
      <w:pPr>
        <w:snapToGrid w:val="0"/>
        <w:spacing w:before="100" w:beforeAutospacing="1" w:after="100" w:afterAutospacing="1"/>
        <w:ind w:firstLineChars="200" w:firstLine="560"/>
        <w:jc w:val="both"/>
        <w:rPr>
          <w:sz w:val="28"/>
        </w:rPr>
      </w:pPr>
      <w:r w:rsidRPr="005E758A">
        <w:rPr>
          <w:sz w:val="28"/>
        </w:rPr>
        <w:t>1991</w:t>
      </w:r>
      <w:r w:rsidRPr="005E758A">
        <w:rPr>
          <w:sz w:val="28"/>
        </w:rPr>
        <w:t>年，秘魯警方因</w:t>
      </w:r>
      <w:r w:rsidRPr="005E758A">
        <w:rPr>
          <w:sz w:val="28"/>
        </w:rPr>
        <w:t>14</w:t>
      </w:r>
      <w:r w:rsidRPr="005E758A">
        <w:rPr>
          <w:sz w:val="28"/>
        </w:rPr>
        <w:t>歲的</w:t>
      </w:r>
      <w:r w:rsidRPr="005E758A">
        <w:rPr>
          <w:sz w:val="28"/>
        </w:rPr>
        <w:t>Rafael Samuel</w:t>
      </w:r>
      <w:r w:rsidRPr="005E758A">
        <w:rPr>
          <w:sz w:val="28"/>
        </w:rPr>
        <w:t>及</w:t>
      </w:r>
      <w:r w:rsidRPr="005E758A">
        <w:rPr>
          <w:sz w:val="28"/>
        </w:rPr>
        <w:t>17</w:t>
      </w:r>
      <w:r w:rsidRPr="005E758A">
        <w:rPr>
          <w:sz w:val="28"/>
        </w:rPr>
        <w:t>歲的</w:t>
      </w:r>
      <w:r w:rsidRPr="005E758A">
        <w:rPr>
          <w:sz w:val="28"/>
        </w:rPr>
        <w:t>Emilio</w:t>
      </w:r>
      <w:r w:rsidRPr="005E758A">
        <w:rPr>
          <w:sz w:val="28"/>
        </w:rPr>
        <w:t>二兄弟，涉及</w:t>
      </w:r>
      <w:proofErr w:type="gramStart"/>
      <w:r w:rsidRPr="005E758A">
        <w:rPr>
          <w:sz w:val="28"/>
        </w:rPr>
        <w:t>政府反恐倡議</w:t>
      </w:r>
      <w:proofErr w:type="gramEnd"/>
      <w:r w:rsidRPr="005E758A">
        <w:rPr>
          <w:sz w:val="28"/>
        </w:rPr>
        <w:t>之違反而遭拘留。警方使用武力攻擊二兄弟並將其雙眼蒙蔽關在巡邏車中。不久後遭監禁並更進一步遭警方施</w:t>
      </w:r>
      <w:proofErr w:type="gramStart"/>
      <w:r w:rsidRPr="005E758A">
        <w:rPr>
          <w:sz w:val="28"/>
        </w:rPr>
        <w:t>虐</w:t>
      </w:r>
      <w:proofErr w:type="gramEnd"/>
      <w:r w:rsidRPr="005E758A">
        <w:rPr>
          <w:sz w:val="28"/>
        </w:rPr>
        <w:t>致死。二兄弟被謀殺後，其家人不斷受</w:t>
      </w:r>
      <w:r w:rsidR="00F35BED" w:rsidRPr="005E758A">
        <w:rPr>
          <w:sz w:val="28"/>
        </w:rPr>
        <w:t>秘魯</w:t>
      </w:r>
      <w:r w:rsidRPr="005E758A">
        <w:rPr>
          <w:sz w:val="28"/>
        </w:rPr>
        <w:t>官方騷擾、恐嚇及訊問，並監禁其姊妹長達</w:t>
      </w:r>
      <w:r w:rsidRPr="005E758A">
        <w:rPr>
          <w:sz w:val="28"/>
        </w:rPr>
        <w:t>4</w:t>
      </w:r>
      <w:r w:rsidRPr="005E758A">
        <w:rPr>
          <w:sz w:val="28"/>
        </w:rPr>
        <w:t>年之久。</w:t>
      </w:r>
    </w:p>
    <w:p w14:paraId="2F1AF6E3" w14:textId="77777777" w:rsidR="007C1E25" w:rsidRPr="005E758A" w:rsidRDefault="007C1E25" w:rsidP="007C1E25">
      <w:pPr>
        <w:snapToGrid w:val="0"/>
        <w:spacing w:before="100" w:beforeAutospacing="1" w:after="100" w:afterAutospacing="1"/>
        <w:ind w:firstLineChars="200" w:firstLine="560"/>
        <w:jc w:val="both"/>
        <w:rPr>
          <w:sz w:val="28"/>
        </w:rPr>
      </w:pPr>
      <w:r w:rsidRPr="005E758A">
        <w:rPr>
          <w:sz w:val="28"/>
        </w:rPr>
        <w:t>二兄弟之父母向地區檢察官提起控訴，檢方隨即展開調查，並將逮捕二兄弟之警察判決有罪。惟此事件背後更高層之警方並未受到審判、處罰，民事上補償亦</w:t>
      </w:r>
      <w:proofErr w:type="gramStart"/>
      <w:r w:rsidRPr="005E758A">
        <w:rPr>
          <w:sz w:val="28"/>
        </w:rPr>
        <w:t>未償</w:t>
      </w:r>
      <w:proofErr w:type="gramEnd"/>
      <w:r w:rsidRPr="005E758A">
        <w:rPr>
          <w:sz w:val="28"/>
        </w:rPr>
        <w:t>付給該當事人。美洲國家間人權委員會於</w:t>
      </w:r>
      <w:r w:rsidRPr="005E758A">
        <w:rPr>
          <w:sz w:val="28"/>
        </w:rPr>
        <w:t>2001</w:t>
      </w:r>
      <w:r w:rsidRPr="005E758A">
        <w:rPr>
          <w:sz w:val="28"/>
        </w:rPr>
        <w:t>年發布了建議，認為秘魯應為適當之補償、對於二兄弟之謀殺案做出</w:t>
      </w:r>
      <w:proofErr w:type="gramStart"/>
      <w:r w:rsidRPr="005E758A">
        <w:rPr>
          <w:sz w:val="28"/>
        </w:rPr>
        <w:t>一</w:t>
      </w:r>
      <w:proofErr w:type="gramEnd"/>
      <w:r w:rsidRPr="005E758A">
        <w:rPr>
          <w:sz w:val="28"/>
        </w:rPr>
        <w:t>公正之調查，並處罰應負責之人。</w:t>
      </w:r>
      <w:proofErr w:type="gramStart"/>
      <w:r w:rsidRPr="005E758A">
        <w:rPr>
          <w:sz w:val="28"/>
        </w:rPr>
        <w:t>惟</w:t>
      </w:r>
      <w:proofErr w:type="gramEnd"/>
      <w:r w:rsidR="00F35BED" w:rsidRPr="005E758A">
        <w:rPr>
          <w:sz w:val="28"/>
        </w:rPr>
        <w:t>秘魯</w:t>
      </w:r>
      <w:r w:rsidRPr="005E758A">
        <w:rPr>
          <w:sz w:val="28"/>
        </w:rPr>
        <w:t>並未遵照該建議，遭該委員會向</w:t>
      </w:r>
      <w:r w:rsidR="00FF1E75" w:rsidRPr="005E758A">
        <w:rPr>
          <w:sz w:val="28"/>
        </w:rPr>
        <w:t>美洲國家間人權法院</w:t>
      </w:r>
      <w:r w:rsidRPr="005E758A">
        <w:rPr>
          <w:sz w:val="28"/>
        </w:rPr>
        <w:t>提出控告。</w:t>
      </w:r>
    </w:p>
    <w:p w14:paraId="387E3FC0" w14:textId="77777777" w:rsidR="007C1E25" w:rsidRPr="005E758A" w:rsidRDefault="00FF1E75" w:rsidP="007C1E25">
      <w:pPr>
        <w:snapToGrid w:val="0"/>
        <w:spacing w:before="100" w:beforeAutospacing="1" w:after="100" w:afterAutospacing="1"/>
        <w:ind w:firstLineChars="200" w:firstLine="560"/>
        <w:jc w:val="both"/>
        <w:rPr>
          <w:sz w:val="28"/>
        </w:rPr>
      </w:pPr>
      <w:r w:rsidRPr="005E758A">
        <w:rPr>
          <w:sz w:val="28"/>
        </w:rPr>
        <w:t>美洲國家間人權法院</w:t>
      </w:r>
      <w:r w:rsidR="007C1E25" w:rsidRPr="005E758A">
        <w:rPr>
          <w:sz w:val="28"/>
          <w:szCs w:val="28"/>
        </w:rPr>
        <w:t>認為根據美洲人權公約，</w:t>
      </w:r>
      <w:r w:rsidR="00F35BED" w:rsidRPr="005E758A">
        <w:rPr>
          <w:sz w:val="28"/>
        </w:rPr>
        <w:t>秘魯</w:t>
      </w:r>
      <w:r w:rsidR="007C1E25" w:rsidRPr="005E758A">
        <w:rPr>
          <w:sz w:val="28"/>
          <w:szCs w:val="28"/>
        </w:rPr>
        <w:t>因對該二兄弟拘</w:t>
      </w:r>
      <w:r w:rsidR="007C1E25" w:rsidRPr="005E758A">
        <w:rPr>
          <w:sz w:val="28"/>
        </w:rPr>
        <w:t>禁，施以酷刑以及非法處死，侵害了其生命權、受人道對待、自由</w:t>
      </w:r>
      <w:r w:rsidR="007C1E25" w:rsidRPr="005E758A">
        <w:rPr>
          <w:sz w:val="28"/>
        </w:rPr>
        <w:lastRenderedPageBreak/>
        <w:t>權、公平審判以及司法保護之權利。同時，法院亦認為秘魯政府違反美洲</w:t>
      </w:r>
      <w:r w:rsidR="005125FC" w:rsidRPr="005E758A">
        <w:rPr>
          <w:sz w:val="28"/>
        </w:rPr>
        <w:t>國家間</w:t>
      </w:r>
      <w:r w:rsidR="007C1E25" w:rsidRPr="005E758A">
        <w:rPr>
          <w:sz w:val="28"/>
        </w:rPr>
        <w:t>防止及懲罰酷刑公約</w:t>
      </w:r>
      <w:r w:rsidR="005125FC" w:rsidRPr="005E758A">
        <w:rPr>
          <w:sz w:val="28"/>
        </w:rPr>
        <w:t>(Inter-American Convention to Prevent and Punish Torture)</w:t>
      </w:r>
      <w:r w:rsidR="007C1E25" w:rsidRPr="005E758A">
        <w:rPr>
          <w:sz w:val="28"/>
        </w:rPr>
        <w:t>。</w:t>
      </w:r>
    </w:p>
    <w:p w14:paraId="5E60880F" w14:textId="77777777" w:rsidR="007C1E25" w:rsidRPr="005E758A" w:rsidRDefault="007C1E25" w:rsidP="007C1E25">
      <w:pPr>
        <w:snapToGrid w:val="0"/>
        <w:spacing w:before="100" w:beforeAutospacing="1" w:after="100" w:afterAutospacing="1"/>
        <w:ind w:firstLineChars="200" w:firstLine="560"/>
        <w:jc w:val="both"/>
        <w:rPr>
          <w:sz w:val="28"/>
        </w:rPr>
      </w:pPr>
      <w:r w:rsidRPr="005E758A">
        <w:rPr>
          <w:sz w:val="28"/>
        </w:rPr>
        <w:t>法院在判決中說明，觀察美洲人權公約以及聯合國兒童權利公約，每一兒童有權受特殊措施之保護，對於兒童之監禁必須是例外情</w:t>
      </w:r>
      <w:r w:rsidR="008F62FA" w:rsidRPr="005E758A">
        <w:rPr>
          <w:sz w:val="28"/>
        </w:rPr>
        <w:t>狀下且以</w:t>
      </w:r>
      <w:proofErr w:type="gramStart"/>
      <w:r w:rsidR="008F62FA" w:rsidRPr="005E758A">
        <w:rPr>
          <w:sz w:val="28"/>
        </w:rPr>
        <w:t>最短期間內為</w:t>
      </w:r>
      <w:proofErr w:type="gramEnd"/>
      <w:r w:rsidR="008F62FA" w:rsidRPr="005E758A">
        <w:rPr>
          <w:sz w:val="28"/>
        </w:rPr>
        <w:t>之。政府受有特別之義務以確保兒童之生命權不受威脅，另關於兒童受人道對待之權利，並須有</w:t>
      </w:r>
      <w:r w:rsidRPr="005E758A">
        <w:rPr>
          <w:sz w:val="28"/>
        </w:rPr>
        <w:t>更高之標準規範。</w:t>
      </w:r>
    </w:p>
    <w:p w14:paraId="38508316" w14:textId="77777777" w:rsidR="007C1E25" w:rsidRPr="005E758A" w:rsidRDefault="00F35BED" w:rsidP="007C1E25">
      <w:pPr>
        <w:snapToGrid w:val="0"/>
        <w:spacing w:before="100" w:beforeAutospacing="1" w:after="100" w:afterAutospacing="1"/>
        <w:ind w:firstLineChars="200" w:firstLine="560"/>
        <w:jc w:val="both"/>
        <w:rPr>
          <w:sz w:val="28"/>
        </w:rPr>
      </w:pPr>
      <w:r w:rsidRPr="005E758A">
        <w:rPr>
          <w:sz w:val="28"/>
        </w:rPr>
        <w:t>秘魯</w:t>
      </w:r>
      <w:r w:rsidR="007C1E25" w:rsidRPr="005E758A">
        <w:rPr>
          <w:sz w:val="28"/>
        </w:rPr>
        <w:t>政府因無故拘禁、未能確保其</w:t>
      </w:r>
      <w:r w:rsidR="008F62FA" w:rsidRPr="005E758A">
        <w:rPr>
          <w:sz w:val="28"/>
        </w:rPr>
        <w:t>安全，並拒絕做出</w:t>
      </w:r>
      <w:proofErr w:type="gramStart"/>
      <w:r w:rsidR="008F62FA" w:rsidRPr="005E758A">
        <w:rPr>
          <w:sz w:val="28"/>
        </w:rPr>
        <w:t>一</w:t>
      </w:r>
      <w:proofErr w:type="gramEnd"/>
      <w:r w:rsidR="008F62FA" w:rsidRPr="005E758A">
        <w:rPr>
          <w:sz w:val="28"/>
        </w:rPr>
        <w:t>有效之調查或對於應負責之人作適當之處罰而違反</w:t>
      </w:r>
      <w:r w:rsidR="007C1E25" w:rsidRPr="005E758A">
        <w:rPr>
          <w:sz w:val="28"/>
        </w:rPr>
        <w:t>上述</w:t>
      </w:r>
      <w:r w:rsidR="008F62FA" w:rsidRPr="005E758A">
        <w:rPr>
          <w:sz w:val="28"/>
        </w:rPr>
        <w:t>兒童</w:t>
      </w:r>
      <w:r w:rsidR="007C1E25" w:rsidRPr="005E758A">
        <w:rPr>
          <w:sz w:val="28"/>
        </w:rPr>
        <w:t>權利。</w:t>
      </w:r>
      <w:proofErr w:type="gramStart"/>
      <w:r w:rsidR="007C1E25" w:rsidRPr="005E758A">
        <w:rPr>
          <w:sz w:val="28"/>
        </w:rPr>
        <w:t>此外，</w:t>
      </w:r>
      <w:proofErr w:type="gramEnd"/>
      <w:r w:rsidR="007C1E25" w:rsidRPr="005E758A">
        <w:rPr>
          <w:sz w:val="28"/>
        </w:rPr>
        <w:t>該家屬因該非法及武斷之拘禁，直接受有殘忍、非人道以及減損人格對待之結果。法院認為秘魯政府的卸責及縱容，應對家屬賠償並要求政府指認、審判及處罰所有對於此監禁、酷刑及處死相關事件有責之人。</w:t>
      </w:r>
    </w:p>
    <w:p w14:paraId="03C1C274" w14:textId="77777777" w:rsidR="007C1E25" w:rsidRPr="005E758A" w:rsidRDefault="007C1E25" w:rsidP="009F66C9">
      <w:pPr>
        <w:pStyle w:val="3"/>
        <w:numPr>
          <w:ilvl w:val="0"/>
          <w:numId w:val="204"/>
        </w:numPr>
        <w:rPr>
          <w:shd w:val="clear" w:color="auto" w:fill="FFFFFF"/>
        </w:rPr>
      </w:pPr>
      <w:r w:rsidRPr="005E758A">
        <w:t>2014</w:t>
      </w:r>
      <w:r w:rsidRPr="005E758A">
        <w:t>年俄羅斯憲法法院兒童抗議案：</w:t>
      </w:r>
      <w:r w:rsidRPr="005E758A">
        <w:rPr>
          <w:shd w:val="clear" w:color="auto" w:fill="FFFFFF"/>
        </w:rPr>
        <w:t xml:space="preserve">Constitutionality of Part 1 of Article 6.21 of the Code of Administrative Offences of the Russian Federation in Relation to the Complaint Lodged by Citizens Alexeev N. A., </w:t>
      </w:r>
      <w:proofErr w:type="spellStart"/>
      <w:r w:rsidRPr="005E758A">
        <w:rPr>
          <w:shd w:val="clear" w:color="auto" w:fill="FFFFFF"/>
        </w:rPr>
        <w:t>Evtuschenko</w:t>
      </w:r>
      <w:proofErr w:type="spellEnd"/>
      <w:r w:rsidRPr="005E758A">
        <w:rPr>
          <w:shd w:val="clear" w:color="auto" w:fill="FFFFFF"/>
        </w:rPr>
        <w:t xml:space="preserve"> Y.N. and Isakov D.A.</w:t>
      </w:r>
      <w:r w:rsidRPr="005E758A">
        <w:rPr>
          <w:rStyle w:val="af3"/>
          <w:color w:val="58595B"/>
          <w:sz w:val="23"/>
          <w:szCs w:val="23"/>
          <w:shd w:val="clear" w:color="auto" w:fill="FFFFFF"/>
        </w:rPr>
        <w:endnoteReference w:id="77"/>
      </w:r>
    </w:p>
    <w:p w14:paraId="3B4D9F5A" w14:textId="77777777" w:rsidR="007C1E25" w:rsidRPr="005E758A" w:rsidRDefault="007C1E25" w:rsidP="007C1E25">
      <w:pPr>
        <w:snapToGrid w:val="0"/>
        <w:spacing w:before="100" w:beforeAutospacing="1" w:after="100" w:afterAutospacing="1"/>
        <w:ind w:firstLineChars="200" w:firstLine="560"/>
        <w:jc w:val="both"/>
        <w:rPr>
          <w:sz w:val="28"/>
        </w:rPr>
      </w:pPr>
      <w:r w:rsidRPr="005E758A">
        <w:rPr>
          <w:sz w:val="28"/>
        </w:rPr>
        <w:t>本案三名未成年人因於靠近兒童圖書館附近之公共區域內從事抗議活動，而遭行政處罰。處理該案之治安法官</w:t>
      </w:r>
      <w:r w:rsidRPr="005E758A">
        <w:rPr>
          <w:sz w:val="28"/>
        </w:rPr>
        <w:t>(Justice of Peace)</w:t>
      </w:r>
      <w:r w:rsidRPr="005E758A">
        <w:rPr>
          <w:sz w:val="28"/>
        </w:rPr>
        <w:t>認為該涉嫌違法者於</w:t>
      </w:r>
      <w:r w:rsidR="008F62FA" w:rsidRPr="005E758A">
        <w:rPr>
          <w:sz w:val="28"/>
        </w:rPr>
        <w:t>抗議活動期間所揮舞的</w:t>
      </w:r>
      <w:r w:rsidRPr="005E758A">
        <w:rPr>
          <w:sz w:val="28"/>
        </w:rPr>
        <w:t>旗幟上之標語</w:t>
      </w:r>
      <w:r w:rsidRPr="005E758A">
        <w:rPr>
          <w:sz w:val="28"/>
        </w:rPr>
        <w:t>(</w:t>
      </w:r>
      <w:r w:rsidRPr="005E758A">
        <w:rPr>
          <w:sz w:val="28"/>
        </w:rPr>
        <w:t>反同志不存在、</w:t>
      </w:r>
      <w:proofErr w:type="gramStart"/>
      <w:r w:rsidRPr="005E758A">
        <w:rPr>
          <w:sz w:val="28"/>
        </w:rPr>
        <w:t>一</w:t>
      </w:r>
      <w:proofErr w:type="gramEnd"/>
      <w:r w:rsidRPr="005E758A">
        <w:rPr>
          <w:sz w:val="28"/>
        </w:rPr>
        <w:t>個人並非變成同志</w:t>
      </w:r>
      <w:r w:rsidR="008F62FA" w:rsidRPr="005E758A">
        <w:rPr>
          <w:sz w:val="28"/>
        </w:rPr>
        <w:t>其乃</w:t>
      </w:r>
      <w:r w:rsidRPr="005E758A">
        <w:rPr>
          <w:sz w:val="28"/>
        </w:rPr>
        <w:t>生來如此、身為同志與愛同志是正常的、攻擊及殺害同志乃犯罪</w:t>
      </w:r>
      <w:r w:rsidRPr="005E758A">
        <w:rPr>
          <w:sz w:val="28"/>
        </w:rPr>
        <w:t>)</w:t>
      </w:r>
      <w:r w:rsidRPr="005E758A">
        <w:rPr>
          <w:sz w:val="28"/>
        </w:rPr>
        <w:t>為非傳統性關係之宣傳，有害於兒童之健康與發展。當事人向</w:t>
      </w:r>
      <w:r w:rsidR="008F62FA" w:rsidRPr="005E758A">
        <w:rPr>
          <w:sz w:val="28"/>
        </w:rPr>
        <w:t>法院提出上訴失敗，接著向俄羅斯聯邦憲法法院提出合憲性審查，控告</w:t>
      </w:r>
      <w:r w:rsidRPr="005E758A">
        <w:rPr>
          <w:sz w:val="28"/>
        </w:rPr>
        <w:t>警方</w:t>
      </w:r>
      <w:r w:rsidR="008F62FA" w:rsidRPr="005E758A">
        <w:rPr>
          <w:sz w:val="28"/>
        </w:rPr>
        <w:t>所</w:t>
      </w:r>
      <w:r w:rsidRPr="005E758A">
        <w:rPr>
          <w:sz w:val="28"/>
        </w:rPr>
        <w:t>依據之行政審判法第</w:t>
      </w:r>
      <w:r w:rsidRPr="005E758A">
        <w:rPr>
          <w:sz w:val="28"/>
        </w:rPr>
        <w:t>6.21(1)</w:t>
      </w:r>
      <w:r w:rsidR="008F62FA" w:rsidRPr="005E758A">
        <w:rPr>
          <w:sz w:val="28"/>
        </w:rPr>
        <w:t>條之規定</w:t>
      </w:r>
      <w:r w:rsidRPr="005E758A">
        <w:rPr>
          <w:sz w:val="28"/>
        </w:rPr>
        <w:t>違反憲法第</w:t>
      </w:r>
      <w:r w:rsidRPr="005E758A">
        <w:rPr>
          <w:sz w:val="28"/>
        </w:rPr>
        <w:t xml:space="preserve">15(4), 17(1), 19(1,2), 21(1), 29(1,2,4) </w:t>
      </w:r>
      <w:r w:rsidRPr="005E758A">
        <w:rPr>
          <w:sz w:val="28"/>
        </w:rPr>
        <w:t>及</w:t>
      </w:r>
      <w:r w:rsidRPr="005E758A">
        <w:rPr>
          <w:sz w:val="28"/>
        </w:rPr>
        <w:t>55(3)</w:t>
      </w:r>
      <w:r w:rsidR="008F62FA" w:rsidRPr="005E758A">
        <w:rPr>
          <w:sz w:val="28"/>
        </w:rPr>
        <w:t>條之規定。另國際條約優於國內法</w:t>
      </w:r>
      <w:r w:rsidRPr="005E758A">
        <w:rPr>
          <w:sz w:val="28"/>
        </w:rPr>
        <w:t>、依國際標準下權利與自由之保證、不歧視原則、人性尊嚴以及表現自由，</w:t>
      </w:r>
      <w:r w:rsidRPr="005E758A">
        <w:rPr>
          <w:sz w:val="28"/>
        </w:rPr>
        <w:t>3</w:t>
      </w:r>
      <w:r w:rsidRPr="005E758A">
        <w:rPr>
          <w:sz w:val="28"/>
        </w:rPr>
        <w:t>名當事人的權利應受保護</w:t>
      </w:r>
      <w:r w:rsidR="008F62FA" w:rsidRPr="005E758A">
        <w:rPr>
          <w:sz w:val="28"/>
        </w:rPr>
        <w:t>等</w:t>
      </w:r>
      <w:r w:rsidRPr="005E758A">
        <w:rPr>
          <w:sz w:val="28"/>
        </w:rPr>
        <w:t>。</w:t>
      </w:r>
    </w:p>
    <w:p w14:paraId="2BE716EA" w14:textId="77777777" w:rsidR="007C1E25" w:rsidRPr="005E758A" w:rsidRDefault="007C1E25" w:rsidP="007C1E25">
      <w:pPr>
        <w:snapToGrid w:val="0"/>
        <w:spacing w:before="100" w:beforeAutospacing="1" w:after="100" w:afterAutospacing="1"/>
        <w:ind w:firstLineChars="200" w:firstLine="560"/>
        <w:jc w:val="both"/>
        <w:rPr>
          <w:sz w:val="28"/>
        </w:rPr>
      </w:pPr>
      <w:r w:rsidRPr="005E758A">
        <w:rPr>
          <w:sz w:val="28"/>
        </w:rPr>
        <w:t>俄羅斯聯邦憲法法院認為該法之規定，在於規範禁止對兒童宣傳非傳統性關係，乃符合兒童權利公約及其他國際人權法與憲法之規定。為達此結論，法院參照兒童權利公約裡不同之規定後，指出國家必須確保兒童之發展與對於任何一種形式之性暴力之保護，並且尊重父母有權對於其孩童行使權利之方式符合其所提供合適</w:t>
      </w:r>
      <w:r w:rsidR="003F3C36" w:rsidRPr="005E758A">
        <w:rPr>
          <w:sz w:val="28"/>
        </w:rPr>
        <w:t>之</w:t>
      </w:r>
      <w:r w:rsidRPr="005E758A">
        <w:rPr>
          <w:sz w:val="28"/>
        </w:rPr>
        <w:t>指揮與方針。法院並參照</w:t>
      </w:r>
      <w:r w:rsidR="003F3C36" w:rsidRPr="005E758A">
        <w:rPr>
          <w:sz w:val="28"/>
          <w:szCs w:val="28"/>
        </w:rPr>
        <w:t>公民與政治權利國際公約</w:t>
      </w:r>
      <w:r w:rsidRPr="005E758A">
        <w:rPr>
          <w:sz w:val="28"/>
        </w:rPr>
        <w:t>、</w:t>
      </w:r>
      <w:r w:rsidR="003F3C36" w:rsidRPr="005E758A">
        <w:rPr>
          <w:sz w:val="28"/>
        </w:rPr>
        <w:t>歐洲人權公</w:t>
      </w:r>
      <w:r w:rsidRPr="005E758A">
        <w:rPr>
          <w:sz w:val="28"/>
        </w:rPr>
        <w:t>約</w:t>
      </w:r>
      <w:r w:rsidR="003F3C36" w:rsidRPr="005E758A">
        <w:rPr>
          <w:sz w:val="28"/>
        </w:rPr>
        <w:t>中，同意表意</w:t>
      </w:r>
      <w:r w:rsidRPr="005E758A">
        <w:rPr>
          <w:sz w:val="28"/>
        </w:rPr>
        <w:t>自由得以於保護公共健康與道德時加以限制。</w:t>
      </w:r>
      <w:r w:rsidRPr="005E758A">
        <w:rPr>
          <w:sz w:val="28"/>
        </w:rPr>
        <w:t xml:space="preserve"> </w:t>
      </w:r>
      <w:r w:rsidRPr="005E758A">
        <w:rPr>
          <w:sz w:val="28"/>
        </w:rPr>
        <w:t>因此，如同法院之理由，對於未成年人宣傳非傳統性關係之禁止，乃在於保護憲法上之價值如</w:t>
      </w:r>
      <w:r w:rsidRPr="005E758A">
        <w:rPr>
          <w:sz w:val="28"/>
        </w:rPr>
        <w:lastRenderedPageBreak/>
        <w:t>家庭與孩童關係、預防有害於孩童健康與道德發展，並且不影響個人發展權利</w:t>
      </w:r>
      <w:r w:rsidR="003F3C36" w:rsidRPr="005E758A">
        <w:rPr>
          <w:sz w:val="28"/>
        </w:rPr>
        <w:t>，</w:t>
      </w:r>
      <w:r w:rsidRPr="005E758A">
        <w:rPr>
          <w:sz w:val="28"/>
        </w:rPr>
        <w:t>包含性自主權等等。</w:t>
      </w:r>
    </w:p>
    <w:p w14:paraId="5B66D2F7" w14:textId="77777777" w:rsidR="007C1E25" w:rsidRPr="005E758A" w:rsidRDefault="007C1E25" w:rsidP="007C1E25">
      <w:pPr>
        <w:pStyle w:val="2"/>
      </w:pPr>
      <w:r w:rsidRPr="005E758A">
        <w:t>綜合分析</w:t>
      </w:r>
    </w:p>
    <w:p w14:paraId="12B84445" w14:textId="77777777" w:rsidR="007C1E25" w:rsidRPr="005E758A" w:rsidRDefault="007C1E25" w:rsidP="007B19B8">
      <w:pPr>
        <w:snapToGrid w:val="0"/>
        <w:spacing w:before="100" w:beforeAutospacing="1" w:after="100" w:afterAutospacing="1"/>
        <w:ind w:firstLineChars="200" w:firstLine="560"/>
        <w:jc w:val="both"/>
        <w:rPr>
          <w:sz w:val="28"/>
        </w:rPr>
      </w:pPr>
      <w:r w:rsidRPr="005E758A">
        <w:rPr>
          <w:sz w:val="28"/>
        </w:rPr>
        <w:t>本條所涵蓋的範圍，除兒童生存權外，同時亦要求國家應確保兒童的發展。而公約第</w:t>
      </w:r>
      <w:r w:rsidRPr="005E758A">
        <w:rPr>
          <w:sz w:val="28"/>
        </w:rPr>
        <w:t>5</w:t>
      </w:r>
      <w:r w:rsidRPr="005E758A">
        <w:rPr>
          <w:sz w:val="28"/>
        </w:rPr>
        <w:t>條、第</w:t>
      </w:r>
      <w:r w:rsidRPr="005E758A">
        <w:rPr>
          <w:sz w:val="28"/>
        </w:rPr>
        <w:t>18</w:t>
      </w:r>
      <w:r w:rsidRPr="005E758A">
        <w:rPr>
          <w:sz w:val="28"/>
        </w:rPr>
        <w:t>條、第</w:t>
      </w:r>
      <w:r w:rsidRPr="005E758A">
        <w:rPr>
          <w:sz w:val="28"/>
        </w:rPr>
        <w:t>20</w:t>
      </w:r>
      <w:r w:rsidRPr="005E758A">
        <w:rPr>
          <w:sz w:val="28"/>
        </w:rPr>
        <w:t>條、第</w:t>
      </w:r>
      <w:r w:rsidRPr="005E758A">
        <w:rPr>
          <w:sz w:val="28"/>
        </w:rPr>
        <w:t>23</w:t>
      </w:r>
      <w:r w:rsidRPr="005E758A">
        <w:rPr>
          <w:sz w:val="28"/>
        </w:rPr>
        <w:t>條第</w:t>
      </w:r>
      <w:r w:rsidRPr="005E758A">
        <w:rPr>
          <w:sz w:val="28"/>
        </w:rPr>
        <w:t>3</w:t>
      </w:r>
      <w:r w:rsidRPr="005E758A">
        <w:rPr>
          <w:sz w:val="28"/>
        </w:rPr>
        <w:t>項、第</w:t>
      </w:r>
      <w:r w:rsidRPr="005E758A">
        <w:rPr>
          <w:sz w:val="28"/>
        </w:rPr>
        <w:t>24</w:t>
      </w:r>
      <w:r w:rsidRPr="005E758A">
        <w:rPr>
          <w:sz w:val="28"/>
        </w:rPr>
        <w:t>條、第</w:t>
      </w:r>
      <w:r w:rsidRPr="005E758A">
        <w:rPr>
          <w:sz w:val="28"/>
        </w:rPr>
        <w:t>27</w:t>
      </w:r>
      <w:r w:rsidRPr="005E758A">
        <w:rPr>
          <w:sz w:val="28"/>
        </w:rPr>
        <w:t>條、第</w:t>
      </w:r>
      <w:r w:rsidRPr="005E758A">
        <w:rPr>
          <w:sz w:val="28"/>
        </w:rPr>
        <w:t>28</w:t>
      </w:r>
      <w:r w:rsidRPr="005E758A">
        <w:rPr>
          <w:sz w:val="28"/>
        </w:rPr>
        <w:t>條、第</w:t>
      </w:r>
      <w:r w:rsidRPr="005E758A">
        <w:rPr>
          <w:sz w:val="28"/>
        </w:rPr>
        <w:t>29</w:t>
      </w:r>
      <w:r w:rsidRPr="005E758A">
        <w:rPr>
          <w:sz w:val="28"/>
        </w:rPr>
        <w:t>條、第</w:t>
      </w:r>
      <w:r w:rsidRPr="005E758A">
        <w:rPr>
          <w:sz w:val="28"/>
        </w:rPr>
        <w:t>31</w:t>
      </w:r>
      <w:r w:rsidRPr="005E758A">
        <w:rPr>
          <w:sz w:val="28"/>
        </w:rPr>
        <w:t>條及第</w:t>
      </w:r>
      <w:r w:rsidRPr="005E758A">
        <w:rPr>
          <w:sz w:val="28"/>
        </w:rPr>
        <w:t>39</w:t>
      </w:r>
      <w:r w:rsidRPr="005E758A">
        <w:rPr>
          <w:sz w:val="28"/>
        </w:rPr>
        <w:t>條等規範則為兒童「發展」之意涵提供進一步之闡釋</w:t>
      </w:r>
      <w:r w:rsidRPr="005E758A">
        <w:rPr>
          <w:sz w:val="28"/>
        </w:rPr>
        <w:t xml:space="preserve"> </w:t>
      </w:r>
      <w:r w:rsidRPr="005E758A">
        <w:rPr>
          <w:sz w:val="28"/>
        </w:rPr>
        <w:t>。例如，第</w:t>
      </w:r>
      <w:r w:rsidRPr="005E758A">
        <w:rPr>
          <w:sz w:val="28"/>
        </w:rPr>
        <w:t>18</w:t>
      </w:r>
      <w:r w:rsidRPr="005E758A">
        <w:rPr>
          <w:sz w:val="28"/>
        </w:rPr>
        <w:t>條要求父母雙方應對兒童的養育與發展負起共同責任；而國家依據第</w:t>
      </w:r>
      <w:r w:rsidRPr="005E758A">
        <w:rPr>
          <w:sz w:val="28"/>
        </w:rPr>
        <w:t>5</w:t>
      </w:r>
      <w:r w:rsidRPr="005E758A">
        <w:rPr>
          <w:sz w:val="28"/>
        </w:rPr>
        <w:t>條規定則應尊重父母對兒童之指導與指引。</w:t>
      </w:r>
      <w:proofErr w:type="gramStart"/>
      <w:r w:rsidRPr="005E758A">
        <w:rPr>
          <w:sz w:val="28"/>
        </w:rPr>
        <w:t>再者，</w:t>
      </w:r>
      <w:proofErr w:type="gramEnd"/>
      <w:r w:rsidRPr="005E758A">
        <w:rPr>
          <w:sz w:val="28"/>
        </w:rPr>
        <w:t>所有條款皆以家庭重聚及預防兒童與其父母分離為規範目的；當兒童有必要與其父母分離時，國家應對兒童提供特殊協助</w:t>
      </w:r>
      <w:r w:rsidRPr="005E758A">
        <w:rPr>
          <w:sz w:val="28"/>
        </w:rPr>
        <w:t xml:space="preserve"> </w:t>
      </w:r>
      <w:r w:rsidRPr="005E758A">
        <w:rPr>
          <w:sz w:val="28"/>
        </w:rPr>
        <w:t>。</w:t>
      </w:r>
      <w:proofErr w:type="gramStart"/>
      <w:r w:rsidRPr="005E758A">
        <w:rPr>
          <w:sz w:val="28"/>
        </w:rPr>
        <w:t>此外，</w:t>
      </w:r>
      <w:proofErr w:type="gramEnd"/>
      <w:r w:rsidRPr="005E758A">
        <w:rPr>
          <w:sz w:val="28"/>
        </w:rPr>
        <w:t>兒童的發展與健康、生活水準、教育及休閒等層面亦有所關連；至於公約有關兒童免於暴力及剝削之規範</w:t>
      </w:r>
      <w:r w:rsidRPr="005E758A">
        <w:rPr>
          <w:sz w:val="28"/>
        </w:rPr>
        <w:t>(</w:t>
      </w:r>
      <w:r w:rsidRPr="005E758A">
        <w:rPr>
          <w:sz w:val="28"/>
        </w:rPr>
        <w:t>特別是第</w:t>
      </w:r>
      <w:r w:rsidRPr="005E758A">
        <w:rPr>
          <w:sz w:val="28"/>
        </w:rPr>
        <w:t>19</w:t>
      </w:r>
      <w:r w:rsidRPr="005E758A">
        <w:rPr>
          <w:sz w:val="28"/>
        </w:rPr>
        <w:t>條、第</w:t>
      </w:r>
      <w:r w:rsidRPr="005E758A">
        <w:rPr>
          <w:sz w:val="28"/>
        </w:rPr>
        <w:t>32</w:t>
      </w:r>
      <w:r w:rsidRPr="005E758A">
        <w:rPr>
          <w:sz w:val="28"/>
        </w:rPr>
        <w:t>條至第</w:t>
      </w:r>
      <w:r w:rsidRPr="005E758A">
        <w:rPr>
          <w:sz w:val="28"/>
        </w:rPr>
        <w:t>39</w:t>
      </w:r>
      <w:r w:rsidRPr="005E758A">
        <w:rPr>
          <w:sz w:val="28"/>
        </w:rPr>
        <w:t>條</w:t>
      </w:r>
      <w:r w:rsidRPr="005E758A">
        <w:rPr>
          <w:sz w:val="28"/>
        </w:rPr>
        <w:t>)</w:t>
      </w:r>
      <w:r w:rsidRPr="005E758A">
        <w:rPr>
          <w:sz w:val="28"/>
        </w:rPr>
        <w:t>對兒童發展權之保障則與福利服務之提供同等重要</w:t>
      </w:r>
      <w:r w:rsidRPr="005E758A">
        <w:rPr>
          <w:sz w:val="28"/>
        </w:rPr>
        <w:t xml:space="preserve"> </w:t>
      </w:r>
      <w:r w:rsidRPr="005E758A">
        <w:rPr>
          <w:sz w:val="28"/>
        </w:rPr>
        <w:t>。</w:t>
      </w:r>
    </w:p>
    <w:p w14:paraId="421FCC2E" w14:textId="77777777" w:rsidR="007C1E25" w:rsidRPr="005E758A" w:rsidRDefault="007C1E25" w:rsidP="007C1E25">
      <w:pPr>
        <w:pStyle w:val="2"/>
        <w:numPr>
          <w:ilvl w:val="0"/>
          <w:numId w:val="0"/>
        </w:numPr>
        <w:ind w:left="482" w:hanging="482"/>
      </w:pPr>
      <w:r w:rsidRPr="005E758A">
        <w:t>伍、</w:t>
      </w:r>
      <w:r w:rsidRPr="005E758A">
        <w:t xml:space="preserve"> </w:t>
      </w:r>
      <w:r w:rsidRPr="005E758A">
        <w:t>參考資料</w:t>
      </w:r>
    </w:p>
    <w:p w14:paraId="58E8D4A1" w14:textId="77777777" w:rsidR="007C1E25" w:rsidRPr="005E758A" w:rsidRDefault="007C1E25" w:rsidP="007119F4">
      <w:pPr>
        <w:pStyle w:val="a0"/>
        <w:numPr>
          <w:ilvl w:val="0"/>
          <w:numId w:val="38"/>
        </w:numPr>
        <w:snapToGrid w:val="0"/>
        <w:ind w:leftChars="0"/>
        <w:jc w:val="both"/>
        <w:rPr>
          <w:rFonts w:ascii="Times New Roman" w:eastAsia="標楷體" w:hAnsi="Times New Roman"/>
          <w:sz w:val="28"/>
          <w:szCs w:val="28"/>
        </w:rPr>
      </w:pPr>
      <w:r w:rsidRPr="005E758A">
        <w:rPr>
          <w:rFonts w:ascii="Times New Roman" w:eastAsia="標楷體" w:hAnsi="Times New Roman"/>
          <w:sz w:val="28"/>
          <w:szCs w:val="28"/>
        </w:rPr>
        <w:t>兒童權利委員會，第</w:t>
      </w:r>
      <w:r w:rsidRPr="005E758A">
        <w:rPr>
          <w:rFonts w:ascii="Times New Roman" w:eastAsia="標楷體" w:hAnsi="Times New Roman"/>
          <w:sz w:val="28"/>
          <w:szCs w:val="28"/>
        </w:rPr>
        <w:t>6</w:t>
      </w:r>
      <w:r w:rsidRPr="005E758A">
        <w:rPr>
          <w:rFonts w:ascii="Times New Roman" w:eastAsia="標楷體" w:hAnsi="Times New Roman"/>
          <w:sz w:val="28"/>
          <w:szCs w:val="28"/>
        </w:rPr>
        <w:t>號一般性意見「遠離原籍國無人陪伴和無父母陪伴的兒童待遇」。</w:t>
      </w:r>
      <w:r w:rsidRPr="005E758A">
        <w:rPr>
          <w:rFonts w:ascii="Times New Roman" w:eastAsia="標楷體" w:hAnsi="Times New Roman"/>
          <w:sz w:val="28"/>
          <w:szCs w:val="28"/>
        </w:rPr>
        <w:t>(Committee on the Rights of the Child, General Comment No. 6: Treatment of Unaccompanied and Separated Children Outside Their Country of Origin, U.N. Doc. CRC/GC/2005/6 (Sept. 1, 2005).)</w:t>
      </w:r>
    </w:p>
    <w:p w14:paraId="77320F1C" w14:textId="77777777" w:rsidR="007C1E25" w:rsidRPr="005E758A" w:rsidRDefault="007C1E25" w:rsidP="007119F4">
      <w:pPr>
        <w:pStyle w:val="a0"/>
        <w:numPr>
          <w:ilvl w:val="0"/>
          <w:numId w:val="38"/>
        </w:numPr>
        <w:snapToGrid w:val="0"/>
        <w:ind w:leftChars="0"/>
        <w:jc w:val="both"/>
        <w:rPr>
          <w:rFonts w:ascii="Times New Roman" w:eastAsia="標楷體" w:hAnsi="Times New Roman"/>
          <w:sz w:val="28"/>
          <w:szCs w:val="28"/>
        </w:rPr>
      </w:pPr>
      <w:r w:rsidRPr="005E758A">
        <w:rPr>
          <w:rFonts w:ascii="Times New Roman" w:eastAsia="標楷體" w:hAnsi="Times New Roman"/>
          <w:sz w:val="28"/>
          <w:szCs w:val="28"/>
        </w:rPr>
        <w:t>兒童權利委員會，關於締約國根據兒童權利公約第</w:t>
      </w:r>
      <w:r w:rsidRPr="005E758A">
        <w:rPr>
          <w:rFonts w:ascii="Times New Roman" w:eastAsia="標楷體" w:hAnsi="Times New Roman"/>
          <w:sz w:val="28"/>
          <w:szCs w:val="28"/>
        </w:rPr>
        <w:t>44</w:t>
      </w:r>
      <w:r w:rsidRPr="005E758A">
        <w:rPr>
          <w:rFonts w:ascii="Times New Roman" w:eastAsia="標楷體" w:hAnsi="Times New Roman"/>
          <w:sz w:val="28"/>
          <w:szCs w:val="28"/>
        </w:rPr>
        <w:t>條第</w:t>
      </w:r>
      <w:r w:rsidRPr="005E758A">
        <w:rPr>
          <w:rFonts w:ascii="Times New Roman" w:eastAsia="標楷體" w:hAnsi="Times New Roman"/>
          <w:sz w:val="28"/>
          <w:szCs w:val="28"/>
        </w:rPr>
        <w:t>1</w:t>
      </w:r>
      <w:r w:rsidRPr="005E758A">
        <w:rPr>
          <w:rFonts w:ascii="Times New Roman" w:eastAsia="標楷體" w:hAnsi="Times New Roman"/>
          <w:sz w:val="28"/>
          <w:szCs w:val="28"/>
        </w:rPr>
        <w:t>款</w:t>
      </w:r>
      <w:r w:rsidRPr="005E758A">
        <w:rPr>
          <w:rFonts w:ascii="Times New Roman" w:eastAsia="標楷體" w:hAnsi="Times New Roman"/>
          <w:sz w:val="28"/>
          <w:szCs w:val="28"/>
        </w:rPr>
        <w:t>(b)</w:t>
      </w:r>
      <w:r w:rsidRPr="005E758A">
        <w:rPr>
          <w:rFonts w:ascii="Times New Roman" w:eastAsia="標楷體" w:hAnsi="Times New Roman"/>
          <w:sz w:val="28"/>
          <w:szCs w:val="28"/>
        </w:rPr>
        <w:t>項提交的定期報告的形式和內容的一般準則。</w:t>
      </w:r>
      <w:r w:rsidRPr="005E758A">
        <w:rPr>
          <w:rFonts w:ascii="Times New Roman" w:eastAsia="標楷體" w:hAnsi="Times New Roman"/>
          <w:sz w:val="28"/>
          <w:szCs w:val="28"/>
        </w:rPr>
        <w:t>(Committee on the Rights of the Child, Treaty-Specific Guidelines Regarding the Form and Content of Periodic Reports to Be Submitted by States Parties under Article 44, Paragraph 1 (b), of the Convention on the Rights of the Child, U.N. Doc. CRC/C/58 (Nov. 20, 1996).)</w:t>
      </w:r>
    </w:p>
    <w:p w14:paraId="567A9138" w14:textId="77777777" w:rsidR="007C1E25" w:rsidRPr="005E758A" w:rsidRDefault="007C1E25" w:rsidP="007119F4">
      <w:pPr>
        <w:pStyle w:val="a0"/>
        <w:numPr>
          <w:ilvl w:val="0"/>
          <w:numId w:val="38"/>
        </w:numPr>
        <w:snapToGrid w:val="0"/>
        <w:ind w:leftChars="0" w:left="448" w:hanging="448"/>
        <w:jc w:val="both"/>
        <w:rPr>
          <w:rFonts w:ascii="Times New Roman" w:eastAsia="標楷體" w:hAnsi="Times New Roman"/>
          <w:sz w:val="28"/>
          <w:szCs w:val="28"/>
        </w:rPr>
      </w:pPr>
      <w:r w:rsidRPr="005E758A">
        <w:rPr>
          <w:rFonts w:ascii="Times New Roman" w:eastAsia="標楷體" w:hAnsi="Times New Roman"/>
          <w:smallCaps/>
          <w:sz w:val="28"/>
          <w:szCs w:val="28"/>
        </w:rPr>
        <w:t xml:space="preserve">Manfred Nowak, A Commentary on the United Nations Convention on the Rights of the Child: Article 6. The Right to Life, Survival and Development </w:t>
      </w:r>
      <w:r w:rsidRPr="005E758A">
        <w:rPr>
          <w:rFonts w:ascii="Times New Roman" w:eastAsia="標楷體" w:hAnsi="Times New Roman"/>
          <w:sz w:val="28"/>
          <w:szCs w:val="28"/>
        </w:rPr>
        <w:t>(André Alen et al. eds., 2005).</w:t>
      </w:r>
    </w:p>
    <w:p w14:paraId="3721E87C" w14:textId="77777777" w:rsidR="007C1E25" w:rsidRPr="005E758A" w:rsidRDefault="007C1E25" w:rsidP="007119F4">
      <w:pPr>
        <w:pStyle w:val="a0"/>
        <w:numPr>
          <w:ilvl w:val="0"/>
          <w:numId w:val="38"/>
        </w:numPr>
        <w:snapToGrid w:val="0"/>
        <w:ind w:leftChars="0" w:left="448" w:hanging="448"/>
        <w:jc w:val="both"/>
        <w:rPr>
          <w:rFonts w:ascii="Times New Roman" w:eastAsia="標楷體" w:hAnsi="Times New Roman"/>
          <w:sz w:val="28"/>
          <w:szCs w:val="28"/>
        </w:rPr>
      </w:pPr>
      <w:r w:rsidRPr="005E758A">
        <w:rPr>
          <w:rFonts w:ascii="Times New Roman" w:eastAsia="標楷體" w:hAnsi="Times New Roman"/>
          <w:smallCaps/>
          <w:sz w:val="28"/>
          <w:szCs w:val="28"/>
        </w:rPr>
        <w:t xml:space="preserve">UNICEF, Implementation Handbook for the Convention on the Rights of the Child </w:t>
      </w:r>
      <w:r w:rsidRPr="005E758A">
        <w:rPr>
          <w:rFonts w:ascii="Times New Roman" w:eastAsia="標楷體" w:hAnsi="Times New Roman"/>
          <w:sz w:val="28"/>
          <w:szCs w:val="28"/>
        </w:rPr>
        <w:t>(3d ed. 2007).</w:t>
      </w:r>
    </w:p>
    <w:p w14:paraId="2AE0C067" w14:textId="77777777" w:rsidR="007C1E25" w:rsidRPr="005E758A" w:rsidRDefault="007C1E25" w:rsidP="007119F4">
      <w:pPr>
        <w:pStyle w:val="a0"/>
        <w:numPr>
          <w:ilvl w:val="0"/>
          <w:numId w:val="38"/>
        </w:numPr>
        <w:snapToGrid w:val="0"/>
        <w:ind w:leftChars="0" w:left="448" w:hanging="448"/>
        <w:jc w:val="both"/>
        <w:rPr>
          <w:rFonts w:ascii="Times New Roman" w:eastAsia="標楷體" w:hAnsi="Times New Roman"/>
          <w:sz w:val="28"/>
          <w:szCs w:val="28"/>
        </w:rPr>
      </w:pPr>
      <w:r w:rsidRPr="005E758A">
        <w:rPr>
          <w:rFonts w:ascii="Times New Roman" w:eastAsia="標楷體" w:hAnsi="Times New Roman"/>
          <w:sz w:val="28"/>
          <w:szCs w:val="28"/>
        </w:rPr>
        <w:t>林沛君，兒少人權向前行，臺北市，台灣展翅協會，</w:t>
      </w:r>
      <w:r w:rsidRPr="005E758A">
        <w:rPr>
          <w:rFonts w:ascii="Times New Roman" w:eastAsia="標楷體" w:hAnsi="Times New Roman"/>
          <w:sz w:val="28"/>
          <w:szCs w:val="28"/>
        </w:rPr>
        <w:t>2015</w:t>
      </w:r>
      <w:r w:rsidRPr="005E758A">
        <w:rPr>
          <w:rFonts w:ascii="Times New Roman" w:eastAsia="標楷體" w:hAnsi="Times New Roman"/>
          <w:sz w:val="28"/>
          <w:szCs w:val="28"/>
        </w:rPr>
        <w:t>年</w:t>
      </w:r>
      <w:r w:rsidRPr="005E758A">
        <w:rPr>
          <w:rFonts w:ascii="Times New Roman" w:eastAsia="標楷體" w:hAnsi="Times New Roman"/>
          <w:sz w:val="28"/>
          <w:szCs w:val="28"/>
        </w:rPr>
        <w:t>4</w:t>
      </w:r>
      <w:r w:rsidRPr="005E758A">
        <w:rPr>
          <w:rFonts w:ascii="Times New Roman" w:eastAsia="標楷體" w:hAnsi="Times New Roman"/>
          <w:sz w:val="28"/>
          <w:szCs w:val="28"/>
        </w:rPr>
        <w:t>月。</w:t>
      </w:r>
    </w:p>
    <w:p w14:paraId="0B4203B7" w14:textId="77777777" w:rsidR="007C1E25" w:rsidRPr="005E758A" w:rsidRDefault="007C1E25" w:rsidP="009554E1">
      <w:pPr>
        <w:snapToGrid w:val="0"/>
        <w:spacing w:before="100" w:beforeAutospacing="1" w:after="100" w:afterAutospacing="1"/>
        <w:rPr>
          <w:sz w:val="28"/>
          <w:szCs w:val="28"/>
        </w:rPr>
      </w:pPr>
    </w:p>
    <w:p w14:paraId="7E954437" w14:textId="77777777" w:rsidR="007C1E25" w:rsidRPr="005E758A" w:rsidRDefault="007C1E25" w:rsidP="009554E1">
      <w:pPr>
        <w:snapToGrid w:val="0"/>
        <w:spacing w:before="100" w:beforeAutospacing="1" w:after="100" w:afterAutospacing="1"/>
        <w:sectPr w:rsidR="007C1E25" w:rsidRPr="005E758A" w:rsidSect="00135FC9">
          <w:footnotePr>
            <w:numRestart w:val="eachSect"/>
          </w:footnotePr>
          <w:endnotePr>
            <w:numFmt w:val="decimal"/>
            <w:numRestart w:val="eachSect"/>
          </w:endnotePr>
          <w:pgSz w:w="11906" w:h="16838"/>
          <w:pgMar w:top="1440" w:right="1797" w:bottom="1440" w:left="1797" w:header="851" w:footer="992" w:gutter="0"/>
          <w:cols w:space="425"/>
          <w:docGrid w:linePitch="360"/>
        </w:sectPr>
      </w:pPr>
      <w:r w:rsidRPr="005E758A">
        <w:rPr>
          <w:sz w:val="28"/>
          <w:szCs w:val="28"/>
        </w:rPr>
        <w:t>關鍵字：與生俱來、生命權、生存及發展、發展權</w:t>
      </w:r>
    </w:p>
    <w:tbl>
      <w:tblPr>
        <w:tblStyle w:val="af4"/>
        <w:tblpPr w:leftFromText="180" w:rightFromText="180" w:horzAnchor="margin" w:tblpXSpec="center" w:tblpY="765"/>
        <w:tblW w:w="0" w:type="auto"/>
        <w:tblLook w:val="04A0" w:firstRow="1" w:lastRow="0" w:firstColumn="1" w:lastColumn="0" w:noHBand="0" w:noVBand="1"/>
      </w:tblPr>
      <w:tblGrid>
        <w:gridCol w:w="8302"/>
      </w:tblGrid>
      <w:tr w:rsidR="007B19B8" w:rsidRPr="005E758A" w14:paraId="71BC0A25" w14:textId="77777777" w:rsidTr="009554E1">
        <w:tc>
          <w:tcPr>
            <w:tcW w:w="8302" w:type="dxa"/>
          </w:tcPr>
          <w:p w14:paraId="3F66EFC9" w14:textId="77777777" w:rsidR="007B19B8" w:rsidRPr="005E758A" w:rsidRDefault="007B19B8" w:rsidP="009554E1">
            <w:pPr>
              <w:pStyle w:val="a0"/>
              <w:numPr>
                <w:ilvl w:val="0"/>
                <w:numId w:val="112"/>
              </w:numPr>
              <w:snapToGrid w:val="0"/>
              <w:spacing w:before="100" w:beforeAutospacing="1" w:after="100" w:afterAutospacing="1"/>
              <w:ind w:leftChars="0"/>
              <w:jc w:val="both"/>
              <w:rPr>
                <w:rFonts w:ascii="Times New Roman" w:eastAsia="標楷體" w:hAnsi="Times New Roman"/>
                <w:sz w:val="28"/>
                <w:szCs w:val="28"/>
              </w:rPr>
            </w:pPr>
            <w:bookmarkStart w:id="22" w:name="_Toc427238530"/>
            <w:r w:rsidRPr="005E758A">
              <w:rPr>
                <w:rFonts w:ascii="Times New Roman" w:eastAsia="標楷體" w:hAnsi="Times New Roman"/>
                <w:sz w:val="28"/>
                <w:szCs w:val="28"/>
              </w:rPr>
              <w:lastRenderedPageBreak/>
              <w:t>兒童於出生後應立即被登記，並自出生起即應有取得姓名及國籍之權利，並於</w:t>
            </w:r>
            <w:proofErr w:type="gramStart"/>
            <w:r w:rsidRPr="005E758A">
              <w:rPr>
                <w:rFonts w:ascii="Times New Roman" w:eastAsia="標楷體" w:hAnsi="Times New Roman"/>
                <w:sz w:val="28"/>
                <w:szCs w:val="28"/>
              </w:rPr>
              <w:t>儘</w:t>
            </w:r>
            <w:proofErr w:type="gramEnd"/>
            <w:r w:rsidRPr="005E758A">
              <w:rPr>
                <w:rFonts w:ascii="Times New Roman" w:eastAsia="標楷體" w:hAnsi="Times New Roman"/>
                <w:sz w:val="28"/>
                <w:szCs w:val="28"/>
              </w:rPr>
              <w:t>可能的範圍內有知其父母並受父母照顧的權利。</w:t>
            </w:r>
          </w:p>
          <w:p w14:paraId="6B09CAF5" w14:textId="77777777" w:rsidR="007B19B8" w:rsidRPr="005E758A" w:rsidRDefault="007B19B8" w:rsidP="009554E1">
            <w:pPr>
              <w:pStyle w:val="a0"/>
              <w:numPr>
                <w:ilvl w:val="0"/>
                <w:numId w:val="112"/>
              </w:numPr>
              <w:snapToGrid w:val="0"/>
              <w:spacing w:before="100" w:beforeAutospacing="1" w:after="100" w:afterAutospacing="1"/>
              <w:ind w:leftChars="0"/>
              <w:jc w:val="both"/>
              <w:rPr>
                <w:rFonts w:ascii="Times New Roman" w:hAnsi="Times New Roman"/>
              </w:rPr>
            </w:pPr>
            <w:r w:rsidRPr="005E758A">
              <w:rPr>
                <w:rFonts w:ascii="Times New Roman" w:eastAsia="標楷體" w:hAnsi="Times New Roman"/>
                <w:sz w:val="28"/>
                <w:szCs w:val="28"/>
              </w:rPr>
              <w:t>締約國應確保依據本國法律及其於相關國際文件中所負之義務實踐兒童前項權利，尤其若非如此，兒童將成為無國籍人。</w:t>
            </w:r>
          </w:p>
        </w:tc>
      </w:tr>
    </w:tbl>
    <w:p w14:paraId="55DE1212" w14:textId="77777777" w:rsidR="009554E1" w:rsidRDefault="009554E1" w:rsidP="009554E1">
      <w:pPr>
        <w:pStyle w:val="1"/>
        <w:rPr>
          <w:sz w:val="28"/>
          <w:szCs w:val="28"/>
        </w:rPr>
      </w:pPr>
      <w:bookmarkStart w:id="23" w:name="_Toc431072723"/>
      <w:r w:rsidRPr="005E758A">
        <w:t>第</w:t>
      </w:r>
      <w:r w:rsidRPr="005E758A">
        <w:t>7</w:t>
      </w:r>
      <w:r w:rsidRPr="005E758A">
        <w:t>條</w:t>
      </w:r>
      <w:r>
        <w:rPr>
          <w:rFonts w:hint="eastAsia"/>
        </w:rPr>
        <w:t xml:space="preserve">　出生登記、姓名及國籍</w:t>
      </w:r>
      <w:bookmarkEnd w:id="23"/>
    </w:p>
    <w:p w14:paraId="43681448" w14:textId="77777777" w:rsidR="009554E1" w:rsidRPr="009554E1" w:rsidRDefault="009554E1" w:rsidP="009554E1">
      <w:pPr>
        <w:snapToGrid w:val="0"/>
        <w:spacing w:before="100" w:beforeAutospacing="1" w:after="100" w:afterAutospacing="1"/>
        <w:jc w:val="both"/>
        <w:rPr>
          <w:sz w:val="28"/>
          <w:szCs w:val="28"/>
        </w:rPr>
      </w:pPr>
    </w:p>
    <w:p w14:paraId="0ADEDC89" w14:textId="77777777" w:rsidR="007B19B8" w:rsidRPr="005E758A" w:rsidRDefault="007B19B8" w:rsidP="00F02A5C">
      <w:pPr>
        <w:pStyle w:val="2"/>
        <w:numPr>
          <w:ilvl w:val="0"/>
          <w:numId w:val="113"/>
        </w:numPr>
        <w:rPr>
          <w:szCs w:val="28"/>
        </w:rPr>
      </w:pPr>
      <w:r w:rsidRPr="005E758A">
        <w:rPr>
          <w:szCs w:val="28"/>
        </w:rPr>
        <w:t>規範宗旨</w:t>
      </w:r>
    </w:p>
    <w:p w14:paraId="22BF2719" w14:textId="77777777" w:rsidR="007B19B8" w:rsidRPr="005E758A" w:rsidRDefault="007B19B8" w:rsidP="007B19B8">
      <w:pPr>
        <w:snapToGrid w:val="0"/>
        <w:spacing w:before="100" w:beforeAutospacing="1" w:after="100" w:afterAutospacing="1"/>
        <w:ind w:firstLineChars="200" w:firstLine="560"/>
        <w:jc w:val="both"/>
        <w:rPr>
          <w:sz w:val="28"/>
          <w:szCs w:val="28"/>
        </w:rPr>
      </w:pPr>
      <w:r w:rsidRPr="005E758A">
        <w:rPr>
          <w:sz w:val="28"/>
          <w:szCs w:val="28"/>
        </w:rPr>
        <w:t>本條規範旨在使每</w:t>
      </w:r>
      <w:proofErr w:type="gramStart"/>
      <w:r w:rsidRPr="005E758A">
        <w:rPr>
          <w:sz w:val="28"/>
          <w:szCs w:val="28"/>
        </w:rPr>
        <w:t>個</w:t>
      </w:r>
      <w:proofErr w:type="gramEnd"/>
      <w:r w:rsidRPr="005E758A">
        <w:rPr>
          <w:sz w:val="28"/>
          <w:szCs w:val="28"/>
        </w:rPr>
        <w:t>兒童接受登記並給予姓名及賦予國籍。這是承認每</w:t>
      </w:r>
      <w:proofErr w:type="gramStart"/>
      <w:r w:rsidRPr="005E758A">
        <w:rPr>
          <w:sz w:val="28"/>
          <w:szCs w:val="28"/>
        </w:rPr>
        <w:t>個</w:t>
      </w:r>
      <w:proofErr w:type="gramEnd"/>
      <w:r w:rsidRPr="005E758A">
        <w:rPr>
          <w:sz w:val="28"/>
          <w:szCs w:val="28"/>
        </w:rPr>
        <w:t>個體作為人所擁有權利的第一步，也是所有個人身分的核心要素。這些權利若不被賦予，</w:t>
      </w:r>
      <w:proofErr w:type="gramStart"/>
      <w:r w:rsidRPr="005E758A">
        <w:rPr>
          <w:sz w:val="28"/>
          <w:szCs w:val="28"/>
        </w:rPr>
        <w:t>兒童屆至成年</w:t>
      </w:r>
      <w:proofErr w:type="gramEnd"/>
      <w:r w:rsidRPr="005E758A">
        <w:rPr>
          <w:sz w:val="28"/>
          <w:szCs w:val="28"/>
        </w:rPr>
        <w:t>時，因為沒有合法的身分，將難以被承認其存在，其權利被侵犯的風險也更會因此增加</w:t>
      </w:r>
      <w:bookmarkStart w:id="24" w:name="_Ref430776979"/>
      <w:r w:rsidRPr="005E758A">
        <w:rPr>
          <w:rStyle w:val="af3"/>
          <w:sz w:val="28"/>
          <w:szCs w:val="28"/>
        </w:rPr>
        <w:endnoteReference w:id="78"/>
      </w:r>
      <w:bookmarkEnd w:id="24"/>
      <w:r w:rsidRPr="005E758A">
        <w:rPr>
          <w:sz w:val="28"/>
          <w:szCs w:val="28"/>
        </w:rPr>
        <w:t>。</w:t>
      </w:r>
    </w:p>
    <w:p w14:paraId="1A4BADD2" w14:textId="77777777" w:rsidR="007B19B8" w:rsidRPr="005E758A" w:rsidRDefault="007B19B8" w:rsidP="007B19B8">
      <w:pPr>
        <w:pStyle w:val="2"/>
        <w:rPr>
          <w:szCs w:val="28"/>
        </w:rPr>
      </w:pPr>
      <w:r w:rsidRPr="005E758A">
        <w:rPr>
          <w:szCs w:val="28"/>
        </w:rPr>
        <w:t>條文要義</w:t>
      </w:r>
    </w:p>
    <w:p w14:paraId="64580C8E" w14:textId="77777777" w:rsidR="007B19B8" w:rsidRPr="005E758A" w:rsidRDefault="007B19B8" w:rsidP="00F02A5C">
      <w:pPr>
        <w:pStyle w:val="3"/>
        <w:numPr>
          <w:ilvl w:val="0"/>
          <w:numId w:val="114"/>
        </w:numPr>
      </w:pPr>
      <w:r w:rsidRPr="005E758A">
        <w:t>第</w:t>
      </w:r>
      <w:r w:rsidRPr="005E758A">
        <w:t>7</w:t>
      </w:r>
      <w:r w:rsidRPr="005E758A">
        <w:t>條第</w:t>
      </w:r>
      <w:r w:rsidRPr="005E758A">
        <w:t>1</w:t>
      </w:r>
      <w:r w:rsidRPr="005E758A">
        <w:t>項</w:t>
      </w:r>
    </w:p>
    <w:p w14:paraId="20E6976D" w14:textId="77777777" w:rsidR="007B19B8" w:rsidRPr="005E758A" w:rsidRDefault="007B19B8" w:rsidP="00F02A5C">
      <w:pPr>
        <w:pStyle w:val="4"/>
        <w:numPr>
          <w:ilvl w:val="2"/>
          <w:numId w:val="114"/>
        </w:numPr>
      </w:pPr>
      <w:r w:rsidRPr="005E758A">
        <w:t>兒童出生後應立即被登記：</w:t>
      </w:r>
    </w:p>
    <w:p w14:paraId="494C0365" w14:textId="77777777" w:rsidR="007B19B8" w:rsidRPr="005E758A" w:rsidRDefault="007B19B8" w:rsidP="007B19B8">
      <w:pPr>
        <w:snapToGrid w:val="0"/>
        <w:spacing w:before="100" w:beforeAutospacing="1" w:after="100" w:afterAutospacing="1"/>
        <w:ind w:firstLineChars="200" w:firstLine="560"/>
        <w:jc w:val="both"/>
        <w:rPr>
          <w:sz w:val="28"/>
          <w:szCs w:val="28"/>
        </w:rPr>
      </w:pPr>
      <w:r w:rsidRPr="005E758A">
        <w:rPr>
          <w:sz w:val="28"/>
          <w:szCs w:val="28"/>
        </w:rPr>
        <w:t>出生登記被定義為一個正式紀錄，由孩童的出生國家管理，由此建立兒童的法律上身分。</w:t>
      </w:r>
      <w:bookmarkStart w:id="25" w:name="_Ref430776958"/>
      <w:r w:rsidRPr="005E758A">
        <w:rPr>
          <w:rStyle w:val="af3"/>
          <w:szCs w:val="28"/>
        </w:rPr>
        <w:endnoteReference w:id="79"/>
      </w:r>
      <w:bookmarkEnd w:id="25"/>
      <w:r w:rsidRPr="005E758A">
        <w:rPr>
          <w:sz w:val="28"/>
          <w:szCs w:val="28"/>
        </w:rPr>
        <w:t>因此，出生登記是國家承認兒童生命開始的第一道手續，也代表兒童的重要性與法律地位獲得肯定；而未經出生登記的兒童較可能會遭受忽略或是不受重視。</w:t>
      </w:r>
      <w:r w:rsidRPr="005E758A">
        <w:rPr>
          <w:rStyle w:val="af3"/>
          <w:szCs w:val="28"/>
        </w:rPr>
        <w:endnoteReference w:id="80"/>
      </w:r>
      <w:proofErr w:type="gramStart"/>
      <w:r w:rsidRPr="005E758A">
        <w:rPr>
          <w:sz w:val="28"/>
          <w:szCs w:val="28"/>
        </w:rPr>
        <w:t>此外，</w:t>
      </w:r>
      <w:proofErr w:type="gramEnd"/>
      <w:r w:rsidRPr="005E758A">
        <w:rPr>
          <w:sz w:val="28"/>
          <w:szCs w:val="28"/>
        </w:rPr>
        <w:t>出生登記之資料關係到國家對兒童的整體政策規劃，若缺乏該等基礎人口資訊，國家難以掌握幼兒出生死亡率等關係到兒童發展之統計數據，因而影響國家對兒童政策規劃之成效</w:t>
      </w:r>
      <w:r w:rsidRPr="005E758A">
        <w:rPr>
          <w:rStyle w:val="af3"/>
          <w:szCs w:val="28"/>
        </w:rPr>
        <w:endnoteReference w:id="81"/>
      </w:r>
      <w:r w:rsidRPr="005E758A">
        <w:rPr>
          <w:sz w:val="28"/>
          <w:szCs w:val="28"/>
        </w:rPr>
        <w:t>。</w:t>
      </w:r>
    </w:p>
    <w:p w14:paraId="042B0885" w14:textId="77777777" w:rsidR="007B19B8" w:rsidRPr="005E758A" w:rsidRDefault="007B19B8" w:rsidP="007B19B8">
      <w:pPr>
        <w:snapToGrid w:val="0"/>
        <w:spacing w:before="100" w:beforeAutospacing="1" w:after="100" w:afterAutospacing="1"/>
        <w:ind w:firstLineChars="200" w:firstLine="560"/>
        <w:jc w:val="both"/>
        <w:rPr>
          <w:sz w:val="28"/>
          <w:szCs w:val="28"/>
        </w:rPr>
      </w:pPr>
      <w:r w:rsidRPr="005E758A">
        <w:rPr>
          <w:sz w:val="28"/>
          <w:szCs w:val="28"/>
        </w:rPr>
        <w:t>目前締約國就出生登記幾乎已普及化，兒童權利委員會也予以肯定，然而委員會仍發現，如在阿爾吉利亞，登記官員和家庭法官往往拒絕登記非婚生子女，使得不到出生證書的難民與無國籍兒童，暴露於無國籍的風險之中，並影響他們獲得基本社會福利。</w:t>
      </w:r>
      <w:bookmarkStart w:id="26" w:name="_Ref430776813"/>
      <w:r w:rsidRPr="005E758A">
        <w:rPr>
          <w:rStyle w:val="af3"/>
          <w:szCs w:val="28"/>
        </w:rPr>
        <w:endnoteReference w:id="82"/>
      </w:r>
      <w:bookmarkEnd w:id="26"/>
    </w:p>
    <w:p w14:paraId="01F28D18" w14:textId="77777777" w:rsidR="007B19B8" w:rsidRPr="005E758A" w:rsidRDefault="007B19B8" w:rsidP="007B19B8">
      <w:pPr>
        <w:snapToGrid w:val="0"/>
        <w:spacing w:before="100" w:beforeAutospacing="1" w:after="100" w:afterAutospacing="1"/>
        <w:ind w:firstLineChars="200" w:firstLine="560"/>
        <w:jc w:val="both"/>
        <w:rPr>
          <w:sz w:val="28"/>
          <w:szCs w:val="28"/>
        </w:rPr>
      </w:pPr>
      <w:r w:rsidRPr="005E758A">
        <w:rPr>
          <w:sz w:val="28"/>
          <w:szCs w:val="28"/>
        </w:rPr>
        <w:t>本條之登記，於登記時所記載之項目至少應包含兒童之姓名、性別、出生年月日、出生地、父母姓名、地址及國籍等。</w:t>
      </w:r>
      <w:r w:rsidRPr="005E758A">
        <w:rPr>
          <w:rStyle w:val="af3"/>
          <w:szCs w:val="28"/>
        </w:rPr>
        <w:endnoteReference w:id="83"/>
      </w:r>
      <w:r w:rsidRPr="005E758A">
        <w:rPr>
          <w:sz w:val="28"/>
          <w:szCs w:val="28"/>
        </w:rPr>
        <w:t>至於登記之時點，則應於兒童出生後「立即」被登記，其</w:t>
      </w:r>
      <w:proofErr w:type="gramStart"/>
      <w:r w:rsidRPr="005E758A">
        <w:rPr>
          <w:sz w:val="28"/>
          <w:szCs w:val="28"/>
        </w:rPr>
        <w:t>文義係指</w:t>
      </w:r>
      <w:proofErr w:type="gramEnd"/>
      <w:r w:rsidRPr="005E758A">
        <w:rPr>
          <w:sz w:val="28"/>
          <w:szCs w:val="28"/>
        </w:rPr>
        <w:t>「數日」內即應登記，而非「數月」。</w:t>
      </w:r>
      <w:r w:rsidRPr="005E758A">
        <w:rPr>
          <w:rStyle w:val="af3"/>
          <w:szCs w:val="28"/>
        </w:rPr>
        <w:endnoteReference w:id="84"/>
      </w:r>
    </w:p>
    <w:p w14:paraId="511B7CBA" w14:textId="77777777" w:rsidR="007B19B8" w:rsidRPr="005E758A" w:rsidRDefault="007B19B8" w:rsidP="00F02A5C">
      <w:pPr>
        <w:pStyle w:val="4"/>
        <w:numPr>
          <w:ilvl w:val="2"/>
          <w:numId w:val="114"/>
        </w:numPr>
      </w:pPr>
      <w:r w:rsidRPr="005E758A">
        <w:t>兒童自出生起即應有取得姓名的權利：</w:t>
      </w:r>
    </w:p>
    <w:p w14:paraId="268CCF74" w14:textId="77777777" w:rsidR="007B19B8" w:rsidRPr="005E758A" w:rsidRDefault="007B19B8" w:rsidP="007B19B8">
      <w:pPr>
        <w:snapToGrid w:val="0"/>
        <w:spacing w:before="100" w:beforeAutospacing="1" w:after="100" w:afterAutospacing="1"/>
        <w:ind w:firstLineChars="200" w:firstLine="560"/>
        <w:jc w:val="both"/>
        <w:rPr>
          <w:sz w:val="28"/>
          <w:szCs w:val="28"/>
        </w:rPr>
      </w:pPr>
      <w:r w:rsidRPr="005E758A">
        <w:rPr>
          <w:sz w:val="28"/>
          <w:szCs w:val="28"/>
        </w:rPr>
        <w:lastRenderedPageBreak/>
        <w:t>此規範關係到棄嬰與非婚生子女等兒童的權利。</w:t>
      </w:r>
      <w:proofErr w:type="gramStart"/>
      <w:r w:rsidRPr="005E758A">
        <w:rPr>
          <w:sz w:val="28"/>
          <w:szCs w:val="28"/>
        </w:rPr>
        <w:t>此外，</w:t>
      </w:r>
      <w:proofErr w:type="gramEnd"/>
      <w:r w:rsidRPr="005E758A">
        <w:rPr>
          <w:sz w:val="28"/>
          <w:szCs w:val="28"/>
        </w:rPr>
        <w:t>國家應確保兒童日後具有申請變更姓名權利。</w:t>
      </w:r>
      <w:r w:rsidRPr="005E758A">
        <w:rPr>
          <w:rStyle w:val="af3"/>
          <w:szCs w:val="28"/>
        </w:rPr>
        <w:endnoteReference w:id="85"/>
      </w:r>
    </w:p>
    <w:p w14:paraId="02FF647E" w14:textId="77777777" w:rsidR="007B19B8" w:rsidRPr="005E758A" w:rsidRDefault="007B19B8" w:rsidP="00F02A5C">
      <w:pPr>
        <w:pStyle w:val="4"/>
        <w:numPr>
          <w:ilvl w:val="2"/>
          <w:numId w:val="114"/>
        </w:numPr>
      </w:pPr>
      <w:r w:rsidRPr="005E758A">
        <w:t>兒童自出生起即應有取得國籍的權利：</w:t>
      </w:r>
    </w:p>
    <w:p w14:paraId="1ABEF6F7" w14:textId="77777777" w:rsidR="007B19B8" w:rsidRPr="005E758A" w:rsidRDefault="007B19B8" w:rsidP="007B19B8">
      <w:pPr>
        <w:snapToGrid w:val="0"/>
        <w:spacing w:before="100" w:beforeAutospacing="1" w:after="100" w:afterAutospacing="1"/>
        <w:ind w:firstLineChars="200" w:firstLine="560"/>
        <w:jc w:val="both"/>
        <w:rPr>
          <w:sz w:val="28"/>
          <w:szCs w:val="28"/>
        </w:rPr>
      </w:pPr>
      <w:r w:rsidRPr="005E758A">
        <w:rPr>
          <w:sz w:val="28"/>
          <w:szCs w:val="28"/>
        </w:rPr>
        <w:t>根據公約第</w:t>
      </w:r>
      <w:r w:rsidRPr="005E758A">
        <w:rPr>
          <w:sz w:val="28"/>
          <w:szCs w:val="28"/>
        </w:rPr>
        <w:t>2</w:t>
      </w:r>
      <w:r w:rsidRPr="005E758A">
        <w:rPr>
          <w:sz w:val="28"/>
          <w:szCs w:val="28"/>
        </w:rPr>
        <w:t>條及第</w:t>
      </w:r>
      <w:r w:rsidRPr="005E758A">
        <w:rPr>
          <w:sz w:val="28"/>
          <w:szCs w:val="28"/>
        </w:rPr>
        <w:t>7</w:t>
      </w:r>
      <w:r w:rsidRPr="005E758A">
        <w:rPr>
          <w:sz w:val="28"/>
          <w:szCs w:val="28"/>
        </w:rPr>
        <w:t>條，締約國有責任確保其管轄範圍內的所有兒童，不論本人或父母或法定監護人的性別、種族、宗教或族裔、社會出生或地位，均享有獲得登記和國籍的權利。</w:t>
      </w:r>
      <w:r w:rsidRPr="005E758A">
        <w:rPr>
          <w:rStyle w:val="af3"/>
          <w:szCs w:val="28"/>
        </w:rPr>
        <w:endnoteReference w:id="86"/>
      </w:r>
    </w:p>
    <w:p w14:paraId="2B151642" w14:textId="77777777" w:rsidR="007B19B8" w:rsidRPr="005E758A" w:rsidRDefault="007B19B8" w:rsidP="007B19B8">
      <w:pPr>
        <w:snapToGrid w:val="0"/>
        <w:spacing w:before="100" w:beforeAutospacing="1" w:after="100" w:afterAutospacing="1"/>
        <w:ind w:firstLineChars="200" w:firstLine="560"/>
        <w:jc w:val="both"/>
        <w:rPr>
          <w:sz w:val="28"/>
          <w:szCs w:val="28"/>
        </w:rPr>
      </w:pPr>
      <w:r w:rsidRPr="005E758A">
        <w:rPr>
          <w:sz w:val="28"/>
          <w:szCs w:val="28"/>
        </w:rPr>
        <w:t>此規範所涉及之主要問題在於國內出生之兒童，其國籍之取得是否有資格區分之問題，例如出生於國內，父母卻為外籍人士之情形。本條要求締約國應依其相關國際公約所負擔之義務來落實本條之兒童權利。</w:t>
      </w:r>
    </w:p>
    <w:p w14:paraId="6303B91E" w14:textId="77777777" w:rsidR="007B19B8" w:rsidRPr="005E758A" w:rsidRDefault="007B19B8" w:rsidP="007B19B8">
      <w:pPr>
        <w:snapToGrid w:val="0"/>
        <w:spacing w:before="100" w:beforeAutospacing="1" w:after="100" w:afterAutospacing="1"/>
        <w:ind w:firstLineChars="200" w:firstLine="560"/>
        <w:jc w:val="both"/>
        <w:rPr>
          <w:sz w:val="28"/>
          <w:szCs w:val="28"/>
        </w:rPr>
      </w:pPr>
      <w:r w:rsidRPr="005E758A">
        <w:rPr>
          <w:sz w:val="28"/>
          <w:szCs w:val="28"/>
        </w:rPr>
        <w:t>依據聯合國人權事務委員會之解釋，本條之權利並不當然等同於所有於國內出生之兒童皆取得該國之國籍，但各締約國應透過如國際合作等各種方式，確保兒童於出生時即能享有特定國家之國籍。</w:t>
      </w:r>
      <w:r w:rsidRPr="005E758A">
        <w:rPr>
          <w:rStyle w:val="af3"/>
          <w:szCs w:val="28"/>
        </w:rPr>
        <w:endnoteReference w:id="87"/>
      </w:r>
    </w:p>
    <w:p w14:paraId="20E19741" w14:textId="77777777" w:rsidR="007B19B8" w:rsidRPr="005E758A" w:rsidRDefault="007B19B8" w:rsidP="00F02A5C">
      <w:pPr>
        <w:pStyle w:val="4"/>
        <w:numPr>
          <w:ilvl w:val="2"/>
          <w:numId w:val="114"/>
        </w:numPr>
      </w:pPr>
      <w:r w:rsidRPr="005E758A">
        <w:t>兒童於「盡可能的範圍內有知其父母」的權利：</w:t>
      </w:r>
    </w:p>
    <w:p w14:paraId="09746CE9" w14:textId="77777777" w:rsidR="007B19B8" w:rsidRPr="005E758A" w:rsidRDefault="007B19B8" w:rsidP="007B19B8">
      <w:pPr>
        <w:snapToGrid w:val="0"/>
        <w:spacing w:before="100" w:beforeAutospacing="1" w:after="100" w:afterAutospacing="1"/>
        <w:ind w:firstLineChars="200" w:firstLine="560"/>
        <w:jc w:val="both"/>
        <w:rPr>
          <w:sz w:val="28"/>
          <w:szCs w:val="28"/>
        </w:rPr>
      </w:pPr>
      <w:r w:rsidRPr="005E758A">
        <w:rPr>
          <w:sz w:val="28"/>
          <w:szCs w:val="28"/>
        </w:rPr>
        <w:t>此「父母」的範圍是否包括人工受孕之精子捐贈者？以及「匿名收養</w:t>
      </w:r>
      <w:r w:rsidR="00B95E03">
        <w:rPr>
          <w:rFonts w:hint="eastAsia"/>
          <w:sz w:val="28"/>
          <w:szCs w:val="28"/>
        </w:rPr>
        <w:t>(</w:t>
      </w:r>
      <w:r w:rsidRPr="005E758A">
        <w:rPr>
          <w:sz w:val="28"/>
          <w:szCs w:val="28"/>
        </w:rPr>
        <w:t>secret adoption</w:t>
      </w:r>
      <w:r w:rsidR="00B95E03">
        <w:rPr>
          <w:sz w:val="28"/>
          <w:szCs w:val="28"/>
        </w:rPr>
        <w:t>)</w:t>
      </w:r>
      <w:r w:rsidRPr="005E758A">
        <w:rPr>
          <w:sz w:val="28"/>
          <w:szCs w:val="28"/>
        </w:rPr>
        <w:t>」的</w:t>
      </w:r>
      <w:proofErr w:type="gramStart"/>
      <w:r w:rsidRPr="005E758A">
        <w:rPr>
          <w:sz w:val="28"/>
          <w:szCs w:val="28"/>
        </w:rPr>
        <w:t>採</w:t>
      </w:r>
      <w:proofErr w:type="gramEnd"/>
      <w:r w:rsidRPr="005E758A">
        <w:rPr>
          <w:sz w:val="28"/>
          <w:szCs w:val="28"/>
        </w:rPr>
        <w:t>行與否，皆為此規定有所爭議之處。例如奧地利為確保兒童擁有瞭解其身世的權利，即立法禁止匿名收養。</w:t>
      </w:r>
      <w:r w:rsidRPr="005E758A">
        <w:rPr>
          <w:rStyle w:val="af3"/>
          <w:szCs w:val="28"/>
        </w:rPr>
        <w:endnoteReference w:id="88"/>
      </w:r>
    </w:p>
    <w:p w14:paraId="5282E762" w14:textId="77777777" w:rsidR="007B19B8" w:rsidRPr="005E758A" w:rsidRDefault="007B19B8" w:rsidP="00F02A5C">
      <w:pPr>
        <w:pStyle w:val="4"/>
        <w:numPr>
          <w:ilvl w:val="2"/>
          <w:numId w:val="114"/>
        </w:numPr>
      </w:pPr>
      <w:r w:rsidRPr="005E758A">
        <w:t>兒童於「盡可能的範圍內受父母照顧」的權利：</w:t>
      </w:r>
    </w:p>
    <w:p w14:paraId="02F3720C" w14:textId="77777777" w:rsidR="007B19B8" w:rsidRPr="005E758A" w:rsidRDefault="007B19B8" w:rsidP="007B19B8">
      <w:pPr>
        <w:snapToGrid w:val="0"/>
        <w:spacing w:before="100" w:beforeAutospacing="1" w:after="100" w:afterAutospacing="1"/>
        <w:ind w:firstLineChars="200" w:firstLine="560"/>
        <w:jc w:val="both"/>
        <w:rPr>
          <w:sz w:val="28"/>
          <w:szCs w:val="28"/>
        </w:rPr>
      </w:pPr>
      <w:r w:rsidRPr="005E758A">
        <w:rPr>
          <w:sz w:val="28"/>
          <w:szCs w:val="28"/>
        </w:rPr>
        <w:t>本規定應同時與第</w:t>
      </w:r>
      <w:r w:rsidRPr="005E758A">
        <w:rPr>
          <w:sz w:val="28"/>
          <w:szCs w:val="28"/>
        </w:rPr>
        <w:t>5</w:t>
      </w:r>
      <w:r w:rsidRPr="005E758A">
        <w:rPr>
          <w:sz w:val="28"/>
          <w:szCs w:val="28"/>
        </w:rPr>
        <w:t>條（家庭的概念）、第</w:t>
      </w:r>
      <w:r w:rsidRPr="005E758A">
        <w:rPr>
          <w:sz w:val="28"/>
          <w:szCs w:val="28"/>
        </w:rPr>
        <w:t>9</w:t>
      </w:r>
      <w:r w:rsidRPr="005E758A">
        <w:rPr>
          <w:sz w:val="28"/>
          <w:szCs w:val="28"/>
        </w:rPr>
        <w:t>條（兒童不與父母分離）、第</w:t>
      </w:r>
      <w:r w:rsidRPr="005E758A">
        <w:rPr>
          <w:sz w:val="28"/>
          <w:szCs w:val="28"/>
        </w:rPr>
        <w:t>18</w:t>
      </w:r>
      <w:r w:rsidRPr="005E758A">
        <w:rPr>
          <w:sz w:val="28"/>
          <w:szCs w:val="28"/>
        </w:rPr>
        <w:t>條（父母共同責任）以及第</w:t>
      </w:r>
      <w:r w:rsidRPr="005E758A">
        <w:rPr>
          <w:sz w:val="28"/>
          <w:szCs w:val="28"/>
        </w:rPr>
        <w:t>27</w:t>
      </w:r>
      <w:r w:rsidRPr="005E758A">
        <w:rPr>
          <w:sz w:val="28"/>
          <w:szCs w:val="28"/>
        </w:rPr>
        <w:t>條（國家協助父母的責任）交互參照。本條在實踐上所面臨之問題在於對自行選擇逃離父母照護之兒童，應如何對應及處置。就此，國家應建置以兒童為中心之彈性機制，且不應於尚未查證兒童逃家之原因及考量其他替代方案之可行性前，即強制將其送返家庭。</w:t>
      </w:r>
      <w:r w:rsidRPr="005E758A">
        <w:rPr>
          <w:rStyle w:val="af3"/>
          <w:szCs w:val="28"/>
        </w:rPr>
        <w:endnoteReference w:id="89"/>
      </w:r>
    </w:p>
    <w:p w14:paraId="506AE8DC" w14:textId="77777777" w:rsidR="007B19B8" w:rsidRPr="005E758A" w:rsidRDefault="007B19B8" w:rsidP="007B19B8">
      <w:pPr>
        <w:pStyle w:val="3"/>
      </w:pPr>
      <w:r w:rsidRPr="005E758A">
        <w:t>第</w:t>
      </w:r>
      <w:r w:rsidRPr="005E758A">
        <w:t>7</w:t>
      </w:r>
      <w:r w:rsidRPr="005E758A">
        <w:t>條第</w:t>
      </w:r>
      <w:r w:rsidRPr="005E758A">
        <w:t>2</w:t>
      </w:r>
      <w:r w:rsidRPr="005E758A">
        <w:t>項</w:t>
      </w:r>
    </w:p>
    <w:p w14:paraId="30742A19" w14:textId="77777777" w:rsidR="007B19B8" w:rsidRPr="005E758A" w:rsidRDefault="007B19B8" w:rsidP="007B19B8">
      <w:pPr>
        <w:snapToGrid w:val="0"/>
        <w:spacing w:before="100" w:beforeAutospacing="1" w:after="100" w:afterAutospacing="1"/>
        <w:ind w:firstLineChars="200" w:firstLine="560"/>
        <w:jc w:val="both"/>
        <w:rPr>
          <w:sz w:val="28"/>
          <w:szCs w:val="28"/>
        </w:rPr>
      </w:pPr>
      <w:r w:rsidRPr="005E758A">
        <w:rPr>
          <w:sz w:val="28"/>
          <w:szCs w:val="28"/>
        </w:rPr>
        <w:t>本條第</w:t>
      </w:r>
      <w:r w:rsidRPr="005E758A">
        <w:rPr>
          <w:sz w:val="28"/>
          <w:szCs w:val="28"/>
        </w:rPr>
        <w:t>2</w:t>
      </w:r>
      <w:r w:rsidRPr="005E758A">
        <w:rPr>
          <w:sz w:val="28"/>
          <w:szCs w:val="28"/>
        </w:rPr>
        <w:t>項，所謂確保「依據本國法律及其餘相關國際文件中所負之義務」</w:t>
      </w:r>
      <w:proofErr w:type="gramStart"/>
      <w:r w:rsidRPr="005E758A">
        <w:rPr>
          <w:sz w:val="28"/>
          <w:szCs w:val="28"/>
        </w:rPr>
        <w:t>一</w:t>
      </w:r>
      <w:proofErr w:type="gramEnd"/>
      <w:r w:rsidRPr="005E758A">
        <w:rPr>
          <w:sz w:val="28"/>
          <w:szCs w:val="28"/>
        </w:rPr>
        <w:t>語，常被兒童權利委員會用以促請阿爾及利亞：</w:t>
      </w:r>
      <w:r w:rsidRPr="005E758A">
        <w:rPr>
          <w:sz w:val="28"/>
          <w:szCs w:val="28"/>
        </w:rPr>
        <w:t>1.</w:t>
      </w:r>
      <w:r w:rsidRPr="005E758A">
        <w:rPr>
          <w:sz w:val="28"/>
          <w:szCs w:val="28"/>
        </w:rPr>
        <w:t>依其國籍法規定，確保所有母親為阿爾及利亞人，父親為外國人的子女自動地獲得其母親的國籍；</w:t>
      </w:r>
      <w:r w:rsidRPr="005E758A">
        <w:rPr>
          <w:sz w:val="28"/>
          <w:szCs w:val="28"/>
        </w:rPr>
        <w:t>2.</w:t>
      </w:r>
      <w:r w:rsidRPr="005E758A">
        <w:rPr>
          <w:sz w:val="28"/>
          <w:szCs w:val="28"/>
        </w:rPr>
        <w:t>向家庭法官和民事登記官員發出明確指示：根據法律，非婚生子女在其母親提出此類請求時以其母親的姓氏登記；</w:t>
      </w:r>
      <w:r w:rsidRPr="005E758A">
        <w:rPr>
          <w:sz w:val="28"/>
          <w:szCs w:val="28"/>
        </w:rPr>
        <w:lastRenderedPageBreak/>
        <w:t>3.</w:t>
      </w:r>
      <w:r w:rsidRPr="005E758A">
        <w:rPr>
          <w:sz w:val="28"/>
          <w:szCs w:val="28"/>
        </w:rPr>
        <w:t>確保家庭能夠自由地為其子女選擇姓氏而不受到民事登記官員的干擾及；</w:t>
      </w:r>
      <w:r w:rsidRPr="005E758A">
        <w:rPr>
          <w:sz w:val="28"/>
          <w:szCs w:val="28"/>
        </w:rPr>
        <w:t>4.</w:t>
      </w:r>
      <w:r w:rsidRPr="005E758A">
        <w:rPr>
          <w:sz w:val="28"/>
          <w:szCs w:val="28"/>
        </w:rPr>
        <w:t>批准</w:t>
      </w:r>
      <w:r w:rsidRPr="005E758A">
        <w:rPr>
          <w:sz w:val="28"/>
          <w:szCs w:val="28"/>
        </w:rPr>
        <w:t>1961</w:t>
      </w:r>
      <w:r w:rsidRPr="005E758A">
        <w:rPr>
          <w:sz w:val="28"/>
          <w:szCs w:val="28"/>
        </w:rPr>
        <w:t>年減少無國籍狀態公約。</w:t>
      </w:r>
      <w:r w:rsidRPr="005E758A">
        <w:rPr>
          <w:rStyle w:val="af3"/>
          <w:szCs w:val="28"/>
        </w:rPr>
        <w:endnoteReference w:id="90"/>
      </w:r>
    </w:p>
    <w:p w14:paraId="737FDA52" w14:textId="77777777" w:rsidR="007B19B8" w:rsidRPr="005E758A" w:rsidRDefault="007B19B8" w:rsidP="007B19B8">
      <w:pPr>
        <w:snapToGrid w:val="0"/>
        <w:spacing w:before="100" w:beforeAutospacing="1" w:after="100" w:afterAutospacing="1"/>
        <w:ind w:firstLineChars="200" w:firstLine="560"/>
        <w:jc w:val="both"/>
        <w:rPr>
          <w:sz w:val="28"/>
          <w:szCs w:val="28"/>
        </w:rPr>
      </w:pPr>
      <w:r w:rsidRPr="005E758A">
        <w:rPr>
          <w:sz w:val="28"/>
          <w:szCs w:val="28"/>
        </w:rPr>
        <w:t>另本條所稱之國際文件，主要亦係指前述所提及之減少無國籍狀態公約（</w:t>
      </w:r>
      <w:r w:rsidRPr="005E758A">
        <w:rPr>
          <w:sz w:val="28"/>
          <w:szCs w:val="28"/>
        </w:rPr>
        <w:t>1961</w:t>
      </w:r>
      <w:r w:rsidRPr="005E758A">
        <w:rPr>
          <w:sz w:val="28"/>
          <w:szCs w:val="28"/>
        </w:rPr>
        <w:t>年）。依據該公約之規定，兒童如為無國籍人，應能取得其出生地國家之國籍，倘若該兒童未依相關規定獲得前開國籍登記者，則應取得父母</w:t>
      </w:r>
      <w:proofErr w:type="gramStart"/>
      <w:r w:rsidRPr="005E758A">
        <w:rPr>
          <w:sz w:val="28"/>
          <w:szCs w:val="28"/>
        </w:rPr>
        <w:t>一</w:t>
      </w:r>
      <w:proofErr w:type="gramEnd"/>
      <w:r w:rsidRPr="005E758A">
        <w:rPr>
          <w:sz w:val="28"/>
          <w:szCs w:val="28"/>
        </w:rPr>
        <w:t>方之國籍（部份情況除外）。然而因賦予國籍涉及國家主權之範疇，經各國協商後，公約允許各國視本國法律及其餘相關國際文件中所負擔之義務來履行即</w:t>
      </w:r>
      <w:proofErr w:type="gramStart"/>
      <w:r w:rsidRPr="005E758A">
        <w:rPr>
          <w:sz w:val="28"/>
          <w:szCs w:val="28"/>
        </w:rPr>
        <w:t>可</w:t>
      </w:r>
      <w:proofErr w:type="gramEnd"/>
      <w:r w:rsidRPr="005E758A">
        <w:rPr>
          <w:rStyle w:val="af3"/>
          <w:szCs w:val="28"/>
        </w:rPr>
        <w:endnoteReference w:id="91"/>
      </w:r>
      <w:r w:rsidRPr="005E758A">
        <w:rPr>
          <w:sz w:val="28"/>
          <w:szCs w:val="28"/>
        </w:rPr>
        <w:t>，故並未將減少無國籍狀態公約之標準納入本條規範。</w:t>
      </w:r>
      <w:r w:rsidRPr="005E758A">
        <w:rPr>
          <w:rStyle w:val="af3"/>
          <w:szCs w:val="28"/>
        </w:rPr>
        <w:endnoteReference w:id="92"/>
      </w:r>
    </w:p>
    <w:p w14:paraId="0AE76272" w14:textId="77777777" w:rsidR="007B19B8" w:rsidRPr="005E758A" w:rsidRDefault="007B19B8" w:rsidP="007B19B8">
      <w:pPr>
        <w:pStyle w:val="2"/>
      </w:pPr>
      <w:r w:rsidRPr="005E758A">
        <w:t>案例介紹</w:t>
      </w:r>
    </w:p>
    <w:p w14:paraId="69B85D31" w14:textId="77777777" w:rsidR="007B19B8" w:rsidRPr="005E758A" w:rsidRDefault="007B19B8" w:rsidP="00F02A5C">
      <w:pPr>
        <w:pStyle w:val="3"/>
        <w:numPr>
          <w:ilvl w:val="0"/>
          <w:numId w:val="115"/>
        </w:numPr>
      </w:pPr>
      <w:r w:rsidRPr="005E758A">
        <w:t>1994</w:t>
      </w:r>
      <w:r w:rsidRPr="005E758A">
        <w:t>年</w:t>
      </w:r>
      <w:r w:rsidRPr="005E758A">
        <w:rPr>
          <w:szCs w:val="28"/>
        </w:rPr>
        <w:t>歐洲人權法院</w:t>
      </w:r>
      <w:r w:rsidRPr="005E758A">
        <w:t>收養案</w:t>
      </w:r>
      <w:r w:rsidR="00890E44" w:rsidRPr="005E758A">
        <w:t>：</w:t>
      </w:r>
      <w:r w:rsidRPr="005E758A">
        <w:t>Keegan v. Ireland</w:t>
      </w:r>
      <w:r w:rsidRPr="005E758A">
        <w:rPr>
          <w:rStyle w:val="af3"/>
          <w:szCs w:val="28"/>
        </w:rPr>
        <w:endnoteReference w:id="93"/>
      </w:r>
    </w:p>
    <w:p w14:paraId="60DC2054" w14:textId="77777777" w:rsidR="007B19B8" w:rsidRPr="005E758A" w:rsidRDefault="007B19B8" w:rsidP="007B19B8">
      <w:pPr>
        <w:snapToGrid w:val="0"/>
        <w:spacing w:before="100" w:beforeAutospacing="1" w:after="100" w:afterAutospacing="1"/>
        <w:ind w:firstLineChars="200" w:firstLine="560"/>
        <w:jc w:val="both"/>
        <w:rPr>
          <w:sz w:val="28"/>
          <w:szCs w:val="28"/>
        </w:rPr>
      </w:pPr>
      <w:r w:rsidRPr="005E758A">
        <w:rPr>
          <w:sz w:val="28"/>
          <w:szCs w:val="28"/>
        </w:rPr>
        <w:t>一對同居伴侶決定生孩子。然而當女方懷孕後，其伴侶已離開，在男方不知情的情況下，女方決定不告知男方，將所生之子出養。男方直到其子被出養到新家庭後，</w:t>
      </w:r>
      <w:proofErr w:type="gramStart"/>
      <w:r w:rsidRPr="005E758A">
        <w:rPr>
          <w:sz w:val="28"/>
          <w:szCs w:val="28"/>
        </w:rPr>
        <w:t>方知出養</w:t>
      </w:r>
      <w:proofErr w:type="gramEnd"/>
      <w:r w:rsidRPr="005E758A">
        <w:rPr>
          <w:sz w:val="28"/>
          <w:szCs w:val="28"/>
        </w:rPr>
        <w:t>事實，因此認為將孩子出養的行為，違反其身為父親的權利。</w:t>
      </w:r>
    </w:p>
    <w:p w14:paraId="77D11632" w14:textId="77777777" w:rsidR="007B19B8" w:rsidRPr="005E758A" w:rsidRDefault="007B19B8" w:rsidP="007B19B8">
      <w:pPr>
        <w:snapToGrid w:val="0"/>
        <w:spacing w:before="100" w:beforeAutospacing="1" w:after="100" w:afterAutospacing="1"/>
        <w:ind w:firstLineChars="200" w:firstLine="560"/>
        <w:jc w:val="both"/>
        <w:rPr>
          <w:sz w:val="28"/>
          <w:szCs w:val="28"/>
        </w:rPr>
      </w:pPr>
      <w:r w:rsidRPr="005E758A">
        <w:rPr>
          <w:sz w:val="28"/>
          <w:szCs w:val="28"/>
        </w:rPr>
        <w:t>歐洲人權法院認為孩童出生後孩童與其雙親之連</w:t>
      </w:r>
      <w:proofErr w:type="gramStart"/>
      <w:r w:rsidRPr="005E758A">
        <w:rPr>
          <w:sz w:val="28"/>
          <w:szCs w:val="28"/>
        </w:rPr>
        <w:t>繫</w:t>
      </w:r>
      <w:proofErr w:type="gramEnd"/>
      <w:r w:rsidRPr="005E758A">
        <w:rPr>
          <w:sz w:val="28"/>
          <w:szCs w:val="28"/>
        </w:rPr>
        <w:t>，即使雙親關係結束後，仍然存在。依愛爾蘭法律規定收養得於生父不知情或無事前同意之前提下認可收養孩童，係侵害了孩童與雙親間之家庭連</w:t>
      </w:r>
      <w:proofErr w:type="gramStart"/>
      <w:r w:rsidRPr="005E758A">
        <w:rPr>
          <w:sz w:val="28"/>
          <w:szCs w:val="28"/>
        </w:rPr>
        <w:t>繫</w:t>
      </w:r>
      <w:proofErr w:type="gramEnd"/>
      <w:r w:rsidRPr="005E758A">
        <w:rPr>
          <w:sz w:val="28"/>
          <w:szCs w:val="28"/>
        </w:rPr>
        <w:t>，並且無正當理由侵害了生父之家庭生活權。法院亦提及根據聯合國兒童權利公約之規定，於一般情狀下，孩童有權利於其雙親之照護下成長，時間越久越好。</w:t>
      </w:r>
    </w:p>
    <w:p w14:paraId="2B4D7AA5" w14:textId="77777777" w:rsidR="007B19B8" w:rsidRPr="005E758A" w:rsidRDefault="007B19B8" w:rsidP="00F02A5C">
      <w:pPr>
        <w:pStyle w:val="3"/>
        <w:numPr>
          <w:ilvl w:val="0"/>
          <w:numId w:val="115"/>
        </w:numPr>
        <w:rPr>
          <w:szCs w:val="28"/>
        </w:rPr>
      </w:pPr>
      <w:r w:rsidRPr="005E758A">
        <w:rPr>
          <w:szCs w:val="28"/>
        </w:rPr>
        <w:t>2011</w:t>
      </w:r>
      <w:r w:rsidRPr="005E758A">
        <w:rPr>
          <w:szCs w:val="28"/>
        </w:rPr>
        <w:t>年英國</w:t>
      </w:r>
      <w:r w:rsidR="001D05F5" w:rsidRPr="005E758A">
        <w:rPr>
          <w:szCs w:val="28"/>
        </w:rPr>
        <w:t>最高法院</w:t>
      </w:r>
      <w:r w:rsidRPr="005E758A">
        <w:rPr>
          <w:szCs w:val="28"/>
        </w:rPr>
        <w:t>坦尚尼亞移民案</w:t>
      </w:r>
      <w:r w:rsidR="00890E44" w:rsidRPr="005E758A">
        <w:rPr>
          <w:szCs w:val="28"/>
        </w:rPr>
        <w:t>：</w:t>
      </w:r>
      <w:r w:rsidRPr="005E758A">
        <w:rPr>
          <w:szCs w:val="28"/>
        </w:rPr>
        <w:t>ZH v. Secretary of State for the Home Department</w:t>
      </w:r>
      <w:r w:rsidRPr="005E758A">
        <w:rPr>
          <w:rStyle w:val="af3"/>
          <w:szCs w:val="28"/>
        </w:rPr>
        <w:endnoteReference w:id="94"/>
      </w:r>
    </w:p>
    <w:p w14:paraId="5666D6CB" w14:textId="77777777" w:rsidR="007B19B8" w:rsidRPr="005E758A" w:rsidRDefault="007B19B8" w:rsidP="007B19B8">
      <w:pPr>
        <w:snapToGrid w:val="0"/>
        <w:spacing w:before="100" w:beforeAutospacing="1" w:after="100" w:afterAutospacing="1"/>
        <w:ind w:firstLineChars="200" w:firstLine="560"/>
        <w:jc w:val="both"/>
        <w:rPr>
          <w:sz w:val="28"/>
          <w:szCs w:val="28"/>
        </w:rPr>
      </w:pPr>
      <w:r w:rsidRPr="005E758A">
        <w:rPr>
          <w:sz w:val="28"/>
          <w:szCs w:val="28"/>
        </w:rPr>
        <w:t>本案</w:t>
      </w:r>
      <w:r w:rsidRPr="005E758A">
        <w:rPr>
          <w:sz w:val="28"/>
          <w:szCs w:val="28"/>
        </w:rPr>
        <w:t>ZH</w:t>
      </w:r>
      <w:r w:rsidRPr="005E758A">
        <w:rPr>
          <w:sz w:val="28"/>
          <w:szCs w:val="28"/>
        </w:rPr>
        <w:t>為坦尚尼亞國民，於</w:t>
      </w:r>
      <w:r w:rsidRPr="005E758A">
        <w:rPr>
          <w:sz w:val="28"/>
          <w:szCs w:val="28"/>
        </w:rPr>
        <w:t>1995</w:t>
      </w:r>
      <w:r w:rsidRPr="005E758A">
        <w:rPr>
          <w:sz w:val="28"/>
          <w:szCs w:val="28"/>
        </w:rPr>
        <w:t>年</w:t>
      </w:r>
      <w:r w:rsidRPr="005E758A">
        <w:rPr>
          <w:sz w:val="28"/>
          <w:szCs w:val="28"/>
        </w:rPr>
        <w:t>20</w:t>
      </w:r>
      <w:r w:rsidRPr="005E758A">
        <w:rPr>
          <w:sz w:val="28"/>
          <w:szCs w:val="28"/>
        </w:rPr>
        <w:t>歲時移民至英國。她曾三度向英國政府要求庇護，其中一次使用真實的個人資料，另兩次則使用假資料。</w:t>
      </w:r>
      <w:r w:rsidRPr="005E758A">
        <w:rPr>
          <w:sz w:val="28"/>
          <w:szCs w:val="28"/>
        </w:rPr>
        <w:t>1997</w:t>
      </w:r>
      <w:r w:rsidRPr="005E758A">
        <w:rPr>
          <w:sz w:val="28"/>
          <w:szCs w:val="28"/>
        </w:rPr>
        <w:t>年，</w:t>
      </w:r>
      <w:r w:rsidRPr="005E758A">
        <w:rPr>
          <w:sz w:val="28"/>
          <w:szCs w:val="28"/>
        </w:rPr>
        <w:t>ZH</w:t>
      </w:r>
      <w:r w:rsidRPr="005E758A">
        <w:rPr>
          <w:sz w:val="28"/>
          <w:szCs w:val="28"/>
        </w:rPr>
        <w:t>認識了一名英國公民並與其交往，隨後生了</w:t>
      </w:r>
      <w:r w:rsidR="009554E1">
        <w:rPr>
          <w:rFonts w:hint="eastAsia"/>
          <w:sz w:val="28"/>
          <w:szCs w:val="28"/>
        </w:rPr>
        <w:t>2</w:t>
      </w:r>
      <w:r w:rsidRPr="005E758A">
        <w:rPr>
          <w:sz w:val="28"/>
          <w:szCs w:val="28"/>
        </w:rPr>
        <w:t>名子女，</w:t>
      </w:r>
      <w:r w:rsidR="009554E1">
        <w:rPr>
          <w:rFonts w:hint="eastAsia"/>
          <w:sz w:val="28"/>
          <w:szCs w:val="28"/>
        </w:rPr>
        <w:t>2</w:t>
      </w:r>
      <w:r w:rsidRPr="005E758A">
        <w:rPr>
          <w:sz w:val="28"/>
          <w:szCs w:val="28"/>
        </w:rPr>
        <w:t>名子女擁有英國公民身分。</w:t>
      </w:r>
      <w:r w:rsidRPr="005E758A">
        <w:rPr>
          <w:sz w:val="28"/>
          <w:szCs w:val="28"/>
        </w:rPr>
        <w:t>ZH</w:t>
      </w:r>
      <w:r w:rsidRPr="005E758A">
        <w:rPr>
          <w:sz w:val="28"/>
          <w:szCs w:val="28"/>
        </w:rPr>
        <w:t>之後於</w:t>
      </w:r>
      <w:r w:rsidRPr="005E758A">
        <w:rPr>
          <w:sz w:val="28"/>
          <w:szCs w:val="28"/>
        </w:rPr>
        <w:t>2005</w:t>
      </w:r>
      <w:r w:rsidRPr="005E758A">
        <w:rPr>
          <w:sz w:val="28"/>
          <w:szCs w:val="28"/>
        </w:rPr>
        <w:t>年與其男友分手，</w:t>
      </w:r>
      <w:r w:rsidR="009554E1">
        <w:rPr>
          <w:rFonts w:hint="eastAsia"/>
          <w:sz w:val="28"/>
          <w:szCs w:val="28"/>
        </w:rPr>
        <w:t>2</w:t>
      </w:r>
      <w:r w:rsidRPr="005E758A">
        <w:rPr>
          <w:sz w:val="28"/>
          <w:szCs w:val="28"/>
        </w:rPr>
        <w:t>名子女由其養育，但其父親仍持續性的探訪，每</w:t>
      </w:r>
      <w:proofErr w:type="gramStart"/>
      <w:r w:rsidRPr="005E758A">
        <w:rPr>
          <w:sz w:val="28"/>
          <w:szCs w:val="28"/>
        </w:rPr>
        <w:t>個</w:t>
      </w:r>
      <w:proofErr w:type="gramEnd"/>
      <w:r w:rsidRPr="005E758A">
        <w:rPr>
          <w:sz w:val="28"/>
          <w:szCs w:val="28"/>
        </w:rPr>
        <w:t>月大約</w:t>
      </w:r>
      <w:r w:rsidRPr="005E758A">
        <w:rPr>
          <w:sz w:val="28"/>
          <w:szCs w:val="28"/>
        </w:rPr>
        <w:t>2</w:t>
      </w:r>
      <w:r w:rsidRPr="005E758A">
        <w:rPr>
          <w:sz w:val="28"/>
          <w:szCs w:val="28"/>
        </w:rPr>
        <w:t>次，</w:t>
      </w:r>
      <w:r w:rsidRPr="005E758A">
        <w:rPr>
          <w:sz w:val="28"/>
          <w:szCs w:val="28"/>
        </w:rPr>
        <w:t>1</w:t>
      </w:r>
      <w:r w:rsidRPr="005E758A">
        <w:rPr>
          <w:sz w:val="28"/>
          <w:szCs w:val="28"/>
        </w:rPr>
        <w:t>次大約停留</w:t>
      </w:r>
      <w:r w:rsidRPr="005E758A">
        <w:rPr>
          <w:sz w:val="28"/>
          <w:szCs w:val="28"/>
        </w:rPr>
        <w:t>4</w:t>
      </w:r>
      <w:r w:rsidRPr="005E758A">
        <w:rPr>
          <w:sz w:val="28"/>
          <w:szCs w:val="28"/>
        </w:rPr>
        <w:t>至</w:t>
      </w:r>
      <w:r w:rsidRPr="005E758A">
        <w:rPr>
          <w:sz w:val="28"/>
          <w:szCs w:val="28"/>
        </w:rPr>
        <w:t>5</w:t>
      </w:r>
      <w:r w:rsidRPr="005E758A">
        <w:rPr>
          <w:sz w:val="28"/>
          <w:szCs w:val="28"/>
        </w:rPr>
        <w:t>天。該名父親乃</w:t>
      </w:r>
      <w:r w:rsidRPr="005E758A">
        <w:rPr>
          <w:sz w:val="28"/>
          <w:szCs w:val="28"/>
        </w:rPr>
        <w:t>HIV</w:t>
      </w:r>
      <w:r w:rsidRPr="005E758A">
        <w:rPr>
          <w:sz w:val="28"/>
          <w:szCs w:val="28"/>
        </w:rPr>
        <w:t>帶原者，</w:t>
      </w:r>
      <w:proofErr w:type="gramStart"/>
      <w:r w:rsidRPr="005E758A">
        <w:rPr>
          <w:sz w:val="28"/>
          <w:szCs w:val="28"/>
        </w:rPr>
        <w:t>且靠失能</w:t>
      </w:r>
      <w:proofErr w:type="gramEnd"/>
      <w:r w:rsidRPr="005E758A">
        <w:rPr>
          <w:sz w:val="28"/>
          <w:szCs w:val="28"/>
        </w:rPr>
        <w:t>津貼與其雙親及配偶生活。之後</w:t>
      </w:r>
      <w:r w:rsidRPr="005E758A">
        <w:rPr>
          <w:sz w:val="28"/>
          <w:szCs w:val="28"/>
        </w:rPr>
        <w:t>ZH</w:t>
      </w:r>
      <w:r w:rsidRPr="005E758A">
        <w:rPr>
          <w:sz w:val="28"/>
          <w:szCs w:val="28"/>
        </w:rPr>
        <w:t>被判遣返回坦尚尼亞，其上訴案亦被庇護及移民法庭以及上訴法院駁回。</w:t>
      </w:r>
      <w:r w:rsidRPr="005E758A">
        <w:rPr>
          <w:sz w:val="28"/>
          <w:szCs w:val="28"/>
        </w:rPr>
        <w:t>ZH</w:t>
      </w:r>
      <w:r w:rsidRPr="005E758A">
        <w:rPr>
          <w:sz w:val="28"/>
          <w:szCs w:val="28"/>
        </w:rPr>
        <w:t>最後之上訴至英國最終審法院，主張若遣返她則會構成歐洲人權公約第</w:t>
      </w:r>
      <w:r w:rsidRPr="005E758A">
        <w:rPr>
          <w:sz w:val="28"/>
          <w:szCs w:val="28"/>
        </w:rPr>
        <w:t>8</w:t>
      </w:r>
      <w:r w:rsidRPr="005E758A">
        <w:rPr>
          <w:sz w:val="28"/>
          <w:szCs w:val="28"/>
        </w:rPr>
        <w:t>條關於其隱私及家庭生活權之不合比例之侵擾。</w:t>
      </w:r>
    </w:p>
    <w:p w14:paraId="424B1532" w14:textId="77777777" w:rsidR="007B19B8" w:rsidRPr="005E758A" w:rsidRDefault="007B19B8" w:rsidP="007B19B8">
      <w:pPr>
        <w:snapToGrid w:val="0"/>
        <w:spacing w:before="100" w:beforeAutospacing="1" w:after="100" w:afterAutospacing="1"/>
        <w:ind w:firstLineChars="200" w:firstLine="560"/>
        <w:jc w:val="both"/>
        <w:rPr>
          <w:sz w:val="28"/>
          <w:szCs w:val="28"/>
        </w:rPr>
      </w:pPr>
      <w:r w:rsidRPr="005E758A">
        <w:rPr>
          <w:sz w:val="28"/>
          <w:szCs w:val="28"/>
        </w:rPr>
        <w:lastRenderedPageBreak/>
        <w:t>英國最終審法院認為，根據聯合國兒童權利公約之規定，兒童最佳利益必須是於審查隱私及家庭生活權利之情形時首要考量之因素。特別是考量到任何一個子女被迫搬離至其他國家，包含該子女與原生活國家之整體關係，以及應考量該子女與其他國家分離期間之長短、子女將與誰生活於其他國家、可能之兒童照護安排以及子女與其雙親或家人關係之強弱，若遭強制搬離是否會嚴重影響該孩童等。</w:t>
      </w:r>
    </w:p>
    <w:p w14:paraId="5578E4C5" w14:textId="77777777" w:rsidR="007B19B8" w:rsidRPr="005E758A" w:rsidRDefault="007B19B8" w:rsidP="007B19B8">
      <w:pPr>
        <w:snapToGrid w:val="0"/>
        <w:spacing w:before="100" w:beforeAutospacing="1" w:after="100" w:afterAutospacing="1"/>
        <w:ind w:firstLineChars="200" w:firstLine="560"/>
        <w:jc w:val="both"/>
        <w:rPr>
          <w:sz w:val="28"/>
          <w:szCs w:val="28"/>
        </w:rPr>
      </w:pPr>
      <w:r w:rsidRPr="005E758A">
        <w:rPr>
          <w:sz w:val="28"/>
          <w:szCs w:val="28"/>
        </w:rPr>
        <w:t>本案，</w:t>
      </w:r>
      <w:r w:rsidR="009554E1">
        <w:rPr>
          <w:rFonts w:hint="eastAsia"/>
          <w:sz w:val="28"/>
          <w:szCs w:val="28"/>
        </w:rPr>
        <w:t>2</w:t>
      </w:r>
      <w:r w:rsidRPr="005E758A">
        <w:rPr>
          <w:sz w:val="28"/>
          <w:szCs w:val="28"/>
        </w:rPr>
        <w:t>名子女被認為是英國公民，子女為考量子女最佳利益時需要重點審酌之因素。因此，本案子女從出生到現在皆生活在英國且若強制使其搬離至一個陌生國家，將迫使其與雙親分開，且本案子女之生父亦有經常持續性的探視，因此若將其母親遣返出英國，乃不符比例原則。法院最後改判</w:t>
      </w:r>
      <w:r w:rsidRPr="005E758A">
        <w:rPr>
          <w:sz w:val="28"/>
          <w:szCs w:val="28"/>
        </w:rPr>
        <w:t>ZH</w:t>
      </w:r>
      <w:r w:rsidRPr="005E758A">
        <w:rPr>
          <w:sz w:val="28"/>
          <w:szCs w:val="28"/>
        </w:rPr>
        <w:t>勝訴。</w:t>
      </w:r>
    </w:p>
    <w:p w14:paraId="19ED4FF5" w14:textId="77777777" w:rsidR="007B19B8" w:rsidRPr="005E758A" w:rsidRDefault="007B19B8" w:rsidP="007B19B8">
      <w:pPr>
        <w:pStyle w:val="2"/>
      </w:pPr>
      <w:r w:rsidRPr="005E758A">
        <w:t>綜合分析</w:t>
      </w:r>
    </w:p>
    <w:p w14:paraId="40211D2E" w14:textId="77777777" w:rsidR="007B19B8" w:rsidRPr="005E758A" w:rsidRDefault="007B19B8" w:rsidP="007B19B8">
      <w:pPr>
        <w:snapToGrid w:val="0"/>
        <w:spacing w:before="100" w:beforeAutospacing="1" w:after="100" w:afterAutospacing="1"/>
        <w:ind w:firstLineChars="200" w:firstLine="560"/>
        <w:jc w:val="both"/>
        <w:rPr>
          <w:sz w:val="28"/>
          <w:szCs w:val="28"/>
        </w:rPr>
      </w:pPr>
      <w:r w:rsidRPr="005E758A">
        <w:rPr>
          <w:sz w:val="28"/>
          <w:szCs w:val="28"/>
        </w:rPr>
        <w:t>本條內容與公民與政治權利國際公約第</w:t>
      </w:r>
      <w:r w:rsidRPr="005E758A">
        <w:rPr>
          <w:sz w:val="28"/>
          <w:szCs w:val="28"/>
        </w:rPr>
        <w:t>24</w:t>
      </w:r>
      <w:r w:rsidRPr="005E758A">
        <w:rPr>
          <w:sz w:val="28"/>
          <w:szCs w:val="28"/>
        </w:rPr>
        <w:t>條第</w:t>
      </w:r>
      <w:r w:rsidRPr="005E758A">
        <w:rPr>
          <w:sz w:val="28"/>
          <w:szCs w:val="28"/>
        </w:rPr>
        <w:t>2</w:t>
      </w:r>
      <w:r w:rsidRPr="005E758A">
        <w:rPr>
          <w:sz w:val="28"/>
          <w:szCs w:val="28"/>
        </w:rPr>
        <w:t>項及第</w:t>
      </w:r>
      <w:r w:rsidRPr="005E758A">
        <w:rPr>
          <w:sz w:val="28"/>
          <w:szCs w:val="28"/>
        </w:rPr>
        <w:t>3</w:t>
      </w:r>
      <w:r w:rsidRPr="005E758A">
        <w:rPr>
          <w:sz w:val="28"/>
          <w:szCs w:val="28"/>
        </w:rPr>
        <w:t>項的規範互相呼應。然而本條對於兒童法律人格之保障，更提出了一項「新」的兒童權利項目</w:t>
      </w:r>
      <w:proofErr w:type="gramStart"/>
      <w:r w:rsidRPr="005E758A">
        <w:rPr>
          <w:sz w:val="28"/>
          <w:szCs w:val="28"/>
        </w:rPr>
        <w:t>──</w:t>
      </w:r>
      <w:proofErr w:type="gramEnd"/>
      <w:r w:rsidRPr="005E758A">
        <w:rPr>
          <w:sz w:val="28"/>
          <w:szCs w:val="28"/>
        </w:rPr>
        <w:t>即兒童應</w:t>
      </w:r>
      <w:proofErr w:type="gramStart"/>
      <w:r w:rsidRPr="005E758A">
        <w:rPr>
          <w:sz w:val="28"/>
          <w:szCs w:val="28"/>
        </w:rPr>
        <w:t>儘</w:t>
      </w:r>
      <w:proofErr w:type="gramEnd"/>
      <w:r w:rsidRPr="005E758A">
        <w:rPr>
          <w:sz w:val="28"/>
          <w:szCs w:val="28"/>
        </w:rPr>
        <w:t>可能有知悉其父母並受父母照顧之權利</w:t>
      </w:r>
      <w:r w:rsidRPr="005E758A">
        <w:rPr>
          <w:rStyle w:val="af3"/>
          <w:szCs w:val="28"/>
        </w:rPr>
        <w:endnoteReference w:id="95"/>
      </w:r>
      <w:r w:rsidRPr="005E758A">
        <w:rPr>
          <w:sz w:val="28"/>
          <w:szCs w:val="28"/>
        </w:rPr>
        <w:t>。</w:t>
      </w:r>
    </w:p>
    <w:p w14:paraId="516949DF" w14:textId="77777777" w:rsidR="007B19B8" w:rsidRPr="005E758A" w:rsidRDefault="007B19B8" w:rsidP="007B19B8">
      <w:pPr>
        <w:snapToGrid w:val="0"/>
        <w:spacing w:before="100" w:beforeAutospacing="1" w:after="100" w:afterAutospacing="1"/>
        <w:ind w:firstLineChars="200" w:firstLine="560"/>
        <w:jc w:val="both"/>
        <w:rPr>
          <w:sz w:val="28"/>
          <w:szCs w:val="28"/>
        </w:rPr>
      </w:pPr>
      <w:r w:rsidRPr="005E758A">
        <w:rPr>
          <w:sz w:val="28"/>
          <w:szCs w:val="28"/>
        </w:rPr>
        <w:t>本條與第</w:t>
      </w:r>
      <w:r w:rsidRPr="005E758A">
        <w:rPr>
          <w:sz w:val="28"/>
          <w:szCs w:val="28"/>
        </w:rPr>
        <w:t>8</w:t>
      </w:r>
      <w:r w:rsidRPr="005E758A">
        <w:rPr>
          <w:sz w:val="28"/>
          <w:szCs w:val="28"/>
        </w:rPr>
        <w:t>條（包括國籍、姓名與家庭關係等人格之維持）、第</w:t>
      </w:r>
      <w:r w:rsidRPr="005E758A">
        <w:rPr>
          <w:sz w:val="28"/>
          <w:szCs w:val="28"/>
        </w:rPr>
        <w:t>9</w:t>
      </w:r>
      <w:r w:rsidRPr="005E758A">
        <w:rPr>
          <w:sz w:val="28"/>
          <w:szCs w:val="28"/>
        </w:rPr>
        <w:t>條（不與父母分離）、第</w:t>
      </w:r>
      <w:r w:rsidRPr="005E758A">
        <w:rPr>
          <w:sz w:val="28"/>
          <w:szCs w:val="28"/>
        </w:rPr>
        <w:t>10</w:t>
      </w:r>
      <w:r w:rsidRPr="005E758A">
        <w:rPr>
          <w:sz w:val="28"/>
          <w:szCs w:val="28"/>
        </w:rPr>
        <w:t>條（家庭重聚）及第</w:t>
      </w:r>
      <w:r w:rsidRPr="005E758A">
        <w:rPr>
          <w:sz w:val="28"/>
          <w:szCs w:val="28"/>
        </w:rPr>
        <w:t>20</w:t>
      </w:r>
      <w:r w:rsidRPr="005E758A">
        <w:rPr>
          <w:sz w:val="28"/>
          <w:szCs w:val="28"/>
        </w:rPr>
        <w:t>條（失去家庭子女之持續養育）具有密切的關聯性，宜合併解讀</w:t>
      </w:r>
      <w:r w:rsidRPr="005E758A">
        <w:rPr>
          <w:rStyle w:val="af3"/>
          <w:szCs w:val="28"/>
        </w:rPr>
        <w:endnoteReference w:id="96"/>
      </w:r>
      <w:r w:rsidRPr="005E758A">
        <w:rPr>
          <w:sz w:val="28"/>
          <w:szCs w:val="28"/>
        </w:rPr>
        <w:t>。我國現行國籍法第</w:t>
      </w:r>
      <w:r w:rsidRPr="005E758A">
        <w:rPr>
          <w:sz w:val="28"/>
          <w:szCs w:val="28"/>
        </w:rPr>
        <w:t>2</w:t>
      </w:r>
      <w:r w:rsidRPr="005E758A">
        <w:rPr>
          <w:sz w:val="28"/>
          <w:szCs w:val="28"/>
        </w:rPr>
        <w:t>條規定</w:t>
      </w:r>
      <w:proofErr w:type="gramStart"/>
      <w:r w:rsidRPr="005E758A">
        <w:rPr>
          <w:sz w:val="28"/>
          <w:szCs w:val="28"/>
        </w:rPr>
        <w:t>出生時父或</w:t>
      </w:r>
      <w:proofErr w:type="gramEnd"/>
      <w:r w:rsidRPr="005E758A">
        <w:rPr>
          <w:sz w:val="28"/>
          <w:szCs w:val="28"/>
        </w:rPr>
        <w:t>母為中華民國國民者，該嬰兒即具中華民國國籍，於</w:t>
      </w:r>
      <w:proofErr w:type="gramStart"/>
      <w:r w:rsidRPr="005E758A">
        <w:rPr>
          <w:sz w:val="28"/>
          <w:szCs w:val="28"/>
        </w:rPr>
        <w:t>父母均無可</w:t>
      </w:r>
      <w:proofErr w:type="gramEnd"/>
      <w:r w:rsidRPr="005E758A">
        <w:rPr>
          <w:sz w:val="28"/>
          <w:szCs w:val="28"/>
        </w:rPr>
        <w:t>考，但出生於中華民國領域內者，亦取得中華民國國籍。此種以血統主義為原則，出生地主義為例外之立法，幾已確保在台灣境內兒童取得國籍之權利，符合公約本條之原則與精神。</w:t>
      </w:r>
    </w:p>
    <w:p w14:paraId="4F43D9E3" w14:textId="77777777" w:rsidR="007B19B8" w:rsidRPr="005E758A" w:rsidRDefault="007B19B8" w:rsidP="007B19B8">
      <w:pPr>
        <w:pStyle w:val="2"/>
        <w:rPr>
          <w:szCs w:val="28"/>
        </w:rPr>
      </w:pPr>
      <w:r w:rsidRPr="005E758A">
        <w:rPr>
          <w:szCs w:val="28"/>
        </w:rPr>
        <w:t>參考資料</w:t>
      </w:r>
    </w:p>
    <w:p w14:paraId="790AA630" w14:textId="77777777" w:rsidR="007B19B8" w:rsidRPr="005E758A" w:rsidRDefault="007B19B8" w:rsidP="00F02A5C">
      <w:pPr>
        <w:pStyle w:val="a0"/>
        <w:numPr>
          <w:ilvl w:val="0"/>
          <w:numId w:val="116"/>
        </w:numPr>
        <w:snapToGrid w:val="0"/>
        <w:ind w:leftChars="0" w:left="448" w:hanging="448"/>
        <w:jc w:val="both"/>
        <w:rPr>
          <w:rFonts w:ascii="Times New Roman" w:eastAsia="標楷體" w:hAnsi="Times New Roman"/>
          <w:sz w:val="28"/>
          <w:szCs w:val="28"/>
        </w:rPr>
      </w:pPr>
      <w:r w:rsidRPr="005E758A">
        <w:rPr>
          <w:rFonts w:ascii="Times New Roman" w:eastAsia="標楷體" w:hAnsi="Times New Roman"/>
          <w:smallCaps/>
          <w:sz w:val="28"/>
          <w:szCs w:val="28"/>
        </w:rPr>
        <w:t>UNICEF, Implementation Handbook for the Convention on the Rights of the Child</w:t>
      </w:r>
      <w:r w:rsidRPr="005E758A">
        <w:rPr>
          <w:rFonts w:ascii="Times New Roman" w:eastAsia="標楷體" w:hAnsi="Times New Roman"/>
          <w:sz w:val="28"/>
          <w:szCs w:val="28"/>
        </w:rPr>
        <w:t xml:space="preserve"> (3d ed. 2007).</w:t>
      </w:r>
    </w:p>
    <w:p w14:paraId="28967FA4" w14:textId="77777777" w:rsidR="007B19B8" w:rsidRPr="005E758A" w:rsidRDefault="008D5C1D" w:rsidP="00F02A5C">
      <w:pPr>
        <w:pStyle w:val="a0"/>
        <w:numPr>
          <w:ilvl w:val="0"/>
          <w:numId w:val="116"/>
        </w:numPr>
        <w:snapToGrid w:val="0"/>
        <w:ind w:leftChars="0"/>
        <w:jc w:val="both"/>
        <w:rPr>
          <w:rFonts w:ascii="Times New Roman" w:eastAsia="標楷體" w:hAnsi="Times New Roman"/>
          <w:sz w:val="28"/>
          <w:szCs w:val="28"/>
        </w:rPr>
      </w:pPr>
      <w:r w:rsidRPr="005E758A">
        <w:rPr>
          <w:rFonts w:ascii="Times New Roman" w:eastAsia="標楷體" w:hAnsi="Times New Roman"/>
          <w:sz w:val="28"/>
          <w:szCs w:val="28"/>
        </w:rPr>
        <w:t>林沛君，兒少人權向前行，臺北市，台灣展翅協會，</w:t>
      </w:r>
      <w:r w:rsidRPr="005E758A">
        <w:rPr>
          <w:rFonts w:ascii="Times New Roman" w:eastAsia="標楷體" w:hAnsi="Times New Roman"/>
          <w:sz w:val="28"/>
          <w:szCs w:val="28"/>
        </w:rPr>
        <w:t>2015</w:t>
      </w:r>
      <w:r w:rsidRPr="005E758A">
        <w:rPr>
          <w:rFonts w:ascii="Times New Roman" w:eastAsia="標楷體" w:hAnsi="Times New Roman"/>
          <w:sz w:val="28"/>
          <w:szCs w:val="28"/>
        </w:rPr>
        <w:t>年</w:t>
      </w:r>
      <w:r w:rsidRPr="005E758A">
        <w:rPr>
          <w:rFonts w:ascii="Times New Roman" w:eastAsia="標楷體" w:hAnsi="Times New Roman"/>
          <w:sz w:val="28"/>
          <w:szCs w:val="28"/>
        </w:rPr>
        <w:t>4</w:t>
      </w:r>
      <w:r w:rsidRPr="005E758A">
        <w:rPr>
          <w:rFonts w:ascii="Times New Roman" w:eastAsia="標楷體" w:hAnsi="Times New Roman"/>
          <w:sz w:val="28"/>
          <w:szCs w:val="28"/>
        </w:rPr>
        <w:t>月。</w:t>
      </w:r>
    </w:p>
    <w:p w14:paraId="30AB8853" w14:textId="77777777" w:rsidR="007B19B8" w:rsidRPr="005E758A" w:rsidRDefault="007B19B8" w:rsidP="00510C24">
      <w:pPr>
        <w:snapToGrid w:val="0"/>
        <w:spacing w:before="100" w:beforeAutospacing="1" w:after="100" w:afterAutospacing="1"/>
        <w:jc w:val="both"/>
        <w:rPr>
          <w:sz w:val="28"/>
          <w:szCs w:val="28"/>
        </w:rPr>
      </w:pPr>
    </w:p>
    <w:p w14:paraId="3F99B883" w14:textId="77777777" w:rsidR="007B19B8" w:rsidRPr="005E758A" w:rsidRDefault="007B19B8" w:rsidP="007B19B8">
      <w:pPr>
        <w:snapToGrid w:val="0"/>
        <w:rPr>
          <w:sz w:val="28"/>
          <w:szCs w:val="28"/>
        </w:rPr>
      </w:pPr>
      <w:r w:rsidRPr="005E758A">
        <w:rPr>
          <w:sz w:val="28"/>
          <w:szCs w:val="28"/>
        </w:rPr>
        <w:t>關鍵字：身分權、出生登記、國籍</w:t>
      </w:r>
    </w:p>
    <w:p w14:paraId="074843B3" w14:textId="77777777" w:rsidR="007B19B8" w:rsidRPr="005E758A" w:rsidRDefault="007B19B8" w:rsidP="007B19B8">
      <w:pPr>
        <w:pStyle w:val="1"/>
        <w:sectPr w:rsidR="007B19B8" w:rsidRPr="005E758A" w:rsidSect="00135FC9">
          <w:footnotePr>
            <w:numRestart w:val="eachSect"/>
          </w:footnotePr>
          <w:endnotePr>
            <w:numFmt w:val="decimal"/>
            <w:numRestart w:val="eachSect"/>
          </w:endnotePr>
          <w:pgSz w:w="11906" w:h="16838"/>
          <w:pgMar w:top="1440" w:right="1797" w:bottom="1440" w:left="1797" w:header="851" w:footer="992" w:gutter="0"/>
          <w:cols w:space="425"/>
          <w:docGrid w:linePitch="360"/>
        </w:sectPr>
      </w:pPr>
    </w:p>
    <w:tbl>
      <w:tblPr>
        <w:tblpPr w:leftFromText="180" w:rightFromText="180" w:horzAnchor="margin" w:tblpXSpec="center" w:tblpY="810"/>
        <w:tblW w:w="82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8220"/>
      </w:tblGrid>
      <w:tr w:rsidR="003B0705" w:rsidRPr="005E758A" w14:paraId="32D5023E" w14:textId="77777777" w:rsidTr="00510C24">
        <w:tc>
          <w:tcPr>
            <w:tcW w:w="8220" w:type="dxa"/>
          </w:tcPr>
          <w:p w14:paraId="7A59CFCA" w14:textId="77777777" w:rsidR="003B0705" w:rsidRPr="005E758A" w:rsidRDefault="003B0705" w:rsidP="00510C24">
            <w:pPr>
              <w:pStyle w:val="a0"/>
              <w:numPr>
                <w:ilvl w:val="0"/>
                <w:numId w:val="117"/>
              </w:numPr>
              <w:snapToGrid w:val="0"/>
              <w:ind w:leftChars="0"/>
              <w:jc w:val="both"/>
              <w:rPr>
                <w:rFonts w:ascii="Times New Roman" w:eastAsia="標楷體" w:hAnsi="Times New Roman"/>
                <w:sz w:val="28"/>
              </w:rPr>
            </w:pPr>
            <w:r w:rsidRPr="005E758A">
              <w:rPr>
                <w:rFonts w:ascii="Times New Roman" w:eastAsia="標楷體" w:hAnsi="Times New Roman"/>
                <w:sz w:val="28"/>
              </w:rPr>
              <w:lastRenderedPageBreak/>
              <w:t>締約國承諾尊重兒童維護其身分的權利，包括法律所承認之國籍、姓名與親屬關係不受非法侵害。</w:t>
            </w:r>
          </w:p>
          <w:p w14:paraId="62856733" w14:textId="77777777" w:rsidR="003B0705" w:rsidRPr="005E758A" w:rsidRDefault="003B0705" w:rsidP="00510C24">
            <w:pPr>
              <w:pStyle w:val="a0"/>
              <w:numPr>
                <w:ilvl w:val="0"/>
                <w:numId w:val="117"/>
              </w:numPr>
              <w:snapToGrid w:val="0"/>
              <w:ind w:leftChars="0"/>
              <w:jc w:val="both"/>
              <w:rPr>
                <w:rFonts w:ascii="Times New Roman" w:hAnsi="Times New Roman"/>
                <w:sz w:val="28"/>
              </w:rPr>
            </w:pPr>
            <w:r w:rsidRPr="005E758A">
              <w:rPr>
                <w:rFonts w:ascii="Times New Roman" w:eastAsia="標楷體" w:hAnsi="Times New Roman"/>
                <w:sz w:val="28"/>
              </w:rPr>
              <w:t>締約國於兒童之身分（不論全部或一部）遭非法剝奪時，應給予適當之協助及保護，</w:t>
            </w:r>
            <w:proofErr w:type="gramStart"/>
            <w:r w:rsidRPr="005E758A">
              <w:rPr>
                <w:rFonts w:ascii="Times New Roman" w:eastAsia="標楷體" w:hAnsi="Times New Roman"/>
                <w:sz w:val="28"/>
              </w:rPr>
              <w:t>俾</w:t>
            </w:r>
            <w:proofErr w:type="gramEnd"/>
            <w:r w:rsidRPr="005E758A">
              <w:rPr>
                <w:rFonts w:ascii="Times New Roman" w:eastAsia="標楷體" w:hAnsi="Times New Roman"/>
                <w:sz w:val="28"/>
              </w:rPr>
              <w:t>能迅速恢復其身分。</w:t>
            </w:r>
          </w:p>
        </w:tc>
      </w:tr>
    </w:tbl>
    <w:p w14:paraId="30C3E1E3" w14:textId="77777777" w:rsidR="00510C24" w:rsidRPr="00510C24" w:rsidRDefault="00510C24" w:rsidP="00510C24">
      <w:pPr>
        <w:pStyle w:val="1"/>
      </w:pPr>
      <w:bookmarkStart w:id="27" w:name="_Toc431072724"/>
      <w:r w:rsidRPr="005E758A">
        <w:t>第</w:t>
      </w:r>
      <w:r w:rsidRPr="005E758A">
        <w:t>8</w:t>
      </w:r>
      <w:r w:rsidRPr="005E758A">
        <w:t>條</w:t>
      </w:r>
      <w:r>
        <w:rPr>
          <w:rFonts w:hint="eastAsia"/>
        </w:rPr>
        <w:t xml:space="preserve">　</w:t>
      </w:r>
      <w:r w:rsidRPr="00510C24">
        <w:rPr>
          <w:rFonts w:hint="eastAsia"/>
        </w:rPr>
        <w:t>身分權</w:t>
      </w:r>
      <w:bookmarkEnd w:id="27"/>
    </w:p>
    <w:p w14:paraId="65BD8160" w14:textId="77777777" w:rsidR="00510C24" w:rsidRDefault="00510C24" w:rsidP="00510C24">
      <w:pPr>
        <w:snapToGrid w:val="0"/>
        <w:spacing w:before="100" w:beforeAutospacing="1" w:after="100" w:afterAutospacing="1"/>
        <w:jc w:val="both"/>
        <w:rPr>
          <w:szCs w:val="28"/>
        </w:rPr>
      </w:pPr>
    </w:p>
    <w:p w14:paraId="32193DC1" w14:textId="77777777" w:rsidR="003B0705" w:rsidRPr="005E758A" w:rsidRDefault="003B0705" w:rsidP="00F02A5C">
      <w:pPr>
        <w:pStyle w:val="2"/>
        <w:numPr>
          <w:ilvl w:val="0"/>
          <w:numId w:val="119"/>
        </w:numPr>
        <w:rPr>
          <w:szCs w:val="28"/>
        </w:rPr>
      </w:pPr>
      <w:r w:rsidRPr="005E758A">
        <w:rPr>
          <w:szCs w:val="28"/>
        </w:rPr>
        <w:t>規範宗旨</w:t>
      </w:r>
    </w:p>
    <w:p w14:paraId="0D62F4F3" w14:textId="77777777" w:rsidR="003B0705" w:rsidRPr="005E758A" w:rsidRDefault="003B0705" w:rsidP="003B0705">
      <w:pPr>
        <w:snapToGrid w:val="0"/>
        <w:spacing w:before="100" w:beforeAutospacing="1" w:after="100" w:afterAutospacing="1"/>
        <w:ind w:firstLineChars="200" w:firstLine="560"/>
        <w:jc w:val="both"/>
        <w:rPr>
          <w:sz w:val="28"/>
          <w:szCs w:val="28"/>
        </w:rPr>
      </w:pPr>
      <w:r w:rsidRPr="005E758A">
        <w:rPr>
          <w:sz w:val="28"/>
          <w:szCs w:val="28"/>
        </w:rPr>
        <w:t>本條與公約第</w:t>
      </w:r>
      <w:r w:rsidRPr="005E758A">
        <w:rPr>
          <w:sz w:val="28"/>
          <w:szCs w:val="28"/>
        </w:rPr>
        <w:t>7</w:t>
      </w:r>
      <w:r w:rsidRPr="005E758A">
        <w:rPr>
          <w:sz w:val="28"/>
          <w:szCs w:val="28"/>
        </w:rPr>
        <w:t>條密切相關，在兒童權利公約通過前，其他國際人權條約中並無類似規定。其制定背景乃是</w:t>
      </w:r>
      <w:proofErr w:type="gramStart"/>
      <w:r w:rsidRPr="005E758A">
        <w:rPr>
          <w:sz w:val="28"/>
          <w:szCs w:val="28"/>
        </w:rPr>
        <w:t>1980</w:t>
      </w:r>
      <w:proofErr w:type="gramEnd"/>
      <w:r w:rsidRPr="005E758A">
        <w:rPr>
          <w:sz w:val="28"/>
          <w:szCs w:val="28"/>
        </w:rPr>
        <w:t>年代於拉丁美洲地區大量出現的兒童強迫失蹤（執法失蹤）案件，而本條規範目的乃是建立國家防止兒童失蹤的義務，這樣的現象在政治壓迫的情勢下特別容易產生，而國家應該提供協助及保護，使兒童能與家庭團聚，且確保其身分、國際、姓名及親屬關係之重建及延續</w:t>
      </w:r>
      <w:bookmarkStart w:id="28" w:name="_Ref430600656"/>
      <w:r w:rsidRPr="005E758A">
        <w:rPr>
          <w:rStyle w:val="af3"/>
          <w:sz w:val="28"/>
          <w:szCs w:val="28"/>
        </w:rPr>
        <w:endnoteReference w:id="97"/>
      </w:r>
      <w:bookmarkEnd w:id="28"/>
      <w:r w:rsidRPr="005E758A">
        <w:rPr>
          <w:sz w:val="28"/>
          <w:szCs w:val="28"/>
        </w:rPr>
        <w:t>。</w:t>
      </w:r>
    </w:p>
    <w:p w14:paraId="285BCDF8" w14:textId="77777777" w:rsidR="003B0705" w:rsidRPr="005E758A" w:rsidRDefault="003B0705" w:rsidP="003B0705">
      <w:pPr>
        <w:pStyle w:val="2"/>
        <w:rPr>
          <w:szCs w:val="28"/>
        </w:rPr>
      </w:pPr>
      <w:r w:rsidRPr="005E758A">
        <w:rPr>
          <w:szCs w:val="28"/>
        </w:rPr>
        <w:t>條文要義</w:t>
      </w:r>
    </w:p>
    <w:p w14:paraId="64F965B4" w14:textId="77777777" w:rsidR="003B0705" w:rsidRPr="005E758A" w:rsidRDefault="003B0705" w:rsidP="00F02A5C">
      <w:pPr>
        <w:pStyle w:val="3"/>
        <w:numPr>
          <w:ilvl w:val="0"/>
          <w:numId w:val="120"/>
        </w:numPr>
        <w:rPr>
          <w:szCs w:val="28"/>
        </w:rPr>
      </w:pPr>
      <w:r w:rsidRPr="005E758A">
        <w:rPr>
          <w:szCs w:val="28"/>
        </w:rPr>
        <w:t>第</w:t>
      </w:r>
      <w:r w:rsidRPr="005E758A">
        <w:rPr>
          <w:szCs w:val="28"/>
        </w:rPr>
        <w:t>8</w:t>
      </w:r>
      <w:r w:rsidRPr="005E758A">
        <w:rPr>
          <w:szCs w:val="28"/>
        </w:rPr>
        <w:t>條第</w:t>
      </w:r>
      <w:r w:rsidRPr="005E758A">
        <w:rPr>
          <w:szCs w:val="28"/>
        </w:rPr>
        <w:t>1</w:t>
      </w:r>
      <w:r w:rsidRPr="005E758A">
        <w:rPr>
          <w:szCs w:val="28"/>
        </w:rPr>
        <w:t>項</w:t>
      </w:r>
    </w:p>
    <w:p w14:paraId="4EBF9696" w14:textId="77777777" w:rsidR="003B0705" w:rsidRPr="005E758A" w:rsidRDefault="003B0705" w:rsidP="003B0705">
      <w:pPr>
        <w:snapToGrid w:val="0"/>
        <w:spacing w:before="100" w:beforeAutospacing="1" w:after="100" w:afterAutospacing="1"/>
        <w:ind w:firstLineChars="200" w:firstLine="560"/>
        <w:jc w:val="both"/>
        <w:rPr>
          <w:sz w:val="28"/>
        </w:rPr>
      </w:pPr>
      <w:r w:rsidRPr="005E758A">
        <w:rPr>
          <w:sz w:val="28"/>
          <w:szCs w:val="28"/>
        </w:rPr>
        <w:t>本項要求締約國尊重「</w:t>
      </w:r>
      <w:r w:rsidRPr="005E758A">
        <w:rPr>
          <w:sz w:val="28"/>
        </w:rPr>
        <w:t>兒童維護其身分的權利</w:t>
      </w:r>
      <w:r w:rsidRPr="005E758A">
        <w:rPr>
          <w:sz w:val="28"/>
          <w:szCs w:val="28"/>
        </w:rPr>
        <w:t>」，雖然「身分」並無統一定義，但論者一般同意「身分」的概念隨著兒童成長及發展過程中變化，可能包括依照不同年齡層所分之階段</w:t>
      </w:r>
      <w:r w:rsidRPr="005E758A">
        <w:rPr>
          <w:rStyle w:val="af3"/>
          <w:sz w:val="28"/>
          <w:szCs w:val="28"/>
        </w:rPr>
        <w:endnoteReference w:id="98"/>
      </w:r>
      <w:r w:rsidRPr="005E758A">
        <w:rPr>
          <w:sz w:val="28"/>
          <w:szCs w:val="28"/>
        </w:rPr>
        <w:t>，本項則採用例示的方式舉出身分權涵蓋的項目，明列</w:t>
      </w:r>
      <w:r w:rsidRPr="005E758A">
        <w:rPr>
          <w:sz w:val="28"/>
        </w:rPr>
        <w:t>國籍、姓名與親屬關係三個項目。</w:t>
      </w:r>
    </w:p>
    <w:p w14:paraId="2700DD6C" w14:textId="77777777" w:rsidR="003B0705" w:rsidRPr="005E758A" w:rsidRDefault="003B0705" w:rsidP="003B0705">
      <w:pPr>
        <w:snapToGrid w:val="0"/>
        <w:spacing w:before="100" w:beforeAutospacing="1" w:after="100" w:afterAutospacing="1"/>
        <w:ind w:firstLineChars="200" w:firstLine="560"/>
        <w:jc w:val="both"/>
        <w:rPr>
          <w:sz w:val="28"/>
        </w:rPr>
      </w:pPr>
      <w:r w:rsidRPr="005E758A">
        <w:rPr>
          <w:sz w:val="28"/>
        </w:rPr>
        <w:t>兒童國籍的來源可能包括其父母親或其居住地</w:t>
      </w:r>
      <w:bookmarkStart w:id="29" w:name="_Ref430603327"/>
      <w:r w:rsidRPr="005E758A">
        <w:rPr>
          <w:rStyle w:val="af3"/>
          <w:sz w:val="28"/>
          <w:szCs w:val="28"/>
        </w:rPr>
        <w:endnoteReference w:id="99"/>
      </w:r>
      <w:bookmarkEnd w:id="29"/>
      <w:r w:rsidRPr="005E758A">
        <w:rPr>
          <w:sz w:val="28"/>
        </w:rPr>
        <w:t>，而兒童一旦取得國籍，締約國則不應恣意剝奪，兒童權利委員會曾建議不應因兒童的父母失去公民資格而影響兒童的身分</w:t>
      </w:r>
      <w:r w:rsidRPr="005E758A">
        <w:rPr>
          <w:rStyle w:val="af3"/>
          <w:sz w:val="28"/>
        </w:rPr>
        <w:endnoteReference w:id="100"/>
      </w:r>
      <w:r w:rsidRPr="005E758A">
        <w:rPr>
          <w:sz w:val="28"/>
        </w:rPr>
        <w:t>。兒童權利委員針對姓名相關權利發表之意見較少，惟其曾經對於締約國對未結婚狀態所生之兒童命名作出限制，經常拒絕其從母姓，並要求其登記兩個姓氏，這樣的限制導致事後對此類兒童的</w:t>
      </w:r>
      <w:proofErr w:type="gramStart"/>
      <w:r w:rsidRPr="005E758A">
        <w:rPr>
          <w:sz w:val="28"/>
        </w:rPr>
        <w:t>汙</w:t>
      </w:r>
      <w:proofErr w:type="gramEnd"/>
      <w:r w:rsidRPr="005E758A">
        <w:rPr>
          <w:sz w:val="28"/>
        </w:rPr>
        <w:t>名化，委員會因此要求締約國修改相關法律</w:t>
      </w:r>
      <w:r w:rsidRPr="005E758A">
        <w:rPr>
          <w:rStyle w:val="af3"/>
          <w:sz w:val="28"/>
        </w:rPr>
        <w:endnoteReference w:id="101"/>
      </w:r>
      <w:r w:rsidRPr="005E758A">
        <w:rPr>
          <w:sz w:val="28"/>
        </w:rPr>
        <w:t>。最後舉出之「親屬關係」表示公約承認兒童的身分不僅包括第</w:t>
      </w:r>
      <w:r w:rsidRPr="005E758A">
        <w:rPr>
          <w:sz w:val="28"/>
        </w:rPr>
        <w:t>7</w:t>
      </w:r>
      <w:r w:rsidRPr="005E758A">
        <w:rPr>
          <w:sz w:val="28"/>
        </w:rPr>
        <w:t>條所指之「知其父母」，其他親屬對於兒童的身分亦有相當重要性</w:t>
      </w:r>
      <w:r w:rsidRPr="005E758A">
        <w:rPr>
          <w:rStyle w:val="af3"/>
          <w:sz w:val="28"/>
          <w:szCs w:val="28"/>
        </w:rPr>
        <w:endnoteReference w:id="102"/>
      </w:r>
      <w:r w:rsidRPr="005E758A">
        <w:rPr>
          <w:sz w:val="28"/>
        </w:rPr>
        <w:t>。</w:t>
      </w:r>
    </w:p>
    <w:p w14:paraId="673B4569" w14:textId="77777777" w:rsidR="003B0705" w:rsidRPr="005E758A" w:rsidRDefault="003B0705" w:rsidP="003B0705">
      <w:pPr>
        <w:snapToGrid w:val="0"/>
        <w:spacing w:before="100" w:beforeAutospacing="1" w:after="100" w:afterAutospacing="1"/>
        <w:ind w:firstLineChars="200" w:firstLine="560"/>
        <w:jc w:val="both"/>
        <w:rPr>
          <w:sz w:val="28"/>
          <w:szCs w:val="28"/>
        </w:rPr>
      </w:pPr>
      <w:r w:rsidRPr="005E758A">
        <w:rPr>
          <w:sz w:val="28"/>
          <w:szCs w:val="28"/>
        </w:rPr>
        <w:t>不屬本項明列的項目者如何判斷是否屬身分權保護範圍呢？現代各式人工受孕技術即引發了許多相關問題，本條是否有保障人工受孕產下的兒童瞭解其過程的權利？父母是否有義務提供相關資訊？</w:t>
      </w:r>
      <w:r w:rsidRPr="005E758A">
        <w:rPr>
          <w:sz w:val="28"/>
          <w:szCs w:val="28"/>
        </w:rPr>
        <w:lastRenderedPageBreak/>
        <w:t>有論者持否定見解，認為若締約國有義務要求父母提供資訊，可能過度干擾該名兒童、父母及相關人士（例如捐贈精卵者）的生活，但締約國仍應鼓勵父母持開放態度</w:t>
      </w:r>
      <w:r w:rsidRPr="005E758A">
        <w:rPr>
          <w:rStyle w:val="af3"/>
          <w:sz w:val="28"/>
          <w:szCs w:val="28"/>
        </w:rPr>
        <w:endnoteReference w:id="103"/>
      </w:r>
      <w:r w:rsidRPr="005E758A">
        <w:rPr>
          <w:sz w:val="28"/>
          <w:szCs w:val="28"/>
        </w:rPr>
        <w:t>。其它可能涵蓋於身分權範圍者包括</w:t>
      </w:r>
      <w:r w:rsidRPr="005E758A">
        <w:rPr>
          <w:rStyle w:val="af3"/>
          <w:sz w:val="28"/>
          <w:szCs w:val="28"/>
        </w:rPr>
        <w:endnoteReference w:id="104"/>
      </w:r>
      <w:r w:rsidRPr="005E758A">
        <w:rPr>
          <w:sz w:val="28"/>
          <w:szCs w:val="28"/>
        </w:rPr>
        <w:t>：</w:t>
      </w:r>
    </w:p>
    <w:p w14:paraId="67E2AA6E" w14:textId="77777777" w:rsidR="003B0705" w:rsidRPr="005E758A" w:rsidRDefault="003B0705" w:rsidP="00F02A5C">
      <w:pPr>
        <w:pStyle w:val="a0"/>
        <w:numPr>
          <w:ilvl w:val="0"/>
          <w:numId w:val="118"/>
        </w:numPr>
        <w:snapToGrid w:val="0"/>
        <w:spacing w:before="100" w:beforeAutospacing="1" w:after="100" w:afterAutospacing="1"/>
        <w:ind w:leftChars="0"/>
        <w:jc w:val="both"/>
        <w:rPr>
          <w:rFonts w:ascii="Times New Roman" w:eastAsia="標楷體" w:hAnsi="Times New Roman"/>
          <w:sz w:val="28"/>
          <w:szCs w:val="28"/>
        </w:rPr>
      </w:pPr>
      <w:r w:rsidRPr="005E758A">
        <w:rPr>
          <w:rFonts w:ascii="Times New Roman" w:eastAsia="標楷體" w:hAnsi="Times New Roman"/>
          <w:sz w:val="28"/>
          <w:szCs w:val="28"/>
        </w:rPr>
        <w:t>兒童出生後的歷程（曾經居住過的地方、曾經照顧他的人等）；</w:t>
      </w:r>
    </w:p>
    <w:p w14:paraId="7DB11D44" w14:textId="77777777" w:rsidR="003B0705" w:rsidRPr="005E758A" w:rsidRDefault="003B0705" w:rsidP="00F02A5C">
      <w:pPr>
        <w:pStyle w:val="a0"/>
        <w:numPr>
          <w:ilvl w:val="0"/>
          <w:numId w:val="118"/>
        </w:numPr>
        <w:snapToGrid w:val="0"/>
        <w:spacing w:before="100" w:beforeAutospacing="1" w:after="100" w:afterAutospacing="1"/>
        <w:ind w:leftChars="0"/>
        <w:jc w:val="both"/>
        <w:rPr>
          <w:rFonts w:ascii="Times New Roman" w:eastAsia="標楷體" w:hAnsi="Times New Roman"/>
          <w:sz w:val="28"/>
          <w:szCs w:val="28"/>
        </w:rPr>
      </w:pPr>
      <w:r w:rsidRPr="005E758A">
        <w:rPr>
          <w:rFonts w:ascii="Times New Roman" w:eastAsia="標楷體" w:hAnsi="Times New Roman"/>
          <w:sz w:val="28"/>
          <w:szCs w:val="28"/>
        </w:rPr>
        <w:t>兒童的種族、文化、宗教及語言；</w:t>
      </w:r>
    </w:p>
    <w:p w14:paraId="0EBCBBB5" w14:textId="77777777" w:rsidR="003B0705" w:rsidRPr="005E758A" w:rsidRDefault="003B0705" w:rsidP="00F02A5C">
      <w:pPr>
        <w:pStyle w:val="a0"/>
        <w:numPr>
          <w:ilvl w:val="0"/>
          <w:numId w:val="118"/>
        </w:numPr>
        <w:snapToGrid w:val="0"/>
        <w:spacing w:before="100" w:beforeAutospacing="1" w:after="100" w:afterAutospacing="1"/>
        <w:ind w:leftChars="0"/>
        <w:jc w:val="both"/>
        <w:rPr>
          <w:rFonts w:ascii="Times New Roman" w:eastAsia="標楷體" w:hAnsi="Times New Roman"/>
          <w:sz w:val="28"/>
          <w:szCs w:val="28"/>
        </w:rPr>
      </w:pPr>
      <w:r w:rsidRPr="005E758A">
        <w:rPr>
          <w:rFonts w:ascii="Times New Roman" w:eastAsia="標楷體" w:hAnsi="Times New Roman"/>
          <w:sz w:val="28"/>
          <w:szCs w:val="28"/>
        </w:rPr>
        <w:t>兒童的外表、能力、性別認同及性別取向。</w:t>
      </w:r>
    </w:p>
    <w:p w14:paraId="7979C7EC" w14:textId="77777777" w:rsidR="003B0705" w:rsidRPr="005E758A" w:rsidRDefault="003B0705" w:rsidP="003B0705">
      <w:pPr>
        <w:pStyle w:val="3"/>
        <w:numPr>
          <w:ilvl w:val="0"/>
          <w:numId w:val="3"/>
        </w:numPr>
        <w:ind w:left="482" w:hanging="482"/>
        <w:rPr>
          <w:szCs w:val="28"/>
        </w:rPr>
      </w:pPr>
      <w:r w:rsidRPr="005E758A">
        <w:rPr>
          <w:szCs w:val="28"/>
        </w:rPr>
        <w:t>第</w:t>
      </w:r>
      <w:r w:rsidRPr="005E758A">
        <w:rPr>
          <w:szCs w:val="28"/>
        </w:rPr>
        <w:t>8</w:t>
      </w:r>
      <w:r w:rsidRPr="005E758A">
        <w:rPr>
          <w:szCs w:val="28"/>
        </w:rPr>
        <w:t>條第</w:t>
      </w:r>
      <w:r w:rsidRPr="005E758A">
        <w:rPr>
          <w:szCs w:val="28"/>
        </w:rPr>
        <w:t>2</w:t>
      </w:r>
      <w:r w:rsidRPr="005E758A">
        <w:rPr>
          <w:szCs w:val="28"/>
        </w:rPr>
        <w:t>項</w:t>
      </w:r>
    </w:p>
    <w:p w14:paraId="4FF79947" w14:textId="77777777" w:rsidR="003B0705" w:rsidRPr="005E758A" w:rsidRDefault="003B0705" w:rsidP="003B0705">
      <w:pPr>
        <w:snapToGrid w:val="0"/>
        <w:spacing w:before="100" w:beforeAutospacing="1" w:after="100" w:afterAutospacing="1"/>
        <w:ind w:firstLineChars="200" w:firstLine="560"/>
        <w:jc w:val="both"/>
        <w:rPr>
          <w:sz w:val="28"/>
        </w:rPr>
      </w:pPr>
      <w:r w:rsidRPr="005E758A">
        <w:rPr>
          <w:sz w:val="28"/>
          <w:szCs w:val="28"/>
        </w:rPr>
        <w:t>本項規範</w:t>
      </w:r>
      <w:r w:rsidRPr="005E758A">
        <w:rPr>
          <w:sz w:val="28"/>
        </w:rPr>
        <w:t>兒童之身分遭非法剝奪時締約國的義務，所有無法律基礎之剝奪</w:t>
      </w:r>
      <w:proofErr w:type="gramStart"/>
      <w:r w:rsidRPr="005E758A">
        <w:rPr>
          <w:sz w:val="28"/>
        </w:rPr>
        <w:t>應均屬</w:t>
      </w:r>
      <w:proofErr w:type="gramEnd"/>
      <w:r w:rsidRPr="005E758A">
        <w:rPr>
          <w:sz w:val="28"/>
        </w:rPr>
        <w:t>「非法剝奪」。針對類似前述兒童大量失蹤的情況，兒童權利委員會即建議締約國應積極努力追蹤失蹤的兒童，且計畫建立全國性的委員會調查相關事件，並提供所需的資源</w:t>
      </w:r>
      <w:r w:rsidRPr="005E758A">
        <w:rPr>
          <w:rStyle w:val="af3"/>
          <w:sz w:val="28"/>
        </w:rPr>
        <w:endnoteReference w:id="105"/>
      </w:r>
      <w:r w:rsidRPr="005E758A">
        <w:rPr>
          <w:sz w:val="28"/>
        </w:rPr>
        <w:t>。一般而言，「適當的協助及保護」可能包括以下形式</w:t>
      </w:r>
      <w:r w:rsidRPr="005E758A">
        <w:rPr>
          <w:rStyle w:val="af3"/>
          <w:sz w:val="28"/>
          <w:szCs w:val="28"/>
        </w:rPr>
        <w:endnoteReference w:id="106"/>
      </w:r>
      <w:r w:rsidRPr="005E758A">
        <w:rPr>
          <w:sz w:val="28"/>
        </w:rPr>
        <w:t>：</w:t>
      </w:r>
    </w:p>
    <w:p w14:paraId="68C00C09" w14:textId="77777777" w:rsidR="003B0705" w:rsidRPr="005E758A" w:rsidRDefault="003B0705" w:rsidP="00F02A5C">
      <w:pPr>
        <w:pStyle w:val="a0"/>
        <w:numPr>
          <w:ilvl w:val="0"/>
          <w:numId w:val="118"/>
        </w:numPr>
        <w:snapToGrid w:val="0"/>
        <w:spacing w:before="100" w:beforeAutospacing="1" w:after="100" w:afterAutospacing="1"/>
        <w:ind w:leftChars="0"/>
        <w:jc w:val="both"/>
        <w:rPr>
          <w:rFonts w:ascii="Times New Roman" w:eastAsia="標楷體" w:hAnsi="Times New Roman"/>
          <w:sz w:val="28"/>
          <w:szCs w:val="28"/>
        </w:rPr>
      </w:pPr>
      <w:r w:rsidRPr="005E758A">
        <w:rPr>
          <w:rFonts w:ascii="Times New Roman" w:eastAsia="標楷體" w:hAnsi="Times New Roman"/>
          <w:sz w:val="28"/>
          <w:szCs w:val="28"/>
        </w:rPr>
        <w:t>開放查詢基因剖析</w:t>
      </w:r>
      <w:r w:rsidRPr="005E758A">
        <w:rPr>
          <w:rFonts w:ascii="Times New Roman" w:eastAsia="標楷體" w:hAnsi="Times New Roman"/>
          <w:sz w:val="28"/>
          <w:szCs w:val="28"/>
        </w:rPr>
        <w:t>(genetic profiling)</w:t>
      </w:r>
      <w:r w:rsidRPr="005E758A">
        <w:rPr>
          <w:rFonts w:ascii="Times New Roman" w:eastAsia="標楷體" w:hAnsi="Times New Roman"/>
          <w:sz w:val="28"/>
          <w:szCs w:val="28"/>
        </w:rPr>
        <w:t>相關資料以協助確認血統；</w:t>
      </w:r>
    </w:p>
    <w:p w14:paraId="2A9AADE8" w14:textId="77777777" w:rsidR="003B0705" w:rsidRPr="005E758A" w:rsidRDefault="003B0705" w:rsidP="00F02A5C">
      <w:pPr>
        <w:pStyle w:val="a0"/>
        <w:numPr>
          <w:ilvl w:val="0"/>
          <w:numId w:val="118"/>
        </w:numPr>
        <w:snapToGrid w:val="0"/>
        <w:spacing w:before="100" w:beforeAutospacing="1" w:after="100" w:afterAutospacing="1"/>
        <w:ind w:leftChars="0"/>
        <w:jc w:val="both"/>
        <w:rPr>
          <w:rFonts w:ascii="Times New Roman" w:eastAsia="標楷體" w:hAnsi="Times New Roman"/>
          <w:sz w:val="28"/>
          <w:szCs w:val="28"/>
        </w:rPr>
      </w:pPr>
      <w:r w:rsidRPr="005E758A">
        <w:rPr>
          <w:rFonts w:ascii="Times New Roman" w:eastAsia="標楷體" w:hAnsi="Times New Roman"/>
          <w:sz w:val="28"/>
          <w:szCs w:val="28"/>
        </w:rPr>
        <w:t>積極追蹤</w:t>
      </w:r>
      <w:r w:rsidRPr="005E758A">
        <w:rPr>
          <w:rFonts w:ascii="Times New Roman" w:eastAsia="標楷體" w:hAnsi="Times New Roman"/>
          <w:sz w:val="28"/>
        </w:rPr>
        <w:t>無人陪伴之難民兒童的親屬或所屬社區成員；</w:t>
      </w:r>
    </w:p>
    <w:p w14:paraId="0B0E61B2" w14:textId="77777777" w:rsidR="003B0705" w:rsidRPr="005E758A" w:rsidRDefault="003B0705" w:rsidP="00F02A5C">
      <w:pPr>
        <w:pStyle w:val="a0"/>
        <w:numPr>
          <w:ilvl w:val="0"/>
          <w:numId w:val="118"/>
        </w:numPr>
        <w:snapToGrid w:val="0"/>
        <w:spacing w:before="100" w:beforeAutospacing="1" w:after="100" w:afterAutospacing="1"/>
        <w:ind w:leftChars="0"/>
        <w:jc w:val="both"/>
        <w:rPr>
          <w:rFonts w:ascii="Times New Roman" w:eastAsia="標楷體" w:hAnsi="Times New Roman"/>
          <w:sz w:val="28"/>
          <w:szCs w:val="28"/>
        </w:rPr>
      </w:pPr>
      <w:r w:rsidRPr="005E758A">
        <w:rPr>
          <w:rFonts w:ascii="Times New Roman" w:eastAsia="標楷體" w:hAnsi="Times New Roman"/>
          <w:sz w:val="28"/>
        </w:rPr>
        <w:t>透過媒體散佈失蹤兒童相關消息以促成家庭團聚；</w:t>
      </w:r>
    </w:p>
    <w:p w14:paraId="41C696EC" w14:textId="77777777" w:rsidR="003B0705" w:rsidRPr="005E758A" w:rsidRDefault="003B0705" w:rsidP="00F02A5C">
      <w:pPr>
        <w:pStyle w:val="a0"/>
        <w:numPr>
          <w:ilvl w:val="0"/>
          <w:numId w:val="118"/>
        </w:numPr>
        <w:snapToGrid w:val="0"/>
        <w:spacing w:before="100" w:beforeAutospacing="1" w:after="100" w:afterAutospacing="1"/>
        <w:ind w:leftChars="0"/>
        <w:jc w:val="both"/>
        <w:rPr>
          <w:rFonts w:ascii="Times New Roman" w:eastAsia="標楷體" w:hAnsi="Times New Roman"/>
          <w:sz w:val="28"/>
          <w:szCs w:val="28"/>
        </w:rPr>
      </w:pPr>
      <w:r w:rsidRPr="005E758A">
        <w:rPr>
          <w:rFonts w:ascii="Times New Roman" w:eastAsia="標楷體" w:hAnsi="Times New Roman"/>
          <w:sz w:val="28"/>
        </w:rPr>
        <w:t>批准海牙國際兒童誘拐民事方面的公約並確保迅速處理</w:t>
      </w:r>
      <w:proofErr w:type="gramStart"/>
      <w:r w:rsidRPr="005E758A">
        <w:rPr>
          <w:rFonts w:ascii="Times New Roman" w:eastAsia="標楷體" w:hAnsi="Times New Roman"/>
          <w:sz w:val="28"/>
        </w:rPr>
        <w:t>疑</w:t>
      </w:r>
      <w:proofErr w:type="gramEnd"/>
      <w:r w:rsidRPr="005E758A">
        <w:rPr>
          <w:rFonts w:ascii="Times New Roman" w:eastAsia="標楷體" w:hAnsi="Times New Roman"/>
          <w:sz w:val="28"/>
        </w:rPr>
        <w:t>有違法誘拐情事的案件；</w:t>
      </w:r>
    </w:p>
    <w:p w14:paraId="7A98AA7B" w14:textId="77777777" w:rsidR="003B0705" w:rsidRPr="005E758A" w:rsidRDefault="003B0705" w:rsidP="00F02A5C">
      <w:pPr>
        <w:pStyle w:val="a0"/>
        <w:numPr>
          <w:ilvl w:val="0"/>
          <w:numId w:val="118"/>
        </w:numPr>
        <w:snapToGrid w:val="0"/>
        <w:spacing w:before="100" w:beforeAutospacing="1" w:after="100" w:afterAutospacing="1"/>
        <w:ind w:leftChars="0"/>
        <w:jc w:val="both"/>
        <w:rPr>
          <w:rFonts w:ascii="Times New Roman" w:eastAsia="標楷體" w:hAnsi="Times New Roman"/>
          <w:sz w:val="28"/>
          <w:szCs w:val="28"/>
        </w:rPr>
      </w:pPr>
      <w:r w:rsidRPr="005E758A">
        <w:rPr>
          <w:rFonts w:ascii="Times New Roman" w:eastAsia="標楷體" w:hAnsi="Times New Roman"/>
          <w:sz w:val="28"/>
          <w:szCs w:val="28"/>
        </w:rPr>
        <w:t>批准</w:t>
      </w:r>
      <w:r w:rsidRPr="005E758A">
        <w:rPr>
          <w:rFonts w:ascii="Times New Roman" w:eastAsia="標楷體" w:hAnsi="Times New Roman"/>
          <w:sz w:val="28"/>
        </w:rPr>
        <w:t>海牙跨國收養公約並確保需要相關人士同意時，有適當程序取得此種同意，並確保收養前正確記錄兒童身分；</w:t>
      </w:r>
    </w:p>
    <w:p w14:paraId="4DD12D37" w14:textId="77777777" w:rsidR="003B0705" w:rsidRPr="005E758A" w:rsidRDefault="003B0705" w:rsidP="00F02A5C">
      <w:pPr>
        <w:pStyle w:val="a0"/>
        <w:numPr>
          <w:ilvl w:val="0"/>
          <w:numId w:val="118"/>
        </w:numPr>
        <w:snapToGrid w:val="0"/>
        <w:spacing w:before="100" w:beforeAutospacing="1" w:after="100" w:afterAutospacing="1"/>
        <w:ind w:leftChars="0"/>
        <w:jc w:val="both"/>
        <w:rPr>
          <w:rFonts w:ascii="Times New Roman" w:eastAsia="標楷體" w:hAnsi="Times New Roman"/>
          <w:sz w:val="28"/>
          <w:szCs w:val="28"/>
        </w:rPr>
      </w:pPr>
      <w:r w:rsidRPr="005E758A">
        <w:rPr>
          <w:rFonts w:ascii="Times New Roman" w:eastAsia="標楷體" w:hAnsi="Times New Roman"/>
          <w:sz w:val="28"/>
        </w:rPr>
        <w:t>確保正確記錄兒童身分（姓名、國籍、監護權等）的改變；</w:t>
      </w:r>
    </w:p>
    <w:p w14:paraId="6CC06C9F" w14:textId="77777777" w:rsidR="003B0705" w:rsidRPr="005E758A" w:rsidRDefault="003B0705" w:rsidP="00F02A5C">
      <w:pPr>
        <w:pStyle w:val="a0"/>
        <w:numPr>
          <w:ilvl w:val="0"/>
          <w:numId w:val="118"/>
        </w:numPr>
        <w:snapToGrid w:val="0"/>
        <w:spacing w:before="100" w:beforeAutospacing="1" w:after="100" w:afterAutospacing="1"/>
        <w:ind w:leftChars="0"/>
        <w:jc w:val="both"/>
        <w:rPr>
          <w:rFonts w:ascii="Times New Roman" w:eastAsia="標楷體" w:hAnsi="Times New Roman"/>
          <w:sz w:val="28"/>
          <w:szCs w:val="28"/>
        </w:rPr>
      </w:pPr>
      <w:r w:rsidRPr="005E758A">
        <w:rPr>
          <w:rFonts w:ascii="Times New Roman" w:eastAsia="標楷體" w:hAnsi="Times New Roman"/>
          <w:sz w:val="28"/>
          <w:szCs w:val="28"/>
        </w:rPr>
        <w:t>確保需恢復身分之兒童在此過程中受到暫時的安置。</w:t>
      </w:r>
    </w:p>
    <w:p w14:paraId="2D140134" w14:textId="77777777" w:rsidR="003B0705" w:rsidRPr="005E758A" w:rsidRDefault="003B0705" w:rsidP="003B0705">
      <w:pPr>
        <w:pStyle w:val="2"/>
        <w:rPr>
          <w:szCs w:val="28"/>
        </w:rPr>
      </w:pPr>
      <w:r w:rsidRPr="005E758A">
        <w:rPr>
          <w:szCs w:val="28"/>
        </w:rPr>
        <w:t>案例介紹</w:t>
      </w:r>
    </w:p>
    <w:p w14:paraId="737F0207" w14:textId="77777777" w:rsidR="003B0705" w:rsidRPr="005E758A" w:rsidRDefault="003B0705" w:rsidP="00F02A5C">
      <w:pPr>
        <w:pStyle w:val="3"/>
        <w:numPr>
          <w:ilvl w:val="0"/>
          <w:numId w:val="121"/>
        </w:numPr>
        <w:rPr>
          <w:b/>
          <w:szCs w:val="28"/>
        </w:rPr>
      </w:pPr>
      <w:r w:rsidRPr="005E758A">
        <w:rPr>
          <w:szCs w:val="28"/>
        </w:rPr>
        <w:t>2005</w:t>
      </w:r>
      <w:r w:rsidR="00FA6B21" w:rsidRPr="005E758A">
        <w:rPr>
          <w:szCs w:val="28"/>
        </w:rPr>
        <w:t>年</w:t>
      </w:r>
      <w:r w:rsidRPr="005E758A">
        <w:rPr>
          <w:szCs w:val="28"/>
        </w:rPr>
        <w:t>美洲國家間人權法院失蹤兒童案：</w:t>
      </w:r>
      <w:r w:rsidRPr="005E758A">
        <w:rPr>
          <w:szCs w:val="28"/>
        </w:rPr>
        <w:t>Serrano Cruz Sisters v. El Salvador</w:t>
      </w:r>
      <w:r w:rsidRPr="005E758A">
        <w:rPr>
          <w:rStyle w:val="af3"/>
          <w:szCs w:val="28"/>
        </w:rPr>
        <w:endnoteReference w:id="107"/>
      </w:r>
    </w:p>
    <w:p w14:paraId="6A7DB416" w14:textId="77777777" w:rsidR="003B0705" w:rsidRPr="005E758A" w:rsidRDefault="003B0705" w:rsidP="003B0705">
      <w:pPr>
        <w:snapToGrid w:val="0"/>
        <w:spacing w:before="100" w:beforeAutospacing="1" w:after="100" w:afterAutospacing="1"/>
        <w:ind w:firstLineChars="200" w:firstLine="560"/>
        <w:jc w:val="both"/>
        <w:rPr>
          <w:sz w:val="28"/>
          <w:szCs w:val="28"/>
        </w:rPr>
      </w:pPr>
      <w:proofErr w:type="gramStart"/>
      <w:r w:rsidRPr="005E758A">
        <w:rPr>
          <w:sz w:val="28"/>
        </w:rPr>
        <w:t>薩而瓦</w:t>
      </w:r>
      <w:proofErr w:type="gramEnd"/>
      <w:r w:rsidRPr="005E758A">
        <w:rPr>
          <w:sz w:val="28"/>
        </w:rPr>
        <w:t>多內戰</w:t>
      </w:r>
      <w:proofErr w:type="gramStart"/>
      <w:r w:rsidRPr="005E758A">
        <w:rPr>
          <w:sz w:val="28"/>
        </w:rPr>
        <w:t>期間，</w:t>
      </w:r>
      <w:proofErr w:type="gramEnd"/>
      <w:r w:rsidRPr="005E758A">
        <w:rPr>
          <w:sz w:val="28"/>
        </w:rPr>
        <w:t>Serrano Cruz</w:t>
      </w:r>
      <w:r w:rsidRPr="005E758A">
        <w:rPr>
          <w:sz w:val="28"/>
        </w:rPr>
        <w:t>全家人被迫拋棄家園且與彼此分離，其中分別為</w:t>
      </w:r>
      <w:r w:rsidRPr="005E758A">
        <w:rPr>
          <w:sz w:val="28"/>
        </w:rPr>
        <w:t>3</w:t>
      </w:r>
      <w:r w:rsidRPr="005E758A">
        <w:rPr>
          <w:sz w:val="28"/>
        </w:rPr>
        <w:t>歲及</w:t>
      </w:r>
      <w:r w:rsidRPr="005E758A">
        <w:rPr>
          <w:sz w:val="28"/>
        </w:rPr>
        <w:t>7</w:t>
      </w:r>
      <w:r w:rsidRPr="005E758A">
        <w:rPr>
          <w:sz w:val="28"/>
        </w:rPr>
        <w:t>歲兩姊妹被薩爾瓦多軍隊綁架，兩姊妹的</w:t>
      </w:r>
      <w:r w:rsidRPr="005E758A">
        <w:rPr>
          <w:sz w:val="28"/>
          <w:szCs w:val="28"/>
        </w:rPr>
        <w:t>母親要求</w:t>
      </w:r>
      <w:proofErr w:type="gramStart"/>
      <w:r w:rsidRPr="005E758A">
        <w:rPr>
          <w:sz w:val="28"/>
          <w:szCs w:val="28"/>
        </w:rPr>
        <w:t>薩</w:t>
      </w:r>
      <w:proofErr w:type="gramEnd"/>
      <w:r w:rsidRPr="005E758A">
        <w:rPr>
          <w:sz w:val="28"/>
          <w:szCs w:val="28"/>
        </w:rPr>
        <w:t>國法院調查兩姊妹的失蹤案未果，美洲國家間人權委員會</w:t>
      </w:r>
      <w:r w:rsidRPr="005E758A">
        <w:rPr>
          <w:sz w:val="28"/>
          <w:szCs w:val="28"/>
        </w:rPr>
        <w:t>(Inter-American Commission on Human Rights)</w:t>
      </w:r>
      <w:r w:rsidRPr="005E758A">
        <w:rPr>
          <w:sz w:val="28"/>
          <w:szCs w:val="28"/>
        </w:rPr>
        <w:t>隨後提出控訴，認為</w:t>
      </w:r>
      <w:proofErr w:type="gramStart"/>
      <w:r w:rsidRPr="005E758A">
        <w:rPr>
          <w:sz w:val="28"/>
          <w:szCs w:val="28"/>
        </w:rPr>
        <w:t>薩</w:t>
      </w:r>
      <w:proofErr w:type="gramEnd"/>
      <w:r w:rsidRPr="005E758A">
        <w:rPr>
          <w:sz w:val="28"/>
          <w:szCs w:val="28"/>
        </w:rPr>
        <w:t>國違反數項美洲人權公約規範，包括兩姊妹的生命權、人身自由權、身分權、兒童權利，以及其家人的免受不人道待遇之權利、公平審判權、家庭權及司法保護相關權利。</w:t>
      </w:r>
    </w:p>
    <w:p w14:paraId="73729F68" w14:textId="77777777" w:rsidR="003B0705" w:rsidRPr="005E758A" w:rsidRDefault="003B0705" w:rsidP="003B0705">
      <w:pPr>
        <w:snapToGrid w:val="0"/>
        <w:spacing w:before="100" w:beforeAutospacing="1" w:after="100" w:afterAutospacing="1"/>
        <w:ind w:firstLineChars="200" w:firstLine="560"/>
        <w:jc w:val="both"/>
        <w:rPr>
          <w:sz w:val="28"/>
          <w:szCs w:val="28"/>
        </w:rPr>
      </w:pPr>
      <w:r w:rsidRPr="005E758A">
        <w:rPr>
          <w:sz w:val="28"/>
          <w:szCs w:val="28"/>
        </w:rPr>
        <w:lastRenderedPageBreak/>
        <w:t>由於與兩姊妹失蹤相關的事情發生在薩爾瓦多接受美洲國家間人權法院管轄之前，因此法院並未直接檢視失蹤相關的違法控訴，但法院考慮了兒童權利公約等相關人權文件，於探討</w:t>
      </w:r>
      <w:r w:rsidRPr="005E758A">
        <w:rPr>
          <w:sz w:val="28"/>
        </w:rPr>
        <w:t>Serrano Cruz</w:t>
      </w:r>
      <w:r w:rsidRPr="005E758A">
        <w:rPr>
          <w:sz w:val="28"/>
        </w:rPr>
        <w:t>家人身分權是否被侵害時，法院特別引用了兒童權利公約第</w:t>
      </w:r>
      <w:r w:rsidRPr="005E758A">
        <w:rPr>
          <w:sz w:val="28"/>
        </w:rPr>
        <w:t>7</w:t>
      </w:r>
      <w:r w:rsidRPr="005E758A">
        <w:rPr>
          <w:sz w:val="28"/>
        </w:rPr>
        <w:t>條及第</w:t>
      </w:r>
      <w:r w:rsidRPr="005E758A">
        <w:rPr>
          <w:sz w:val="28"/>
        </w:rPr>
        <w:t>8</w:t>
      </w:r>
      <w:r w:rsidRPr="005E758A">
        <w:rPr>
          <w:sz w:val="28"/>
        </w:rPr>
        <w:t>條。</w:t>
      </w:r>
      <w:r w:rsidRPr="005E758A">
        <w:rPr>
          <w:sz w:val="28"/>
          <w:szCs w:val="28"/>
        </w:rPr>
        <w:t>法院最後認為兩姊妹失蹤後</w:t>
      </w:r>
      <w:proofErr w:type="gramStart"/>
      <w:r w:rsidRPr="005E758A">
        <w:rPr>
          <w:sz w:val="28"/>
          <w:szCs w:val="28"/>
        </w:rPr>
        <w:t>薩</w:t>
      </w:r>
      <w:proofErr w:type="gramEnd"/>
      <w:r w:rsidRPr="005E758A">
        <w:rPr>
          <w:sz w:val="28"/>
          <w:szCs w:val="28"/>
        </w:rPr>
        <w:t>國未提供其家人有效的救濟管道，其中</w:t>
      </w:r>
      <w:proofErr w:type="gramStart"/>
      <w:r w:rsidRPr="005E758A">
        <w:rPr>
          <w:sz w:val="28"/>
          <w:szCs w:val="28"/>
        </w:rPr>
        <w:t>薩</w:t>
      </w:r>
      <w:proofErr w:type="gramEnd"/>
      <w:r w:rsidRPr="005E758A">
        <w:rPr>
          <w:sz w:val="28"/>
          <w:szCs w:val="28"/>
        </w:rPr>
        <w:t>國刑事法院調查上的拖延更是嚴重侵害其家人的權利。法院並於判決中要求</w:t>
      </w:r>
      <w:proofErr w:type="gramStart"/>
      <w:r w:rsidRPr="005E758A">
        <w:rPr>
          <w:sz w:val="28"/>
          <w:szCs w:val="28"/>
        </w:rPr>
        <w:t>薩</w:t>
      </w:r>
      <w:proofErr w:type="gramEnd"/>
      <w:r w:rsidRPr="005E758A">
        <w:rPr>
          <w:sz w:val="28"/>
          <w:szCs w:val="28"/>
        </w:rPr>
        <w:t>國提供受害者賠償並對兩姊妹失蹤一案展開調查，並建立全國性委員會調查武裝衝突中兒童失蹤的案件。</w:t>
      </w:r>
    </w:p>
    <w:p w14:paraId="0F5A5CCF" w14:textId="77777777" w:rsidR="003B0705" w:rsidRPr="005E758A" w:rsidRDefault="003B0705" w:rsidP="00F02A5C">
      <w:pPr>
        <w:pStyle w:val="3"/>
        <w:numPr>
          <w:ilvl w:val="0"/>
          <w:numId w:val="121"/>
        </w:numPr>
        <w:rPr>
          <w:b/>
          <w:szCs w:val="28"/>
        </w:rPr>
      </w:pPr>
      <w:r w:rsidRPr="005E758A">
        <w:rPr>
          <w:szCs w:val="28"/>
        </w:rPr>
        <w:t>2015</w:t>
      </w:r>
      <w:r w:rsidRPr="005E758A">
        <w:rPr>
          <w:szCs w:val="28"/>
        </w:rPr>
        <w:t>年俄國憲法法院收養</w:t>
      </w:r>
      <w:proofErr w:type="gramStart"/>
      <w:r w:rsidRPr="005E758A">
        <w:rPr>
          <w:szCs w:val="28"/>
        </w:rPr>
        <w:t>祕密案</w:t>
      </w:r>
      <w:proofErr w:type="gramEnd"/>
      <w:r w:rsidRPr="005E758A">
        <w:rPr>
          <w:szCs w:val="28"/>
        </w:rPr>
        <w:t>：</w:t>
      </w:r>
      <w:r w:rsidRPr="005E758A">
        <w:rPr>
          <w:szCs w:val="28"/>
        </w:rPr>
        <w:t xml:space="preserve">Constitutionality of Article 139 of the Family Code of Russian Federation and Article 47 of the Federal Law “On the Acts of Civil Status” on account of complaint lodged by the citizens G. F. </w:t>
      </w:r>
      <w:proofErr w:type="spellStart"/>
      <w:r w:rsidRPr="005E758A">
        <w:rPr>
          <w:szCs w:val="28"/>
        </w:rPr>
        <w:t>Grubich</w:t>
      </w:r>
      <w:proofErr w:type="spellEnd"/>
      <w:r w:rsidRPr="005E758A">
        <w:rPr>
          <w:szCs w:val="28"/>
        </w:rPr>
        <w:t xml:space="preserve"> and T. G. </w:t>
      </w:r>
      <w:proofErr w:type="spellStart"/>
      <w:r w:rsidRPr="005E758A">
        <w:rPr>
          <w:szCs w:val="28"/>
        </w:rPr>
        <w:t>Guschina</w:t>
      </w:r>
      <w:proofErr w:type="spellEnd"/>
      <w:r w:rsidRPr="005E758A">
        <w:rPr>
          <w:rStyle w:val="af3"/>
          <w:szCs w:val="28"/>
        </w:rPr>
        <w:endnoteReference w:id="108"/>
      </w:r>
    </w:p>
    <w:p w14:paraId="18A726C7" w14:textId="77777777" w:rsidR="003B0705" w:rsidRPr="005E758A" w:rsidRDefault="003B0705" w:rsidP="003B0705">
      <w:pPr>
        <w:snapToGrid w:val="0"/>
        <w:spacing w:before="100" w:beforeAutospacing="1" w:after="100" w:afterAutospacing="1"/>
        <w:ind w:firstLineChars="200" w:firstLine="560"/>
        <w:jc w:val="both"/>
        <w:rPr>
          <w:sz w:val="28"/>
          <w:szCs w:val="28"/>
        </w:rPr>
      </w:pPr>
      <w:r w:rsidRPr="005E758A">
        <w:rPr>
          <w:sz w:val="28"/>
          <w:szCs w:val="28"/>
        </w:rPr>
        <w:t>本案兩名申請人希望取得已過世之</w:t>
      </w:r>
      <w:r w:rsidRPr="005E758A">
        <w:rPr>
          <w:sz w:val="28"/>
          <w:szCs w:val="28"/>
        </w:rPr>
        <w:t xml:space="preserve">G.I. </w:t>
      </w:r>
      <w:proofErr w:type="spellStart"/>
      <w:r w:rsidRPr="005E758A">
        <w:rPr>
          <w:sz w:val="28"/>
          <w:szCs w:val="28"/>
        </w:rPr>
        <w:t>Grubich</w:t>
      </w:r>
      <w:proofErr w:type="spellEnd"/>
      <w:r w:rsidRPr="005E758A">
        <w:rPr>
          <w:sz w:val="28"/>
          <w:szCs w:val="28"/>
        </w:rPr>
        <w:t>的出生及收養相關資料（</w:t>
      </w:r>
      <w:r w:rsidRPr="005E758A">
        <w:rPr>
          <w:sz w:val="28"/>
          <w:szCs w:val="28"/>
        </w:rPr>
        <w:t xml:space="preserve">G.I. </w:t>
      </w:r>
      <w:proofErr w:type="spellStart"/>
      <w:r w:rsidRPr="005E758A">
        <w:rPr>
          <w:sz w:val="28"/>
          <w:szCs w:val="28"/>
        </w:rPr>
        <w:t>Grubich</w:t>
      </w:r>
      <w:proofErr w:type="spellEnd"/>
      <w:r w:rsidRPr="005E758A">
        <w:rPr>
          <w:sz w:val="28"/>
          <w:szCs w:val="28"/>
        </w:rPr>
        <w:t>為其中一位申請人之配偶和另一位申請人的父親），第一審法院及上訴法院均以保護收養的秘密為由拒絕提供資料，其拒絕依據之國內法僅允許在取得收養父母同意後揭露資訊，但其收養父母亦已過世。因此兩名申請人要求憲法法院宣告相關法律因無條件且無限期的限制了其獲取相關資訊的權利而違憲。</w:t>
      </w:r>
    </w:p>
    <w:p w14:paraId="5F874EE6" w14:textId="77777777" w:rsidR="003B0705" w:rsidRPr="005E758A" w:rsidRDefault="003B0705" w:rsidP="003B0705">
      <w:pPr>
        <w:snapToGrid w:val="0"/>
        <w:spacing w:before="100" w:beforeAutospacing="1" w:after="100" w:afterAutospacing="1"/>
        <w:ind w:firstLineChars="200" w:firstLine="560"/>
        <w:jc w:val="both"/>
        <w:rPr>
          <w:sz w:val="28"/>
          <w:szCs w:val="28"/>
        </w:rPr>
      </w:pPr>
      <w:r w:rsidRPr="005E758A">
        <w:rPr>
          <w:sz w:val="28"/>
          <w:szCs w:val="28"/>
        </w:rPr>
        <w:t>憲法法院指出收養</w:t>
      </w:r>
      <w:proofErr w:type="gramStart"/>
      <w:r w:rsidRPr="005E758A">
        <w:rPr>
          <w:sz w:val="28"/>
          <w:szCs w:val="28"/>
        </w:rPr>
        <w:t>祕</w:t>
      </w:r>
      <w:proofErr w:type="gramEnd"/>
      <w:r w:rsidRPr="005E758A">
        <w:rPr>
          <w:sz w:val="28"/>
          <w:szCs w:val="28"/>
        </w:rPr>
        <w:t>密的原則乃是為了保障收養的穩定及所有家庭人員的權益，以建立收養家庭及被收養兒童之間的適當家庭關係，揭露收養相關資訊可能造成對兒童的傷害並影響家庭環境的形成，因此原則上僅有在收養人同意時始可揭露。然而，法院亦引用了兒童權利公約第</w:t>
      </w:r>
      <w:r w:rsidRPr="005E758A">
        <w:rPr>
          <w:sz w:val="28"/>
          <w:szCs w:val="28"/>
        </w:rPr>
        <w:t>7</w:t>
      </w:r>
      <w:r w:rsidRPr="005E758A">
        <w:rPr>
          <w:sz w:val="28"/>
          <w:szCs w:val="28"/>
        </w:rPr>
        <w:t>條及第</w:t>
      </w:r>
      <w:r w:rsidRPr="005E758A">
        <w:rPr>
          <w:sz w:val="28"/>
          <w:szCs w:val="28"/>
        </w:rPr>
        <w:t>8</w:t>
      </w:r>
      <w:r w:rsidRPr="005E758A">
        <w:rPr>
          <w:sz w:val="28"/>
          <w:szCs w:val="28"/>
        </w:rPr>
        <w:t>條，肯認兒童知其父母及維護其身分的權利，法院並強調應該在幾個相互衝突的利益中取得平衡，認為雖然與收養有關之資訊屬於秘密性質，</w:t>
      </w:r>
      <w:proofErr w:type="gramStart"/>
      <w:r w:rsidRPr="005E758A">
        <w:rPr>
          <w:sz w:val="28"/>
          <w:szCs w:val="28"/>
        </w:rPr>
        <w:t>其與屬構成</w:t>
      </w:r>
      <w:proofErr w:type="gramEnd"/>
      <w:r w:rsidRPr="005E758A">
        <w:rPr>
          <w:sz w:val="28"/>
          <w:szCs w:val="28"/>
        </w:rPr>
        <w:t>個人身分之主要成分的家庭歷史及血緣上的聯繫密切相關。憲法法院最後決定，前審法院應可在被收養人及收養人死亡後允許揭露收養相關資訊，使得被收養人的後代能夠瞭解其身分背景，確立親屬關係，同時也進一步評估維持收養</w:t>
      </w:r>
      <w:proofErr w:type="gramStart"/>
      <w:r w:rsidRPr="005E758A">
        <w:rPr>
          <w:sz w:val="28"/>
          <w:szCs w:val="28"/>
        </w:rPr>
        <w:t>祕</w:t>
      </w:r>
      <w:proofErr w:type="gramEnd"/>
      <w:r w:rsidRPr="005E758A">
        <w:rPr>
          <w:sz w:val="28"/>
          <w:szCs w:val="28"/>
        </w:rPr>
        <w:t>密之合理性。</w:t>
      </w:r>
    </w:p>
    <w:p w14:paraId="64EAA6A4" w14:textId="77777777" w:rsidR="003B0705" w:rsidRPr="005E758A" w:rsidRDefault="003B0705" w:rsidP="003B0705">
      <w:pPr>
        <w:pStyle w:val="2"/>
        <w:rPr>
          <w:szCs w:val="28"/>
        </w:rPr>
      </w:pPr>
      <w:r w:rsidRPr="005E758A">
        <w:rPr>
          <w:szCs w:val="28"/>
        </w:rPr>
        <w:t>綜合分析</w:t>
      </w:r>
    </w:p>
    <w:p w14:paraId="1907E0A9" w14:textId="77777777" w:rsidR="003B0705" w:rsidRPr="005E758A" w:rsidRDefault="003B0705" w:rsidP="003B0705">
      <w:pPr>
        <w:snapToGrid w:val="0"/>
        <w:spacing w:before="100" w:beforeAutospacing="1" w:after="100" w:afterAutospacing="1"/>
        <w:ind w:firstLineChars="200" w:firstLine="560"/>
        <w:jc w:val="both"/>
        <w:rPr>
          <w:sz w:val="28"/>
          <w:szCs w:val="28"/>
        </w:rPr>
      </w:pPr>
      <w:r w:rsidRPr="005E758A">
        <w:rPr>
          <w:sz w:val="28"/>
          <w:szCs w:val="28"/>
        </w:rPr>
        <w:t>兒童權利委員會審查國家報告時對本</w:t>
      </w:r>
      <w:proofErr w:type="gramStart"/>
      <w:r w:rsidRPr="005E758A">
        <w:rPr>
          <w:sz w:val="28"/>
          <w:szCs w:val="28"/>
        </w:rPr>
        <w:t>條著</w:t>
      </w:r>
      <w:proofErr w:type="gramEnd"/>
      <w:r w:rsidRPr="005E758A">
        <w:rPr>
          <w:sz w:val="28"/>
          <w:szCs w:val="28"/>
        </w:rPr>
        <w:t>墨不多，為瞭解兒童在此方面的權利，或許可以參考</w:t>
      </w:r>
      <w:r w:rsidRPr="005E758A">
        <w:rPr>
          <w:sz w:val="28"/>
          <w:szCs w:val="28"/>
        </w:rPr>
        <w:t>2006</w:t>
      </w:r>
      <w:r w:rsidRPr="005E758A">
        <w:rPr>
          <w:sz w:val="28"/>
          <w:szCs w:val="28"/>
        </w:rPr>
        <w:t>年通過、</w:t>
      </w:r>
      <w:r w:rsidRPr="005E758A">
        <w:rPr>
          <w:sz w:val="28"/>
          <w:szCs w:val="28"/>
        </w:rPr>
        <w:t>2010</w:t>
      </w:r>
      <w:r w:rsidRPr="005E758A">
        <w:rPr>
          <w:sz w:val="28"/>
          <w:szCs w:val="28"/>
        </w:rPr>
        <w:t>年生效之保障所有人免於執法失蹤國際公約的相關規定，該公約第</w:t>
      </w:r>
      <w:r w:rsidRPr="005E758A">
        <w:rPr>
          <w:sz w:val="28"/>
          <w:szCs w:val="28"/>
        </w:rPr>
        <w:t>25</w:t>
      </w:r>
      <w:r w:rsidRPr="005E758A">
        <w:rPr>
          <w:sz w:val="28"/>
          <w:szCs w:val="28"/>
        </w:rPr>
        <w:t>條特別針對兒童的保護作出規範，其第</w:t>
      </w:r>
      <w:r w:rsidRPr="005E758A">
        <w:rPr>
          <w:sz w:val="28"/>
          <w:szCs w:val="28"/>
        </w:rPr>
        <w:t>4</w:t>
      </w:r>
      <w:r w:rsidRPr="005E758A">
        <w:rPr>
          <w:sz w:val="28"/>
          <w:szCs w:val="28"/>
        </w:rPr>
        <w:t>項要求：「鑒於必須保護本條第一款第一項</w:t>
      </w:r>
      <w:r w:rsidRPr="005E758A">
        <w:rPr>
          <w:sz w:val="28"/>
          <w:szCs w:val="28"/>
        </w:rPr>
        <w:lastRenderedPageBreak/>
        <w:t>中所指的兒童的最佳利益，他們保留或恢復本人身份的權利，包括法律承認的國籍、姓名和家庭關係，承認收養關係或其他安置兒童形式的締約國應制定法律程序，審查收養或安置程序，並在適當情況下宣佈任何源自執法失蹤的兒童收養或安置無效」。要之，本條規定有其特殊性，係針對當時特定區域所發生之兒童失蹤現象而作規範。這也解釋為何兒童權利委員會對本條並未給予高度重視。</w:t>
      </w:r>
    </w:p>
    <w:p w14:paraId="5E426944" w14:textId="77777777" w:rsidR="003B0705" w:rsidRPr="005E758A" w:rsidRDefault="003B0705" w:rsidP="003B0705">
      <w:pPr>
        <w:pStyle w:val="2"/>
        <w:rPr>
          <w:szCs w:val="28"/>
        </w:rPr>
      </w:pPr>
      <w:r w:rsidRPr="005E758A">
        <w:rPr>
          <w:szCs w:val="28"/>
        </w:rPr>
        <w:t>參考資料</w:t>
      </w:r>
    </w:p>
    <w:p w14:paraId="34CD468C" w14:textId="77777777" w:rsidR="003B0705" w:rsidRPr="005E758A" w:rsidRDefault="003B0705" w:rsidP="00F02A5C">
      <w:pPr>
        <w:pStyle w:val="a0"/>
        <w:numPr>
          <w:ilvl w:val="0"/>
          <w:numId w:val="122"/>
        </w:numPr>
        <w:snapToGrid w:val="0"/>
        <w:ind w:leftChars="0"/>
        <w:jc w:val="both"/>
        <w:rPr>
          <w:rFonts w:ascii="Times New Roman" w:hAnsi="Times New Roman"/>
          <w:sz w:val="28"/>
          <w:szCs w:val="28"/>
        </w:rPr>
      </w:pPr>
      <w:r w:rsidRPr="005E758A">
        <w:rPr>
          <w:rFonts w:ascii="Times New Roman" w:hAnsi="Times New Roman"/>
          <w:sz w:val="28"/>
          <w:szCs w:val="28"/>
        </w:rPr>
        <w:t xml:space="preserve">Alfred de Zayas, </w:t>
      </w:r>
      <w:r w:rsidRPr="005E758A">
        <w:rPr>
          <w:rFonts w:ascii="Times New Roman" w:hAnsi="Times New Roman"/>
          <w:i/>
          <w:sz w:val="28"/>
          <w:szCs w:val="28"/>
        </w:rPr>
        <w:t>The CRC in Litigation under the ICCPR</w:t>
      </w:r>
      <w:r w:rsidRPr="005E758A">
        <w:rPr>
          <w:rFonts w:ascii="Times New Roman" w:hAnsi="Times New Roman"/>
          <w:sz w:val="28"/>
          <w:szCs w:val="28"/>
        </w:rPr>
        <w:t xml:space="preserve">, </w:t>
      </w:r>
      <w:r w:rsidRPr="005E758A">
        <w:rPr>
          <w:rFonts w:ascii="Times New Roman" w:hAnsi="Times New Roman"/>
          <w:i/>
          <w:sz w:val="28"/>
          <w:szCs w:val="28"/>
        </w:rPr>
        <w:t>in</w:t>
      </w:r>
      <w:r w:rsidRPr="005E758A">
        <w:rPr>
          <w:rFonts w:ascii="Times New Roman" w:hAnsi="Times New Roman"/>
          <w:sz w:val="28"/>
          <w:szCs w:val="28"/>
        </w:rPr>
        <w:t xml:space="preserve"> </w:t>
      </w:r>
      <w:r w:rsidRPr="005E758A">
        <w:rPr>
          <w:rFonts w:ascii="Times New Roman" w:hAnsi="Times New Roman"/>
          <w:smallCaps/>
          <w:sz w:val="28"/>
          <w:szCs w:val="28"/>
        </w:rPr>
        <w:t>Litigating the Rights of the Child: The UN Convention on the Rights of the Child in Domestic and International Jurisprudence</w:t>
      </w:r>
      <w:r w:rsidRPr="005E758A">
        <w:rPr>
          <w:rFonts w:ascii="Times New Roman" w:hAnsi="Times New Roman"/>
          <w:sz w:val="28"/>
          <w:szCs w:val="28"/>
        </w:rPr>
        <w:t xml:space="preserve"> 177 (Ton </w:t>
      </w:r>
      <w:proofErr w:type="spellStart"/>
      <w:r w:rsidRPr="005E758A">
        <w:rPr>
          <w:rFonts w:ascii="Times New Roman" w:hAnsi="Times New Roman"/>
          <w:sz w:val="28"/>
          <w:szCs w:val="28"/>
        </w:rPr>
        <w:t>Liefaard</w:t>
      </w:r>
      <w:proofErr w:type="spellEnd"/>
      <w:r w:rsidRPr="005E758A">
        <w:rPr>
          <w:rFonts w:ascii="Times New Roman" w:hAnsi="Times New Roman"/>
          <w:sz w:val="28"/>
          <w:szCs w:val="28"/>
        </w:rPr>
        <w:t xml:space="preserve"> &amp; Jaap E. </w:t>
      </w:r>
      <w:proofErr w:type="spellStart"/>
      <w:r w:rsidRPr="005E758A">
        <w:rPr>
          <w:rFonts w:ascii="Times New Roman" w:hAnsi="Times New Roman"/>
          <w:sz w:val="28"/>
          <w:szCs w:val="28"/>
        </w:rPr>
        <w:t>Doek</w:t>
      </w:r>
      <w:proofErr w:type="spellEnd"/>
      <w:r w:rsidRPr="005E758A">
        <w:rPr>
          <w:rFonts w:ascii="Times New Roman" w:hAnsi="Times New Roman"/>
          <w:sz w:val="28"/>
          <w:szCs w:val="28"/>
        </w:rPr>
        <w:t xml:space="preserve"> eds., 2014).</w:t>
      </w:r>
    </w:p>
    <w:p w14:paraId="42183177" w14:textId="77777777" w:rsidR="003B0705" w:rsidRPr="005E758A" w:rsidRDefault="003B0705" w:rsidP="00F02A5C">
      <w:pPr>
        <w:pStyle w:val="a0"/>
        <w:numPr>
          <w:ilvl w:val="0"/>
          <w:numId w:val="122"/>
        </w:numPr>
        <w:snapToGrid w:val="0"/>
        <w:ind w:leftChars="0"/>
        <w:jc w:val="both"/>
        <w:rPr>
          <w:rFonts w:ascii="Times New Roman" w:hAnsi="Times New Roman"/>
          <w:sz w:val="28"/>
          <w:szCs w:val="28"/>
        </w:rPr>
      </w:pPr>
      <w:r w:rsidRPr="005E758A">
        <w:rPr>
          <w:rFonts w:ascii="Times New Roman" w:hAnsi="Times New Roman"/>
          <w:smallCaps/>
          <w:sz w:val="28"/>
          <w:szCs w:val="28"/>
        </w:rPr>
        <w:t xml:space="preserve">Jaap </w:t>
      </w:r>
      <w:proofErr w:type="spellStart"/>
      <w:r w:rsidRPr="005E758A">
        <w:rPr>
          <w:rFonts w:ascii="Times New Roman" w:hAnsi="Times New Roman"/>
          <w:smallCaps/>
          <w:sz w:val="28"/>
          <w:szCs w:val="28"/>
        </w:rPr>
        <w:t>Doek</w:t>
      </w:r>
      <w:proofErr w:type="spellEnd"/>
      <w:r w:rsidRPr="005E758A">
        <w:rPr>
          <w:rFonts w:ascii="Times New Roman" w:hAnsi="Times New Roman"/>
          <w:smallCaps/>
          <w:sz w:val="28"/>
          <w:szCs w:val="28"/>
        </w:rPr>
        <w:t>, A Commentary on the United Nations Convention on the Rights of the Child: Article 8. The Right to Preservation of Identity, and Article 9. The Right Not to Be Separated from His or Her Parents</w:t>
      </w:r>
      <w:r w:rsidRPr="005E758A">
        <w:rPr>
          <w:rFonts w:ascii="Times New Roman" w:hAnsi="Times New Roman"/>
          <w:sz w:val="28"/>
          <w:szCs w:val="28"/>
        </w:rPr>
        <w:t xml:space="preserve"> (André Alen et al. eds., 2006).</w:t>
      </w:r>
    </w:p>
    <w:p w14:paraId="352E7C72" w14:textId="77777777" w:rsidR="003B0705" w:rsidRPr="005E758A" w:rsidRDefault="003B0705" w:rsidP="00F02A5C">
      <w:pPr>
        <w:pStyle w:val="a0"/>
        <w:numPr>
          <w:ilvl w:val="0"/>
          <w:numId w:val="122"/>
        </w:numPr>
        <w:snapToGrid w:val="0"/>
        <w:ind w:leftChars="0"/>
        <w:jc w:val="both"/>
        <w:rPr>
          <w:rFonts w:ascii="Times New Roman" w:hAnsi="Times New Roman"/>
          <w:sz w:val="28"/>
          <w:szCs w:val="28"/>
        </w:rPr>
      </w:pPr>
      <w:r w:rsidRPr="005E758A">
        <w:rPr>
          <w:rFonts w:ascii="Times New Roman" w:hAnsi="Times New Roman"/>
          <w:smallCaps/>
          <w:sz w:val="28"/>
          <w:szCs w:val="28"/>
        </w:rPr>
        <w:t xml:space="preserve">UNICEF, Implementation Handbook for the Convention on the Rights of the Child </w:t>
      </w:r>
      <w:r w:rsidRPr="005E758A">
        <w:rPr>
          <w:rFonts w:ascii="Times New Roman" w:hAnsi="Times New Roman"/>
          <w:sz w:val="28"/>
          <w:szCs w:val="28"/>
        </w:rPr>
        <w:t>(3d. 2007).</w:t>
      </w:r>
    </w:p>
    <w:p w14:paraId="5368EF90" w14:textId="77777777" w:rsidR="003B0705" w:rsidRPr="005E758A" w:rsidRDefault="003B0705" w:rsidP="00510C24">
      <w:pPr>
        <w:snapToGrid w:val="0"/>
        <w:spacing w:before="100" w:beforeAutospacing="1" w:after="100" w:afterAutospacing="1"/>
        <w:jc w:val="both"/>
        <w:rPr>
          <w:sz w:val="28"/>
          <w:szCs w:val="28"/>
        </w:rPr>
      </w:pPr>
    </w:p>
    <w:p w14:paraId="7BBB5275" w14:textId="77777777" w:rsidR="003B0705" w:rsidRPr="005E758A" w:rsidRDefault="003B0705" w:rsidP="003B0705">
      <w:pPr>
        <w:snapToGrid w:val="0"/>
        <w:spacing w:before="100" w:beforeAutospacing="1" w:after="100" w:afterAutospacing="1"/>
        <w:jc w:val="both"/>
      </w:pPr>
      <w:r w:rsidRPr="005E758A">
        <w:rPr>
          <w:sz w:val="28"/>
          <w:szCs w:val="28"/>
        </w:rPr>
        <w:t>關鍵詞：身分權、國籍、姓名、親屬關係</w:t>
      </w:r>
    </w:p>
    <w:p w14:paraId="5C5748F7" w14:textId="77777777" w:rsidR="00575A07" w:rsidRPr="005E758A" w:rsidRDefault="00575A07" w:rsidP="00575A07">
      <w:pPr>
        <w:pStyle w:val="1"/>
        <w:sectPr w:rsidR="00575A07" w:rsidRPr="005E758A" w:rsidSect="00135FC9">
          <w:footnotePr>
            <w:numRestart w:val="eachSect"/>
          </w:footnotePr>
          <w:endnotePr>
            <w:numFmt w:val="decimal"/>
            <w:numRestart w:val="eachSect"/>
          </w:endnotePr>
          <w:pgSz w:w="11906" w:h="16838"/>
          <w:pgMar w:top="1440" w:right="1797" w:bottom="1440" w:left="1797" w:header="851" w:footer="992" w:gutter="0"/>
          <w:cols w:space="425"/>
          <w:docGrid w:linePitch="360"/>
        </w:sectPr>
      </w:pPr>
    </w:p>
    <w:tbl>
      <w:tblPr>
        <w:tblpPr w:leftFromText="180" w:rightFromText="180" w:horzAnchor="margin" w:tblpXSpec="center" w:tblpY="765"/>
        <w:tblW w:w="82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8220"/>
      </w:tblGrid>
      <w:tr w:rsidR="003B0705" w:rsidRPr="005E758A" w14:paraId="69A9501A" w14:textId="77777777" w:rsidTr="00510C24">
        <w:trPr>
          <w:trHeight w:val="2400"/>
        </w:trPr>
        <w:tc>
          <w:tcPr>
            <w:tcW w:w="8220" w:type="dxa"/>
          </w:tcPr>
          <w:p w14:paraId="1B970C51" w14:textId="77777777" w:rsidR="003B0705" w:rsidRPr="005E758A" w:rsidRDefault="003B0705" w:rsidP="00510C24">
            <w:pPr>
              <w:pStyle w:val="a0"/>
              <w:numPr>
                <w:ilvl w:val="0"/>
                <w:numId w:val="126"/>
              </w:numPr>
              <w:snapToGrid w:val="0"/>
              <w:ind w:leftChars="0"/>
              <w:jc w:val="both"/>
              <w:rPr>
                <w:rFonts w:ascii="Times New Roman" w:eastAsia="標楷體" w:hAnsi="Times New Roman"/>
                <w:sz w:val="28"/>
              </w:rPr>
            </w:pPr>
            <w:r w:rsidRPr="005E758A">
              <w:rPr>
                <w:rFonts w:ascii="Times New Roman" w:eastAsia="標楷體" w:hAnsi="Times New Roman"/>
                <w:sz w:val="28"/>
              </w:rPr>
              <w:lastRenderedPageBreak/>
              <w:t>締約國應確保不違背兒童父母的意願而使兒童與父母分離。但主管機關依據所適用之法律及程序，經司法審查後，判定兒童與其父母分離係屬維護兒童最佳利益所必要者，不在此限。於兒童受父母虐待、疏忽或因父母分居而必須決定兒童居所之特定情況下，前開判定即屬必要。</w:t>
            </w:r>
          </w:p>
          <w:p w14:paraId="0CC03813" w14:textId="77777777" w:rsidR="003B0705" w:rsidRPr="005E758A" w:rsidRDefault="003B0705" w:rsidP="00510C24">
            <w:pPr>
              <w:pStyle w:val="a0"/>
              <w:numPr>
                <w:ilvl w:val="0"/>
                <w:numId w:val="126"/>
              </w:numPr>
              <w:snapToGrid w:val="0"/>
              <w:ind w:leftChars="0"/>
              <w:jc w:val="both"/>
              <w:rPr>
                <w:rFonts w:ascii="Times New Roman" w:eastAsia="標楷體" w:hAnsi="Times New Roman"/>
                <w:sz w:val="28"/>
              </w:rPr>
            </w:pPr>
            <w:r w:rsidRPr="005E758A">
              <w:rPr>
                <w:rFonts w:ascii="Times New Roman" w:eastAsia="標楷體" w:hAnsi="Times New Roman"/>
                <w:sz w:val="28"/>
              </w:rPr>
              <w:t>前項程序中，應給予所有利害關係人參與並陳述意見之機會。</w:t>
            </w:r>
          </w:p>
          <w:p w14:paraId="4533F0AB" w14:textId="77777777" w:rsidR="003B0705" w:rsidRPr="005E758A" w:rsidRDefault="003B0705" w:rsidP="00510C24">
            <w:pPr>
              <w:pStyle w:val="a0"/>
              <w:numPr>
                <w:ilvl w:val="0"/>
                <w:numId w:val="126"/>
              </w:numPr>
              <w:snapToGrid w:val="0"/>
              <w:ind w:leftChars="0"/>
              <w:jc w:val="both"/>
              <w:rPr>
                <w:rFonts w:ascii="Times New Roman" w:eastAsia="標楷體" w:hAnsi="Times New Roman"/>
                <w:sz w:val="28"/>
              </w:rPr>
            </w:pPr>
            <w:r w:rsidRPr="005E758A">
              <w:rPr>
                <w:rFonts w:ascii="Times New Roman" w:eastAsia="標楷體" w:hAnsi="Times New Roman"/>
                <w:sz w:val="28"/>
              </w:rPr>
              <w:t>締約國應尊重與父母一方或雙方分離之兒童與父母固定保持私人關係及直接聯繫的權利。但違反兒童最佳利益者，不在此限。</w:t>
            </w:r>
          </w:p>
          <w:p w14:paraId="74A499B3" w14:textId="77777777" w:rsidR="003B0705" w:rsidRPr="005E758A" w:rsidRDefault="003B0705" w:rsidP="00510C24">
            <w:pPr>
              <w:pStyle w:val="a0"/>
              <w:numPr>
                <w:ilvl w:val="0"/>
                <w:numId w:val="126"/>
              </w:numPr>
              <w:snapToGrid w:val="0"/>
              <w:ind w:leftChars="0"/>
              <w:jc w:val="both"/>
              <w:rPr>
                <w:rFonts w:ascii="Times New Roman" w:hAnsi="Times New Roman"/>
              </w:rPr>
            </w:pPr>
            <w:r w:rsidRPr="005E758A">
              <w:rPr>
                <w:rFonts w:ascii="Times New Roman" w:eastAsia="標楷體" w:hAnsi="Times New Roman"/>
                <w:sz w:val="28"/>
              </w:rPr>
              <w:t>當前開分離係因締約國對父母一方或雙方或對兒童所採取之行為，諸如拘留、監禁、驅逐、遣送或死亡（包括該人在該國拘禁中因任何原因而死亡），該締約國於受請求時，應將該等家庭成員下落的必要資訊告知父母、兒童，或視其情節，告知其他家庭成員；除非該等資訊之提供對兒童之福祉造成損害。締約國並應確保相關人員不因該請求而蒙受不利。</w:t>
            </w:r>
          </w:p>
        </w:tc>
      </w:tr>
    </w:tbl>
    <w:p w14:paraId="1F72DAD3" w14:textId="77777777" w:rsidR="00510C24" w:rsidRPr="00510C24" w:rsidRDefault="00510C24" w:rsidP="00510C24">
      <w:pPr>
        <w:pStyle w:val="1"/>
        <w:rPr>
          <w:sz w:val="28"/>
          <w:szCs w:val="28"/>
        </w:rPr>
      </w:pPr>
      <w:bookmarkStart w:id="30" w:name="_Toc431072725"/>
      <w:r w:rsidRPr="005E758A">
        <w:t>第</w:t>
      </w:r>
      <w:r w:rsidRPr="005E758A">
        <w:t>9</w:t>
      </w:r>
      <w:r w:rsidRPr="005E758A">
        <w:t>條</w:t>
      </w:r>
      <w:r>
        <w:rPr>
          <w:rFonts w:hint="eastAsia"/>
        </w:rPr>
        <w:t xml:space="preserve">　</w:t>
      </w:r>
      <w:r w:rsidRPr="00510C24">
        <w:rPr>
          <w:rFonts w:hint="eastAsia"/>
        </w:rPr>
        <w:t>不與父母分離之權利</w:t>
      </w:r>
      <w:bookmarkEnd w:id="30"/>
    </w:p>
    <w:p w14:paraId="1441A147" w14:textId="77777777" w:rsidR="00510C24" w:rsidRPr="00510C24" w:rsidRDefault="00510C24" w:rsidP="00510C24">
      <w:pPr>
        <w:snapToGrid w:val="0"/>
        <w:spacing w:before="100" w:beforeAutospacing="1" w:after="100" w:afterAutospacing="1"/>
        <w:jc w:val="both"/>
        <w:rPr>
          <w:sz w:val="28"/>
          <w:szCs w:val="28"/>
        </w:rPr>
      </w:pPr>
    </w:p>
    <w:p w14:paraId="34D4E55A" w14:textId="77777777" w:rsidR="003B0705" w:rsidRPr="005E758A" w:rsidRDefault="003B0705" w:rsidP="00F02A5C">
      <w:pPr>
        <w:pStyle w:val="2"/>
        <w:numPr>
          <w:ilvl w:val="0"/>
          <w:numId w:val="127"/>
        </w:numPr>
        <w:rPr>
          <w:szCs w:val="28"/>
        </w:rPr>
      </w:pPr>
      <w:r w:rsidRPr="005E758A">
        <w:rPr>
          <w:szCs w:val="28"/>
        </w:rPr>
        <w:t>規範宗旨</w:t>
      </w:r>
    </w:p>
    <w:p w14:paraId="666F8F40" w14:textId="77777777" w:rsidR="003B0705" w:rsidRPr="005E758A" w:rsidRDefault="003B0705" w:rsidP="003B0705">
      <w:pPr>
        <w:snapToGrid w:val="0"/>
        <w:spacing w:before="100" w:beforeAutospacing="1" w:after="100" w:afterAutospacing="1"/>
        <w:ind w:firstLineChars="200" w:firstLine="560"/>
        <w:jc w:val="both"/>
        <w:rPr>
          <w:sz w:val="28"/>
          <w:szCs w:val="28"/>
        </w:rPr>
      </w:pPr>
      <w:r w:rsidRPr="005E758A">
        <w:rPr>
          <w:sz w:val="28"/>
          <w:szCs w:val="28"/>
        </w:rPr>
        <w:t>公約締約國原則上應尊重並確保兒童不與父母分離，而本條規範了例外狀況之條件（第</w:t>
      </w:r>
      <w:r w:rsidRPr="005E758A">
        <w:rPr>
          <w:sz w:val="28"/>
          <w:szCs w:val="28"/>
        </w:rPr>
        <w:t>1</w:t>
      </w:r>
      <w:r w:rsidRPr="005E758A">
        <w:rPr>
          <w:sz w:val="28"/>
          <w:szCs w:val="28"/>
        </w:rPr>
        <w:t>項）和程序（第</w:t>
      </w:r>
      <w:r w:rsidRPr="005E758A">
        <w:rPr>
          <w:sz w:val="28"/>
          <w:szCs w:val="28"/>
        </w:rPr>
        <w:t>2</w:t>
      </w:r>
      <w:r w:rsidRPr="005E758A">
        <w:rPr>
          <w:sz w:val="28"/>
          <w:szCs w:val="28"/>
        </w:rPr>
        <w:t>項），並維持兒童及父母之聯繫（第</w:t>
      </w:r>
      <w:r w:rsidRPr="005E758A">
        <w:rPr>
          <w:sz w:val="28"/>
          <w:szCs w:val="28"/>
        </w:rPr>
        <w:t>3</w:t>
      </w:r>
      <w:r w:rsidRPr="005E758A">
        <w:rPr>
          <w:sz w:val="28"/>
          <w:szCs w:val="28"/>
        </w:rPr>
        <w:t>項及第</w:t>
      </w:r>
      <w:r w:rsidRPr="005E758A">
        <w:rPr>
          <w:sz w:val="28"/>
          <w:szCs w:val="28"/>
        </w:rPr>
        <w:t>4</w:t>
      </w:r>
      <w:r w:rsidRPr="005E758A">
        <w:rPr>
          <w:sz w:val="28"/>
          <w:szCs w:val="28"/>
        </w:rPr>
        <w:t>項），並與第</w:t>
      </w:r>
      <w:r w:rsidRPr="005E758A">
        <w:rPr>
          <w:sz w:val="28"/>
          <w:szCs w:val="28"/>
        </w:rPr>
        <w:t>10</w:t>
      </w:r>
      <w:r w:rsidRPr="005E758A">
        <w:rPr>
          <w:sz w:val="28"/>
          <w:szCs w:val="28"/>
        </w:rPr>
        <w:t>條密切相關，本條主要規範者為國內的兒童與父母分離事件，而第</w:t>
      </w:r>
      <w:r w:rsidRPr="005E758A">
        <w:rPr>
          <w:sz w:val="28"/>
          <w:szCs w:val="28"/>
        </w:rPr>
        <w:t>10</w:t>
      </w:r>
      <w:r w:rsidRPr="005E758A">
        <w:rPr>
          <w:sz w:val="28"/>
          <w:szCs w:val="28"/>
        </w:rPr>
        <w:t>條則是處理跨國的分離事件</w:t>
      </w:r>
      <w:r w:rsidRPr="005E758A">
        <w:rPr>
          <w:rStyle w:val="af3"/>
          <w:sz w:val="28"/>
        </w:rPr>
        <w:endnoteReference w:id="109"/>
      </w:r>
      <w:r w:rsidRPr="005E758A">
        <w:rPr>
          <w:sz w:val="28"/>
          <w:szCs w:val="28"/>
        </w:rPr>
        <w:t>，解讀時應</w:t>
      </w:r>
      <w:proofErr w:type="gramStart"/>
      <w:r w:rsidRPr="005E758A">
        <w:rPr>
          <w:sz w:val="28"/>
          <w:szCs w:val="28"/>
        </w:rPr>
        <w:t>釐</w:t>
      </w:r>
      <w:proofErr w:type="gramEnd"/>
      <w:r w:rsidRPr="005E758A">
        <w:rPr>
          <w:sz w:val="28"/>
          <w:szCs w:val="28"/>
        </w:rPr>
        <w:t>清二者的界線。</w:t>
      </w:r>
    </w:p>
    <w:p w14:paraId="60D7771E" w14:textId="77777777" w:rsidR="003B0705" w:rsidRPr="005E758A" w:rsidRDefault="003B0705" w:rsidP="003B0705">
      <w:pPr>
        <w:pStyle w:val="2"/>
        <w:rPr>
          <w:szCs w:val="28"/>
        </w:rPr>
      </w:pPr>
      <w:r w:rsidRPr="005E758A">
        <w:rPr>
          <w:szCs w:val="28"/>
        </w:rPr>
        <w:t>條文要義</w:t>
      </w:r>
    </w:p>
    <w:p w14:paraId="4501B72E" w14:textId="77777777" w:rsidR="003B0705" w:rsidRPr="005E758A" w:rsidRDefault="003B0705" w:rsidP="00F02A5C">
      <w:pPr>
        <w:pStyle w:val="3"/>
        <w:numPr>
          <w:ilvl w:val="0"/>
          <w:numId w:val="124"/>
        </w:numPr>
        <w:rPr>
          <w:b/>
          <w:szCs w:val="28"/>
        </w:rPr>
      </w:pPr>
      <w:r w:rsidRPr="005E758A">
        <w:rPr>
          <w:szCs w:val="28"/>
        </w:rPr>
        <w:t>第</w:t>
      </w:r>
      <w:r w:rsidRPr="005E758A">
        <w:rPr>
          <w:szCs w:val="28"/>
        </w:rPr>
        <w:t>9</w:t>
      </w:r>
      <w:r w:rsidRPr="005E758A">
        <w:rPr>
          <w:szCs w:val="28"/>
        </w:rPr>
        <w:t>條第</w:t>
      </w:r>
      <w:r w:rsidRPr="005E758A">
        <w:rPr>
          <w:szCs w:val="28"/>
        </w:rPr>
        <w:t>1</w:t>
      </w:r>
      <w:r w:rsidRPr="005E758A">
        <w:rPr>
          <w:szCs w:val="28"/>
        </w:rPr>
        <w:t>項及第</w:t>
      </w:r>
      <w:r w:rsidRPr="005E758A">
        <w:rPr>
          <w:szCs w:val="28"/>
        </w:rPr>
        <w:t>2</w:t>
      </w:r>
      <w:r w:rsidRPr="005E758A">
        <w:rPr>
          <w:szCs w:val="28"/>
        </w:rPr>
        <w:t>項</w:t>
      </w:r>
    </w:p>
    <w:p w14:paraId="6DDD2E29" w14:textId="77777777" w:rsidR="003B0705" w:rsidRPr="005E758A" w:rsidRDefault="003B0705" w:rsidP="003B0705">
      <w:pPr>
        <w:snapToGrid w:val="0"/>
        <w:spacing w:before="100" w:beforeAutospacing="1" w:after="100" w:afterAutospacing="1"/>
        <w:ind w:firstLineChars="200" w:firstLine="560"/>
        <w:jc w:val="both"/>
        <w:rPr>
          <w:sz w:val="28"/>
          <w:szCs w:val="28"/>
        </w:rPr>
      </w:pPr>
      <w:r w:rsidRPr="005E758A">
        <w:rPr>
          <w:sz w:val="28"/>
          <w:szCs w:val="28"/>
        </w:rPr>
        <w:t>本條第</w:t>
      </w:r>
      <w:r w:rsidRPr="005E758A">
        <w:rPr>
          <w:sz w:val="28"/>
          <w:szCs w:val="28"/>
        </w:rPr>
        <w:t>1</w:t>
      </w:r>
      <w:r w:rsidRPr="005E758A">
        <w:rPr>
          <w:sz w:val="28"/>
          <w:szCs w:val="28"/>
        </w:rPr>
        <w:t>項要求締約國「確保」不違背兒童父母的意願而使兒童與父母分離，據此，國家有義務採取積極的措施</w:t>
      </w:r>
      <w:bookmarkStart w:id="31" w:name="_Ref430667971"/>
      <w:r w:rsidRPr="005E758A">
        <w:rPr>
          <w:rStyle w:val="af3"/>
          <w:sz w:val="28"/>
          <w:szCs w:val="28"/>
        </w:rPr>
        <w:endnoteReference w:id="110"/>
      </w:r>
      <w:bookmarkEnd w:id="31"/>
      <w:r w:rsidRPr="005E758A">
        <w:rPr>
          <w:sz w:val="28"/>
          <w:szCs w:val="28"/>
        </w:rPr>
        <w:t>，包括提供適當的資源給父母以避免其因嚴重經濟困難而被迫拋棄兒童</w:t>
      </w:r>
      <w:r w:rsidRPr="005E758A">
        <w:rPr>
          <w:rStyle w:val="af3"/>
          <w:sz w:val="28"/>
          <w:szCs w:val="28"/>
        </w:rPr>
        <w:endnoteReference w:id="111"/>
      </w:r>
      <w:r w:rsidRPr="005E758A">
        <w:rPr>
          <w:sz w:val="28"/>
          <w:szCs w:val="28"/>
        </w:rPr>
        <w:t>，以及研究離婚等干擾家庭的現象對兒童的負面影響，並提升大眾對此類問題之意識，以確保受影響兒童的保障等</w:t>
      </w:r>
      <w:r w:rsidRPr="005E758A">
        <w:rPr>
          <w:rStyle w:val="af3"/>
          <w:sz w:val="28"/>
          <w:szCs w:val="28"/>
        </w:rPr>
        <w:endnoteReference w:id="112"/>
      </w:r>
      <w:r w:rsidRPr="005E758A">
        <w:rPr>
          <w:sz w:val="28"/>
          <w:szCs w:val="28"/>
        </w:rPr>
        <w:t>。然而，當主管機關認為兒童與父母分離符合兒童最佳利益時，則屬前述義務之例外狀況。此處之「主管機關」指的是授權做出相關決定的單位，而該機關的人員應受適當訓練以培養做出正確判斷之能力</w:t>
      </w:r>
      <w:bookmarkStart w:id="32" w:name="_Ref430651117"/>
      <w:r w:rsidRPr="005E758A">
        <w:rPr>
          <w:rStyle w:val="af3"/>
          <w:sz w:val="28"/>
          <w:szCs w:val="28"/>
        </w:rPr>
        <w:endnoteReference w:id="113"/>
      </w:r>
      <w:bookmarkEnd w:id="32"/>
      <w:r w:rsidRPr="005E758A">
        <w:rPr>
          <w:sz w:val="28"/>
          <w:szCs w:val="28"/>
        </w:rPr>
        <w:t>，並應避免任何形式之歧視</w:t>
      </w:r>
      <w:r w:rsidRPr="005E758A">
        <w:rPr>
          <w:rStyle w:val="af3"/>
          <w:sz w:val="28"/>
          <w:szCs w:val="28"/>
        </w:rPr>
        <w:endnoteReference w:id="114"/>
      </w:r>
      <w:r w:rsidRPr="005E758A">
        <w:rPr>
          <w:sz w:val="28"/>
          <w:szCs w:val="28"/>
        </w:rPr>
        <w:t>。</w:t>
      </w:r>
      <w:proofErr w:type="gramStart"/>
      <w:r w:rsidRPr="005E758A">
        <w:rPr>
          <w:sz w:val="28"/>
          <w:szCs w:val="28"/>
        </w:rPr>
        <w:t>此外，</w:t>
      </w:r>
      <w:proofErr w:type="gramEnd"/>
      <w:r w:rsidRPr="005E758A">
        <w:rPr>
          <w:sz w:val="28"/>
          <w:szCs w:val="28"/>
        </w:rPr>
        <w:t>雖然本項條文並未要求該主管機關為司法機關，但主管機關之決定須經司法</w:t>
      </w:r>
      <w:r w:rsidRPr="005E758A">
        <w:rPr>
          <w:sz w:val="28"/>
          <w:szCs w:val="28"/>
        </w:rPr>
        <w:lastRenderedPageBreak/>
        <w:t>審查，兒童權利委員會亦曾建議締約國設置家事法院，並確保法官等相關人員具有足夠的專業做出公正的審查結果</w:t>
      </w:r>
      <w:r w:rsidRPr="005E758A">
        <w:rPr>
          <w:rStyle w:val="af3"/>
          <w:sz w:val="28"/>
          <w:szCs w:val="28"/>
        </w:rPr>
        <w:endnoteReference w:id="115"/>
      </w:r>
      <w:r w:rsidRPr="005E758A">
        <w:rPr>
          <w:sz w:val="28"/>
          <w:szCs w:val="28"/>
        </w:rPr>
        <w:t>。</w:t>
      </w:r>
    </w:p>
    <w:p w14:paraId="5940BB8D" w14:textId="77777777" w:rsidR="003B0705" w:rsidRPr="005E758A" w:rsidRDefault="003B0705" w:rsidP="003B0705">
      <w:pPr>
        <w:snapToGrid w:val="0"/>
        <w:spacing w:before="100" w:beforeAutospacing="1" w:after="100" w:afterAutospacing="1"/>
        <w:ind w:firstLineChars="200" w:firstLine="560"/>
        <w:jc w:val="both"/>
        <w:rPr>
          <w:sz w:val="28"/>
          <w:szCs w:val="28"/>
        </w:rPr>
      </w:pPr>
      <w:r w:rsidRPr="005E758A">
        <w:rPr>
          <w:sz w:val="28"/>
          <w:szCs w:val="28"/>
        </w:rPr>
        <w:t>本項同時舉出兩種「必須」使兒童與父母分離之例子：父母虐待或疏忽；以及父母分居的情況。除上述兩類「必須」分離之例子</w:t>
      </w:r>
      <w:proofErr w:type="gramStart"/>
      <w:r w:rsidRPr="005E758A">
        <w:rPr>
          <w:sz w:val="28"/>
          <w:szCs w:val="28"/>
        </w:rPr>
        <w:t>以外，</w:t>
      </w:r>
      <w:proofErr w:type="gramEnd"/>
      <w:r w:rsidRPr="005E758A">
        <w:rPr>
          <w:sz w:val="28"/>
          <w:szCs w:val="28"/>
        </w:rPr>
        <w:t>亦有可能因其他原因導致兒童與父母分離的狀況，例如：公約第</w:t>
      </w:r>
      <w:r w:rsidRPr="005E758A">
        <w:rPr>
          <w:sz w:val="28"/>
          <w:szCs w:val="28"/>
        </w:rPr>
        <w:t>20</w:t>
      </w:r>
      <w:r w:rsidRPr="005E758A">
        <w:rPr>
          <w:sz w:val="28"/>
          <w:szCs w:val="28"/>
        </w:rPr>
        <w:t>條規範之替代性照顧、父母服刑、兒童服刑、父母至國外工作、武裝衝突等，兒童權利委員會在面對這些狀況時，經常建議締約國盡量減少兒童與父母分離的情形，並採取措施協助家庭團聚</w:t>
      </w:r>
      <w:r w:rsidRPr="005E758A">
        <w:rPr>
          <w:rStyle w:val="af3"/>
          <w:sz w:val="28"/>
          <w:szCs w:val="28"/>
        </w:rPr>
        <w:endnoteReference w:id="116"/>
      </w:r>
      <w:r w:rsidRPr="005E758A">
        <w:rPr>
          <w:sz w:val="28"/>
          <w:szCs w:val="28"/>
        </w:rPr>
        <w:t>。</w:t>
      </w:r>
    </w:p>
    <w:p w14:paraId="2367F65A" w14:textId="77777777" w:rsidR="003B0705" w:rsidRPr="005E758A" w:rsidRDefault="003B0705" w:rsidP="003B0705">
      <w:pPr>
        <w:snapToGrid w:val="0"/>
        <w:spacing w:before="100" w:beforeAutospacing="1" w:after="100" w:afterAutospacing="1"/>
        <w:ind w:firstLineChars="200" w:firstLine="560"/>
        <w:jc w:val="both"/>
        <w:rPr>
          <w:sz w:val="28"/>
          <w:szCs w:val="28"/>
        </w:rPr>
      </w:pPr>
      <w:r w:rsidRPr="005E758A">
        <w:rPr>
          <w:sz w:val="28"/>
          <w:szCs w:val="28"/>
        </w:rPr>
        <w:t>本條第</w:t>
      </w:r>
      <w:r w:rsidRPr="005E758A">
        <w:rPr>
          <w:sz w:val="28"/>
          <w:szCs w:val="28"/>
        </w:rPr>
        <w:t>1</w:t>
      </w:r>
      <w:r w:rsidRPr="005E758A">
        <w:rPr>
          <w:sz w:val="28"/>
          <w:szCs w:val="28"/>
        </w:rPr>
        <w:t>項及第</w:t>
      </w:r>
      <w:r w:rsidRPr="005E758A">
        <w:rPr>
          <w:sz w:val="28"/>
          <w:szCs w:val="28"/>
        </w:rPr>
        <w:t>2</w:t>
      </w:r>
      <w:r w:rsidRPr="005E758A">
        <w:rPr>
          <w:sz w:val="28"/>
          <w:szCs w:val="28"/>
        </w:rPr>
        <w:t>項另有與程序相關之規定，第</w:t>
      </w:r>
      <w:r w:rsidRPr="005E758A">
        <w:rPr>
          <w:sz w:val="28"/>
          <w:szCs w:val="28"/>
        </w:rPr>
        <w:t>1</w:t>
      </w:r>
      <w:r w:rsidRPr="005E758A">
        <w:rPr>
          <w:sz w:val="28"/>
          <w:szCs w:val="28"/>
        </w:rPr>
        <w:t>項要求主管機關遵循</w:t>
      </w:r>
      <w:r w:rsidRPr="005E758A">
        <w:rPr>
          <w:sz w:val="28"/>
        </w:rPr>
        <w:t>適用之法律及程序，第</w:t>
      </w:r>
      <w:r w:rsidRPr="005E758A">
        <w:rPr>
          <w:sz w:val="28"/>
        </w:rPr>
        <w:t>2</w:t>
      </w:r>
      <w:r w:rsidRPr="005E758A">
        <w:rPr>
          <w:sz w:val="28"/>
        </w:rPr>
        <w:t>項則要求提供所有關係人發表意見的機會，而「所有關係人」可能包括兒童的雙親、延伸家庭成員、瞭解該名兒童狀況的專業人士等</w:t>
      </w:r>
      <w:r w:rsidRPr="005E758A">
        <w:rPr>
          <w:rStyle w:val="af3"/>
          <w:sz w:val="28"/>
          <w:szCs w:val="28"/>
        </w:rPr>
        <w:endnoteReference w:id="117"/>
      </w:r>
      <w:r w:rsidRPr="005E758A">
        <w:rPr>
          <w:sz w:val="28"/>
        </w:rPr>
        <w:t>，程序上當然也應該提供兒童表達意見的機會，並參考公約第</w:t>
      </w:r>
      <w:r w:rsidRPr="005E758A">
        <w:rPr>
          <w:sz w:val="28"/>
        </w:rPr>
        <w:t>12</w:t>
      </w:r>
      <w:r w:rsidRPr="005E758A">
        <w:rPr>
          <w:sz w:val="28"/>
        </w:rPr>
        <w:t>條的規定執行。</w:t>
      </w:r>
    </w:p>
    <w:p w14:paraId="6662A446" w14:textId="77777777" w:rsidR="003B0705" w:rsidRPr="005E758A" w:rsidRDefault="003B0705" w:rsidP="00F02A5C">
      <w:pPr>
        <w:pStyle w:val="3"/>
        <w:numPr>
          <w:ilvl w:val="0"/>
          <w:numId w:val="124"/>
        </w:numPr>
        <w:rPr>
          <w:szCs w:val="28"/>
        </w:rPr>
      </w:pPr>
      <w:r w:rsidRPr="005E758A">
        <w:rPr>
          <w:szCs w:val="28"/>
        </w:rPr>
        <w:t>第</w:t>
      </w:r>
      <w:r w:rsidRPr="005E758A">
        <w:rPr>
          <w:szCs w:val="28"/>
        </w:rPr>
        <w:t>9</w:t>
      </w:r>
      <w:r w:rsidRPr="005E758A">
        <w:rPr>
          <w:szCs w:val="28"/>
        </w:rPr>
        <w:t>條第</w:t>
      </w:r>
      <w:r w:rsidRPr="005E758A">
        <w:rPr>
          <w:szCs w:val="28"/>
        </w:rPr>
        <w:t>3</w:t>
      </w:r>
      <w:r w:rsidRPr="005E758A">
        <w:rPr>
          <w:szCs w:val="28"/>
        </w:rPr>
        <w:t>項及第</w:t>
      </w:r>
      <w:r w:rsidRPr="005E758A">
        <w:rPr>
          <w:szCs w:val="28"/>
        </w:rPr>
        <w:t>4</w:t>
      </w:r>
      <w:r w:rsidRPr="005E758A">
        <w:rPr>
          <w:szCs w:val="28"/>
        </w:rPr>
        <w:t>項</w:t>
      </w:r>
    </w:p>
    <w:p w14:paraId="7144F981" w14:textId="77777777" w:rsidR="003B0705" w:rsidRPr="005E758A" w:rsidRDefault="003B0705" w:rsidP="003B0705">
      <w:pPr>
        <w:snapToGrid w:val="0"/>
        <w:spacing w:before="100" w:beforeAutospacing="1" w:after="100" w:afterAutospacing="1"/>
        <w:ind w:firstLineChars="200" w:firstLine="560"/>
        <w:jc w:val="both"/>
        <w:rPr>
          <w:sz w:val="28"/>
        </w:rPr>
      </w:pPr>
      <w:r w:rsidRPr="005E758A">
        <w:rPr>
          <w:sz w:val="28"/>
          <w:szCs w:val="28"/>
        </w:rPr>
        <w:t>本條第</w:t>
      </w:r>
      <w:r w:rsidRPr="005E758A">
        <w:rPr>
          <w:sz w:val="28"/>
          <w:szCs w:val="28"/>
        </w:rPr>
        <w:t>3</w:t>
      </w:r>
      <w:r w:rsidRPr="005E758A">
        <w:rPr>
          <w:sz w:val="28"/>
          <w:szCs w:val="28"/>
        </w:rPr>
        <w:t>項及第</w:t>
      </w:r>
      <w:r w:rsidRPr="005E758A">
        <w:rPr>
          <w:sz w:val="28"/>
          <w:szCs w:val="28"/>
        </w:rPr>
        <w:t>4</w:t>
      </w:r>
      <w:r w:rsidRPr="005E758A">
        <w:rPr>
          <w:sz w:val="28"/>
          <w:szCs w:val="28"/>
        </w:rPr>
        <w:t>項規範的是兒童</w:t>
      </w:r>
      <w:r w:rsidRPr="005E758A">
        <w:rPr>
          <w:sz w:val="28"/>
        </w:rPr>
        <w:t>與父母固定保持私人關係及直接聯繫的權利，除非此種關係的延續或連續不符合兒童之最佳利益。兒童可能因為雙親關係</w:t>
      </w:r>
      <w:proofErr w:type="gramStart"/>
      <w:r w:rsidRPr="005E758A">
        <w:rPr>
          <w:sz w:val="28"/>
        </w:rPr>
        <w:t>交惡或距離</w:t>
      </w:r>
      <w:proofErr w:type="gramEnd"/>
      <w:r w:rsidRPr="005E758A">
        <w:rPr>
          <w:sz w:val="28"/>
        </w:rPr>
        <w:t>遙遠等原因而無法實現這項權利，兒童權利委員會曾經建議締約國應採取立法措施保障</w:t>
      </w:r>
      <w:r w:rsidRPr="005E758A">
        <w:rPr>
          <w:rStyle w:val="af3"/>
          <w:sz w:val="28"/>
          <w:szCs w:val="28"/>
        </w:rPr>
        <w:endnoteReference w:id="118"/>
      </w:r>
      <w:r w:rsidRPr="005E758A">
        <w:rPr>
          <w:sz w:val="28"/>
        </w:rPr>
        <w:t>。又若涉及兒童的父母一方或雙方於獄中服刑的情況，在決定兒童與其接觸的頻率以及時間長短時，需考慮兒童最佳利益、服刑者所犯下的罪行之嚴重程度等因素</w:t>
      </w:r>
      <w:r w:rsidRPr="005E758A">
        <w:rPr>
          <w:rStyle w:val="af3"/>
          <w:sz w:val="28"/>
          <w:szCs w:val="28"/>
        </w:rPr>
        <w:endnoteReference w:id="119"/>
      </w:r>
      <w:r w:rsidRPr="005E758A">
        <w:rPr>
          <w:sz w:val="28"/>
        </w:rPr>
        <w:t>。</w:t>
      </w:r>
    </w:p>
    <w:p w14:paraId="7E24AF2A" w14:textId="77777777" w:rsidR="003B0705" w:rsidRPr="005E758A" w:rsidRDefault="003B0705" w:rsidP="003B0705">
      <w:pPr>
        <w:snapToGrid w:val="0"/>
        <w:spacing w:before="100" w:beforeAutospacing="1" w:after="100" w:afterAutospacing="1"/>
        <w:ind w:firstLineChars="200" w:firstLine="560"/>
        <w:jc w:val="both"/>
        <w:rPr>
          <w:sz w:val="28"/>
        </w:rPr>
      </w:pPr>
      <w:r w:rsidRPr="005E758A">
        <w:rPr>
          <w:sz w:val="28"/>
        </w:rPr>
        <w:t>本條第</w:t>
      </w:r>
      <w:r w:rsidRPr="005E758A">
        <w:rPr>
          <w:sz w:val="28"/>
        </w:rPr>
        <w:t>4</w:t>
      </w:r>
      <w:r w:rsidRPr="005E758A">
        <w:rPr>
          <w:sz w:val="28"/>
        </w:rPr>
        <w:t>項要求締約國在因其對父母或兒童所採取之行為（拘留、監禁、驅逐、遣送或死亡等）而分離時，締約國若受請求應將該等家庭成員下落的必要資訊告知父母、兒童，或視其情節，告知其他家庭成員。「必要資訊」應至少包括其所在地的位置</w:t>
      </w:r>
      <w:r w:rsidRPr="005E758A">
        <w:rPr>
          <w:rStyle w:val="af3"/>
          <w:sz w:val="28"/>
          <w:szCs w:val="28"/>
        </w:rPr>
        <w:endnoteReference w:id="120"/>
      </w:r>
      <w:r w:rsidRPr="005E758A">
        <w:rPr>
          <w:sz w:val="28"/>
        </w:rPr>
        <w:t>、被拘留、驅逐、遣送或死亡之原因及其他細節（例如其他家庭成員何時可以與其會面、有何法律上的權利等）</w:t>
      </w:r>
      <w:r w:rsidRPr="005E758A">
        <w:rPr>
          <w:rStyle w:val="af3"/>
          <w:sz w:val="28"/>
          <w:szCs w:val="28"/>
        </w:rPr>
        <w:endnoteReference w:id="121"/>
      </w:r>
      <w:r w:rsidRPr="005E758A">
        <w:rPr>
          <w:sz w:val="28"/>
        </w:rPr>
        <w:t>。而</w:t>
      </w:r>
      <w:proofErr w:type="gramStart"/>
      <w:r w:rsidRPr="005E758A">
        <w:rPr>
          <w:sz w:val="28"/>
        </w:rPr>
        <w:t>第</w:t>
      </w:r>
      <w:r w:rsidRPr="005E758A">
        <w:rPr>
          <w:sz w:val="28"/>
        </w:rPr>
        <w:t>4</w:t>
      </w:r>
      <w:r w:rsidRPr="005E758A">
        <w:rPr>
          <w:sz w:val="28"/>
        </w:rPr>
        <w:t>項末</w:t>
      </w:r>
      <w:proofErr w:type="gramEnd"/>
      <w:r w:rsidRPr="005E758A">
        <w:rPr>
          <w:sz w:val="28"/>
        </w:rPr>
        <w:t>段規定「締約國並應確保相關人員不因該請求而蒙受不利」，此處「相關人員」應包括請求資訊者以及資訊指的人</w:t>
      </w:r>
      <w:r w:rsidRPr="005E758A">
        <w:rPr>
          <w:rStyle w:val="af3"/>
          <w:sz w:val="28"/>
          <w:szCs w:val="28"/>
        </w:rPr>
        <w:endnoteReference w:id="122"/>
      </w:r>
      <w:r w:rsidRPr="005E758A">
        <w:rPr>
          <w:sz w:val="28"/>
        </w:rPr>
        <w:t>。</w:t>
      </w:r>
    </w:p>
    <w:p w14:paraId="6060CE46" w14:textId="77777777" w:rsidR="003B0705" w:rsidRPr="005E758A" w:rsidRDefault="003B0705" w:rsidP="003B0705">
      <w:pPr>
        <w:pStyle w:val="2"/>
        <w:rPr>
          <w:szCs w:val="28"/>
        </w:rPr>
      </w:pPr>
      <w:r w:rsidRPr="005E758A">
        <w:rPr>
          <w:szCs w:val="28"/>
        </w:rPr>
        <w:t>案例介紹</w:t>
      </w:r>
    </w:p>
    <w:p w14:paraId="7CD6428C" w14:textId="77777777" w:rsidR="003B0705" w:rsidRPr="005E758A" w:rsidRDefault="003B0705" w:rsidP="00F02A5C">
      <w:pPr>
        <w:pStyle w:val="3"/>
        <w:numPr>
          <w:ilvl w:val="0"/>
          <w:numId w:val="125"/>
        </w:numPr>
        <w:rPr>
          <w:b/>
          <w:szCs w:val="28"/>
        </w:rPr>
      </w:pPr>
      <w:r w:rsidRPr="005E758A">
        <w:rPr>
          <w:szCs w:val="28"/>
        </w:rPr>
        <w:t>2012</w:t>
      </w:r>
      <w:r w:rsidRPr="005E758A">
        <w:rPr>
          <w:szCs w:val="28"/>
        </w:rPr>
        <w:t>年納米比亞最高法院</w:t>
      </w:r>
      <w:r w:rsidR="000C010C" w:rsidRPr="005E758A">
        <w:rPr>
          <w:szCs w:val="28"/>
        </w:rPr>
        <w:t>探視權</w:t>
      </w:r>
      <w:r w:rsidRPr="005E758A">
        <w:rPr>
          <w:szCs w:val="28"/>
        </w:rPr>
        <w:t>案：</w:t>
      </w:r>
      <w:proofErr w:type="spellStart"/>
      <w:r w:rsidRPr="005E758A">
        <w:rPr>
          <w:szCs w:val="28"/>
        </w:rPr>
        <w:t>Thudinyane</w:t>
      </w:r>
      <w:proofErr w:type="spellEnd"/>
      <w:r w:rsidRPr="005E758A">
        <w:rPr>
          <w:szCs w:val="28"/>
        </w:rPr>
        <w:t xml:space="preserve"> v. Edward</w:t>
      </w:r>
      <w:r w:rsidRPr="005E758A">
        <w:rPr>
          <w:rStyle w:val="af3"/>
          <w:szCs w:val="28"/>
        </w:rPr>
        <w:endnoteReference w:id="123"/>
      </w:r>
    </w:p>
    <w:p w14:paraId="42C3DD03" w14:textId="77777777" w:rsidR="003B0705" w:rsidRPr="005E758A" w:rsidRDefault="003B0705" w:rsidP="003B0705">
      <w:pPr>
        <w:snapToGrid w:val="0"/>
        <w:spacing w:before="100" w:beforeAutospacing="1" w:after="100" w:afterAutospacing="1"/>
        <w:ind w:firstLineChars="200" w:firstLine="560"/>
        <w:jc w:val="both"/>
        <w:rPr>
          <w:sz w:val="28"/>
        </w:rPr>
      </w:pPr>
      <w:r w:rsidRPr="005E758A">
        <w:rPr>
          <w:sz w:val="28"/>
          <w:szCs w:val="28"/>
        </w:rPr>
        <w:t>一位父親向高等法院聲請要求探望其</w:t>
      </w:r>
      <w:r w:rsidRPr="005E758A">
        <w:rPr>
          <w:sz w:val="28"/>
        </w:rPr>
        <w:t>未結婚狀態所生之女兒，該</w:t>
      </w:r>
      <w:r w:rsidRPr="005E758A">
        <w:rPr>
          <w:sz w:val="28"/>
        </w:rPr>
        <w:lastRenderedPageBreak/>
        <w:t>名女童的母親表示反對，並主張該名父親過去</w:t>
      </w:r>
      <w:proofErr w:type="gramStart"/>
      <w:r w:rsidRPr="005E758A">
        <w:rPr>
          <w:sz w:val="28"/>
        </w:rPr>
        <w:t>4</w:t>
      </w:r>
      <w:r w:rsidRPr="005E758A">
        <w:rPr>
          <w:sz w:val="28"/>
        </w:rPr>
        <w:t>年均未與</w:t>
      </w:r>
      <w:proofErr w:type="gramEnd"/>
      <w:r w:rsidRPr="005E758A">
        <w:rPr>
          <w:sz w:val="28"/>
        </w:rPr>
        <w:t>女童聯繫，對女童而言，這名父親是陌生人，且女童亦已習慣與繼父的生活。高等法院判決父親有探視權，母親隨後上訴，主張高等法院未考量如何維護該名女童之最佳利益。</w:t>
      </w:r>
    </w:p>
    <w:p w14:paraId="6F028225" w14:textId="77777777" w:rsidR="003B0705" w:rsidRPr="005E758A" w:rsidRDefault="003B0705" w:rsidP="003B0705">
      <w:pPr>
        <w:snapToGrid w:val="0"/>
        <w:spacing w:before="100" w:beforeAutospacing="1" w:after="100" w:afterAutospacing="1"/>
        <w:ind w:firstLineChars="200" w:firstLine="560"/>
        <w:jc w:val="both"/>
        <w:rPr>
          <w:sz w:val="28"/>
          <w:szCs w:val="28"/>
        </w:rPr>
      </w:pPr>
      <w:r w:rsidRPr="005E758A">
        <w:rPr>
          <w:sz w:val="28"/>
          <w:szCs w:val="28"/>
        </w:rPr>
        <w:t>最高法院認為兒童知其父母並受父母照顧的權利並非絕對的權利，並強調所有直接或間接與兒童相關的調查或</w:t>
      </w:r>
      <w:proofErr w:type="gramStart"/>
      <w:r w:rsidRPr="005E758A">
        <w:rPr>
          <w:sz w:val="28"/>
          <w:szCs w:val="28"/>
        </w:rPr>
        <w:t>決定均應遵守</w:t>
      </w:r>
      <w:proofErr w:type="gramEnd"/>
      <w:r w:rsidRPr="005E758A">
        <w:rPr>
          <w:sz w:val="28"/>
          <w:szCs w:val="28"/>
        </w:rPr>
        <w:t>兒童最佳利益原則，包括考量兒童的情緒及心理健康。本案中該名女童生活中已有扮演「父親」角色的繼父，若在多年未聯繫的情況下允許女童的生父重新進入她的生活，對女童之情緒及心理健康的衝擊為何，需透過專家證詞始能瞭解，</w:t>
      </w:r>
      <w:proofErr w:type="gramStart"/>
      <w:r w:rsidRPr="005E758A">
        <w:rPr>
          <w:sz w:val="28"/>
          <w:szCs w:val="28"/>
        </w:rPr>
        <w:t>然前審</w:t>
      </w:r>
      <w:proofErr w:type="gramEnd"/>
      <w:r w:rsidRPr="005E758A">
        <w:rPr>
          <w:sz w:val="28"/>
          <w:szCs w:val="28"/>
        </w:rPr>
        <w:t>法院並未聽取此類證據，因此無法適當的判斷賦予生父探視權是否符合女童的最佳利益。最高法院強調在未徹底調查所有證據以衡量兒童最佳利益的狀況下，不應允許生父的探視，並將案件發回</w:t>
      </w:r>
      <w:proofErr w:type="gramStart"/>
      <w:r w:rsidRPr="005E758A">
        <w:rPr>
          <w:sz w:val="28"/>
          <w:szCs w:val="28"/>
        </w:rPr>
        <w:t>高院重審</w:t>
      </w:r>
      <w:proofErr w:type="gramEnd"/>
      <w:r w:rsidRPr="005E758A">
        <w:rPr>
          <w:sz w:val="28"/>
          <w:szCs w:val="28"/>
        </w:rPr>
        <w:t>，要求法院判決時應遵循公約第</w:t>
      </w:r>
      <w:r w:rsidRPr="005E758A">
        <w:rPr>
          <w:sz w:val="28"/>
          <w:szCs w:val="28"/>
        </w:rPr>
        <w:t>9</w:t>
      </w:r>
      <w:r w:rsidRPr="005E758A">
        <w:rPr>
          <w:sz w:val="28"/>
          <w:szCs w:val="28"/>
        </w:rPr>
        <w:t>條第</w:t>
      </w:r>
      <w:r w:rsidRPr="005E758A">
        <w:rPr>
          <w:sz w:val="28"/>
          <w:szCs w:val="28"/>
        </w:rPr>
        <w:t>3</w:t>
      </w:r>
      <w:r w:rsidRPr="005E758A">
        <w:rPr>
          <w:sz w:val="28"/>
          <w:szCs w:val="28"/>
        </w:rPr>
        <w:t>項之規定，且法院雖應尊重生父</w:t>
      </w:r>
      <w:r w:rsidRPr="005E758A">
        <w:rPr>
          <w:sz w:val="28"/>
        </w:rPr>
        <w:t>與該名女童固定保持私人關係及直接聯繫的權利，但在兒童最佳原則的考量下，仍得予以限制</w:t>
      </w:r>
      <w:r w:rsidRPr="005E758A">
        <w:rPr>
          <w:sz w:val="28"/>
          <w:szCs w:val="28"/>
        </w:rPr>
        <w:t>。</w:t>
      </w:r>
    </w:p>
    <w:p w14:paraId="4E47BF46" w14:textId="77777777" w:rsidR="003B0705" w:rsidRPr="005E758A" w:rsidRDefault="003B0705" w:rsidP="00F02A5C">
      <w:pPr>
        <w:pStyle w:val="3"/>
        <w:numPr>
          <w:ilvl w:val="0"/>
          <w:numId w:val="125"/>
        </w:numPr>
        <w:rPr>
          <w:b/>
          <w:szCs w:val="28"/>
        </w:rPr>
      </w:pPr>
      <w:r w:rsidRPr="005E758A">
        <w:rPr>
          <w:szCs w:val="28"/>
        </w:rPr>
        <w:t>2006</w:t>
      </w:r>
      <w:r w:rsidRPr="005E758A">
        <w:rPr>
          <w:szCs w:val="28"/>
        </w:rPr>
        <w:t>年紐西蘭高等法院監護權案：</w:t>
      </w:r>
      <w:r w:rsidRPr="005E758A">
        <w:rPr>
          <w:szCs w:val="28"/>
        </w:rPr>
        <w:t>C v. S</w:t>
      </w:r>
      <w:r w:rsidRPr="005E758A">
        <w:rPr>
          <w:rStyle w:val="af3"/>
          <w:szCs w:val="28"/>
        </w:rPr>
        <w:endnoteReference w:id="124"/>
      </w:r>
    </w:p>
    <w:p w14:paraId="3181C7C2" w14:textId="77777777" w:rsidR="003B0705" w:rsidRPr="005E758A" w:rsidRDefault="003B0705" w:rsidP="003B0705">
      <w:pPr>
        <w:snapToGrid w:val="0"/>
        <w:spacing w:before="100" w:beforeAutospacing="1" w:after="100" w:afterAutospacing="1"/>
        <w:ind w:firstLineChars="200" w:firstLine="560"/>
        <w:jc w:val="both"/>
        <w:rPr>
          <w:sz w:val="28"/>
          <w:szCs w:val="28"/>
        </w:rPr>
      </w:pPr>
      <w:r w:rsidRPr="005E758A">
        <w:rPr>
          <w:sz w:val="28"/>
          <w:szCs w:val="28"/>
        </w:rPr>
        <w:t>C</w:t>
      </w:r>
      <w:r w:rsidRPr="005E758A">
        <w:rPr>
          <w:sz w:val="28"/>
          <w:szCs w:val="28"/>
        </w:rPr>
        <w:t>為一名</w:t>
      </w:r>
      <w:r w:rsidRPr="005E758A">
        <w:rPr>
          <w:sz w:val="28"/>
          <w:szCs w:val="28"/>
        </w:rPr>
        <w:t>5</w:t>
      </w:r>
      <w:r w:rsidRPr="005E758A">
        <w:rPr>
          <w:sz w:val="28"/>
          <w:szCs w:val="28"/>
        </w:rPr>
        <w:t>歲女童的生父，女童出生後不久父母離異，女童即交由</w:t>
      </w:r>
      <w:r w:rsidRPr="005E758A">
        <w:rPr>
          <w:sz w:val="28"/>
          <w:szCs w:val="28"/>
        </w:rPr>
        <w:t>C</w:t>
      </w:r>
      <w:r w:rsidRPr="005E758A">
        <w:rPr>
          <w:sz w:val="28"/>
          <w:szCs w:val="28"/>
        </w:rPr>
        <w:t>的姪女</w:t>
      </w:r>
      <w:r w:rsidRPr="005E758A">
        <w:rPr>
          <w:sz w:val="28"/>
          <w:szCs w:val="28"/>
        </w:rPr>
        <w:t>S</w:t>
      </w:r>
      <w:r w:rsidRPr="005E758A">
        <w:rPr>
          <w:sz w:val="28"/>
          <w:szCs w:val="28"/>
        </w:rPr>
        <w:t>照顧，後來家事法庭決定將女童的監護權判給</w:t>
      </w:r>
      <w:r w:rsidRPr="005E758A">
        <w:rPr>
          <w:sz w:val="28"/>
          <w:szCs w:val="28"/>
        </w:rPr>
        <w:t>S</w:t>
      </w:r>
      <w:r w:rsidRPr="005E758A">
        <w:rPr>
          <w:sz w:val="28"/>
          <w:szCs w:val="28"/>
        </w:rPr>
        <w:t>且僅允許</w:t>
      </w:r>
      <w:r w:rsidRPr="005E758A">
        <w:rPr>
          <w:sz w:val="28"/>
          <w:szCs w:val="28"/>
        </w:rPr>
        <w:t>C</w:t>
      </w:r>
      <w:r w:rsidRPr="005E758A">
        <w:rPr>
          <w:sz w:val="28"/>
          <w:szCs w:val="28"/>
        </w:rPr>
        <w:t>於週末探視女童，</w:t>
      </w:r>
      <w:r w:rsidRPr="005E758A">
        <w:rPr>
          <w:sz w:val="28"/>
          <w:szCs w:val="28"/>
        </w:rPr>
        <w:t>C</w:t>
      </w:r>
      <w:r w:rsidRPr="005E758A">
        <w:rPr>
          <w:sz w:val="28"/>
          <w:szCs w:val="28"/>
        </w:rPr>
        <w:t>於上訴時主張家事法庭法官未考慮女童的意見，且並不重視女童的幼稚園老師所提供之證詞。</w:t>
      </w:r>
    </w:p>
    <w:p w14:paraId="5AD92375" w14:textId="77777777" w:rsidR="003B0705" w:rsidRPr="005E758A" w:rsidRDefault="003B0705" w:rsidP="003B0705">
      <w:pPr>
        <w:snapToGrid w:val="0"/>
        <w:spacing w:before="100" w:beforeAutospacing="1" w:after="100" w:afterAutospacing="1"/>
        <w:ind w:firstLineChars="200" w:firstLine="560"/>
        <w:jc w:val="both"/>
        <w:rPr>
          <w:sz w:val="28"/>
          <w:szCs w:val="28"/>
        </w:rPr>
      </w:pPr>
      <w:r w:rsidRPr="005E758A">
        <w:rPr>
          <w:sz w:val="28"/>
          <w:szCs w:val="28"/>
        </w:rPr>
        <w:t>高等法院駁回其第一項主張，並表示其同意家事法庭的判斷，認為該名女童過於年幼，無法表達意見。高等法院於判決中引用兒童權利公約第</w:t>
      </w:r>
      <w:r w:rsidRPr="005E758A">
        <w:rPr>
          <w:sz w:val="28"/>
          <w:szCs w:val="28"/>
        </w:rPr>
        <w:t>9</w:t>
      </w:r>
      <w:r w:rsidRPr="005E758A">
        <w:rPr>
          <w:sz w:val="28"/>
          <w:szCs w:val="28"/>
        </w:rPr>
        <w:t>條及第</w:t>
      </w:r>
      <w:r w:rsidRPr="005E758A">
        <w:rPr>
          <w:sz w:val="28"/>
          <w:szCs w:val="28"/>
        </w:rPr>
        <w:t>12</w:t>
      </w:r>
      <w:r w:rsidRPr="005E758A">
        <w:rPr>
          <w:sz w:val="28"/>
          <w:szCs w:val="28"/>
        </w:rPr>
        <w:t>條，並指出根據公約及紐西蘭監護權法，法院的確應該適時於監護權案件程序中提供兒童表達意見的機會，但法院有權限在個案中考量兒童的年紀、特質及成熟度，決定如何安排屬合理和適當，</w:t>
      </w:r>
      <w:proofErr w:type="gramStart"/>
      <w:r w:rsidRPr="005E758A">
        <w:rPr>
          <w:sz w:val="28"/>
          <w:szCs w:val="28"/>
        </w:rPr>
        <w:t>此外，</w:t>
      </w:r>
      <w:proofErr w:type="gramEnd"/>
      <w:r w:rsidRPr="005E758A">
        <w:rPr>
          <w:sz w:val="28"/>
          <w:szCs w:val="28"/>
        </w:rPr>
        <w:t>法院亦應注意避免會對兒童造成負面影響的程序。高等法院認為女童年紀太小，且沒有其他跡象顯示能期待女童對本案涉及之事物形成任何意見，因此家事法庭未考慮女童的意見，並未違法。</w:t>
      </w:r>
    </w:p>
    <w:p w14:paraId="5732325E" w14:textId="77777777" w:rsidR="003B0705" w:rsidRPr="005E758A" w:rsidRDefault="003B0705" w:rsidP="003B0705">
      <w:pPr>
        <w:pStyle w:val="2"/>
        <w:rPr>
          <w:szCs w:val="28"/>
        </w:rPr>
      </w:pPr>
      <w:r w:rsidRPr="005E758A">
        <w:rPr>
          <w:szCs w:val="28"/>
        </w:rPr>
        <w:t>綜合分析</w:t>
      </w:r>
    </w:p>
    <w:p w14:paraId="3BC32B72" w14:textId="77777777" w:rsidR="003B0705" w:rsidRPr="005E758A" w:rsidRDefault="003B0705" w:rsidP="003B0705">
      <w:pPr>
        <w:snapToGrid w:val="0"/>
        <w:spacing w:before="100" w:beforeAutospacing="1" w:after="100" w:afterAutospacing="1"/>
        <w:ind w:firstLineChars="200" w:firstLine="560"/>
        <w:jc w:val="both"/>
        <w:rPr>
          <w:sz w:val="28"/>
          <w:szCs w:val="28"/>
        </w:rPr>
      </w:pPr>
      <w:r w:rsidRPr="005E758A">
        <w:rPr>
          <w:sz w:val="28"/>
          <w:szCs w:val="28"/>
        </w:rPr>
        <w:t>兒童權利委員於審議國家報告時對本</w:t>
      </w:r>
      <w:proofErr w:type="gramStart"/>
      <w:r w:rsidRPr="005E758A">
        <w:rPr>
          <w:sz w:val="28"/>
          <w:szCs w:val="28"/>
        </w:rPr>
        <w:t>條著</w:t>
      </w:r>
      <w:proofErr w:type="gramEnd"/>
      <w:r w:rsidRPr="005E758A">
        <w:rPr>
          <w:sz w:val="28"/>
          <w:szCs w:val="28"/>
        </w:rPr>
        <w:t>墨不多</w:t>
      </w:r>
      <w:r w:rsidRPr="005E758A">
        <w:rPr>
          <w:rStyle w:val="af3"/>
          <w:sz w:val="28"/>
          <w:szCs w:val="28"/>
        </w:rPr>
        <w:endnoteReference w:id="125"/>
      </w:r>
      <w:r w:rsidRPr="005E758A">
        <w:rPr>
          <w:sz w:val="28"/>
          <w:szCs w:val="28"/>
        </w:rPr>
        <w:t>，國際及區域人權條約中類似的條文也不多</w:t>
      </w:r>
      <w:r w:rsidRPr="005E758A">
        <w:rPr>
          <w:rStyle w:val="af3"/>
          <w:sz w:val="28"/>
          <w:szCs w:val="28"/>
        </w:rPr>
        <w:endnoteReference w:id="126"/>
      </w:r>
      <w:r w:rsidRPr="005E758A">
        <w:rPr>
          <w:sz w:val="28"/>
          <w:szCs w:val="28"/>
        </w:rPr>
        <w:t>，但屬於國際人道條約之</w:t>
      </w:r>
      <w:r w:rsidRPr="005E758A">
        <w:rPr>
          <w:sz w:val="28"/>
          <w:szCs w:val="28"/>
        </w:rPr>
        <w:t>1949</w:t>
      </w:r>
      <w:r w:rsidRPr="005E758A">
        <w:rPr>
          <w:sz w:val="28"/>
          <w:szCs w:val="28"/>
        </w:rPr>
        <w:t>年日內瓦第四公約及</w:t>
      </w:r>
      <w:r w:rsidRPr="005E758A">
        <w:rPr>
          <w:sz w:val="28"/>
          <w:szCs w:val="28"/>
        </w:rPr>
        <w:t>1977</w:t>
      </w:r>
      <w:r w:rsidRPr="005E758A">
        <w:rPr>
          <w:sz w:val="28"/>
          <w:szCs w:val="28"/>
        </w:rPr>
        <w:t>年的第一及第二日內瓦公約附加議定書</w:t>
      </w:r>
      <w:proofErr w:type="gramStart"/>
      <w:r w:rsidRPr="005E758A">
        <w:rPr>
          <w:sz w:val="28"/>
          <w:szCs w:val="28"/>
        </w:rPr>
        <w:t>中均有類</w:t>
      </w:r>
      <w:r w:rsidRPr="005E758A">
        <w:rPr>
          <w:sz w:val="28"/>
          <w:szCs w:val="28"/>
        </w:rPr>
        <w:lastRenderedPageBreak/>
        <w:t>似</w:t>
      </w:r>
      <w:proofErr w:type="gramEnd"/>
      <w:r w:rsidRPr="005E758A">
        <w:rPr>
          <w:sz w:val="28"/>
          <w:szCs w:val="28"/>
        </w:rPr>
        <w:t>本條第</w:t>
      </w:r>
      <w:r w:rsidRPr="005E758A">
        <w:rPr>
          <w:sz w:val="28"/>
          <w:szCs w:val="28"/>
        </w:rPr>
        <w:t>4</w:t>
      </w:r>
      <w:r w:rsidRPr="005E758A">
        <w:rPr>
          <w:sz w:val="28"/>
          <w:szCs w:val="28"/>
        </w:rPr>
        <w:t>項之規範，應可幫助瞭解其規範內容。</w:t>
      </w:r>
    </w:p>
    <w:p w14:paraId="49669273" w14:textId="77777777" w:rsidR="003B0705" w:rsidRPr="005E758A" w:rsidRDefault="003B0705" w:rsidP="003B0705">
      <w:pPr>
        <w:pStyle w:val="2"/>
        <w:rPr>
          <w:szCs w:val="28"/>
        </w:rPr>
      </w:pPr>
      <w:r w:rsidRPr="005E758A">
        <w:rPr>
          <w:szCs w:val="28"/>
        </w:rPr>
        <w:t>參考資料</w:t>
      </w:r>
    </w:p>
    <w:p w14:paraId="7F0D1E0A" w14:textId="77777777" w:rsidR="003B0705" w:rsidRPr="005E758A" w:rsidRDefault="003B0705" w:rsidP="00F02A5C">
      <w:pPr>
        <w:pStyle w:val="a0"/>
        <w:numPr>
          <w:ilvl w:val="0"/>
          <w:numId w:val="123"/>
        </w:numPr>
        <w:snapToGrid w:val="0"/>
        <w:ind w:leftChars="0"/>
        <w:jc w:val="both"/>
        <w:rPr>
          <w:rFonts w:ascii="Times New Roman" w:eastAsia="標楷體" w:hAnsi="Times New Roman"/>
          <w:sz w:val="32"/>
          <w:szCs w:val="28"/>
        </w:rPr>
      </w:pPr>
      <w:r w:rsidRPr="005E758A">
        <w:rPr>
          <w:rFonts w:ascii="Times New Roman" w:eastAsia="標楷體" w:hAnsi="Times New Roman"/>
          <w:smallCaps/>
          <w:sz w:val="28"/>
          <w:szCs w:val="24"/>
        </w:rPr>
        <w:t>Sharon Detrick, A Commentary on the United Nations Convention on the Rights of the Child</w:t>
      </w:r>
      <w:r w:rsidRPr="005E758A">
        <w:rPr>
          <w:rFonts w:ascii="Times New Roman" w:eastAsia="標楷體" w:hAnsi="Times New Roman"/>
          <w:sz w:val="28"/>
          <w:szCs w:val="24"/>
        </w:rPr>
        <w:t xml:space="preserve"> (1999)</w:t>
      </w:r>
      <w:r w:rsidRPr="005E758A">
        <w:rPr>
          <w:rFonts w:ascii="Times New Roman" w:eastAsia="標楷體" w:hAnsi="Times New Roman"/>
          <w:smallCaps/>
          <w:sz w:val="28"/>
          <w:szCs w:val="24"/>
        </w:rPr>
        <w:t>.</w:t>
      </w:r>
    </w:p>
    <w:p w14:paraId="354664C9" w14:textId="77777777" w:rsidR="003B0705" w:rsidRPr="005E758A" w:rsidRDefault="003B0705" w:rsidP="00F02A5C">
      <w:pPr>
        <w:pStyle w:val="a0"/>
        <w:numPr>
          <w:ilvl w:val="0"/>
          <w:numId w:val="123"/>
        </w:numPr>
        <w:snapToGrid w:val="0"/>
        <w:ind w:leftChars="0"/>
        <w:jc w:val="both"/>
        <w:rPr>
          <w:rFonts w:ascii="Times New Roman" w:eastAsia="標楷體" w:hAnsi="Times New Roman"/>
          <w:sz w:val="28"/>
          <w:szCs w:val="28"/>
        </w:rPr>
      </w:pPr>
      <w:r w:rsidRPr="005E758A">
        <w:rPr>
          <w:rFonts w:ascii="Times New Roman" w:eastAsia="標楷體" w:hAnsi="Times New Roman"/>
          <w:smallCaps/>
          <w:sz w:val="28"/>
          <w:szCs w:val="28"/>
        </w:rPr>
        <w:t xml:space="preserve">Jaap </w:t>
      </w:r>
      <w:proofErr w:type="spellStart"/>
      <w:r w:rsidRPr="005E758A">
        <w:rPr>
          <w:rFonts w:ascii="Times New Roman" w:eastAsia="標楷體" w:hAnsi="Times New Roman"/>
          <w:smallCaps/>
          <w:sz w:val="28"/>
          <w:szCs w:val="28"/>
        </w:rPr>
        <w:t>Doek</w:t>
      </w:r>
      <w:proofErr w:type="spellEnd"/>
      <w:r w:rsidRPr="005E758A">
        <w:rPr>
          <w:rFonts w:ascii="Times New Roman" w:eastAsia="標楷體" w:hAnsi="Times New Roman"/>
          <w:smallCaps/>
          <w:sz w:val="28"/>
          <w:szCs w:val="28"/>
        </w:rPr>
        <w:t>, A Commentary on the United Nations Convention on the Rights of the Child: Article 8. The Right to Preservation of Identity, and Article 9. The Right Not to Be Separated from His or Her Parents</w:t>
      </w:r>
      <w:r w:rsidRPr="005E758A">
        <w:rPr>
          <w:rFonts w:ascii="Times New Roman" w:eastAsia="標楷體" w:hAnsi="Times New Roman"/>
          <w:sz w:val="28"/>
          <w:szCs w:val="28"/>
        </w:rPr>
        <w:t xml:space="preserve"> (André Alen et al. eds., 2006).</w:t>
      </w:r>
    </w:p>
    <w:p w14:paraId="6895564C" w14:textId="77777777" w:rsidR="003B0705" w:rsidRPr="005E758A" w:rsidRDefault="003B0705" w:rsidP="00F02A5C">
      <w:pPr>
        <w:pStyle w:val="a0"/>
        <w:numPr>
          <w:ilvl w:val="0"/>
          <w:numId w:val="123"/>
        </w:numPr>
        <w:snapToGrid w:val="0"/>
        <w:ind w:leftChars="0"/>
        <w:jc w:val="both"/>
        <w:rPr>
          <w:rFonts w:ascii="Times New Roman" w:eastAsia="標楷體" w:hAnsi="Times New Roman"/>
          <w:sz w:val="28"/>
          <w:szCs w:val="28"/>
        </w:rPr>
      </w:pPr>
      <w:r w:rsidRPr="005E758A">
        <w:rPr>
          <w:rFonts w:ascii="Times New Roman" w:eastAsia="標楷體" w:hAnsi="Times New Roman"/>
          <w:smallCaps/>
          <w:sz w:val="28"/>
          <w:szCs w:val="28"/>
        </w:rPr>
        <w:t xml:space="preserve">UNICEF, Implementation Handbook for the Convention on the Rights of the Child </w:t>
      </w:r>
      <w:r w:rsidRPr="005E758A">
        <w:rPr>
          <w:rFonts w:ascii="Times New Roman" w:eastAsia="標楷體" w:hAnsi="Times New Roman"/>
          <w:sz w:val="28"/>
          <w:szCs w:val="28"/>
        </w:rPr>
        <w:t>(3d. 2007).</w:t>
      </w:r>
    </w:p>
    <w:p w14:paraId="441C954C" w14:textId="77777777" w:rsidR="003B0705" w:rsidRPr="005E758A" w:rsidRDefault="003B0705" w:rsidP="00F02A5C">
      <w:pPr>
        <w:pStyle w:val="a0"/>
        <w:numPr>
          <w:ilvl w:val="0"/>
          <w:numId w:val="123"/>
        </w:numPr>
        <w:snapToGrid w:val="0"/>
        <w:ind w:leftChars="0"/>
        <w:jc w:val="both"/>
        <w:rPr>
          <w:rFonts w:ascii="Times New Roman" w:eastAsia="標楷體" w:hAnsi="Times New Roman"/>
          <w:sz w:val="28"/>
          <w:szCs w:val="28"/>
        </w:rPr>
      </w:pPr>
      <w:r w:rsidRPr="005E758A">
        <w:rPr>
          <w:rFonts w:ascii="Times New Roman" w:eastAsia="標楷體" w:hAnsi="Times New Roman"/>
          <w:smallCaps/>
          <w:sz w:val="28"/>
          <w:szCs w:val="28"/>
        </w:rPr>
        <w:t>聯合國人權事務高級專員辦事處，兒童權利公約立法歷史。</w:t>
      </w:r>
      <w:r w:rsidRPr="005E758A">
        <w:rPr>
          <w:rFonts w:ascii="Times New Roman" w:eastAsia="標楷體" w:hAnsi="Times New Roman"/>
          <w:smallCaps/>
          <w:sz w:val="28"/>
          <w:szCs w:val="28"/>
        </w:rPr>
        <w:t>(Office of the United Nations High Commissioner for Human Rights, Legislative History of the Convention on the Rights of the Child</w:t>
      </w:r>
      <w:r w:rsidRPr="005E758A">
        <w:rPr>
          <w:rFonts w:ascii="Times New Roman" w:eastAsia="標楷體" w:hAnsi="Times New Roman"/>
          <w:sz w:val="28"/>
          <w:szCs w:val="28"/>
        </w:rPr>
        <w:t xml:space="preserve"> (2007).)</w:t>
      </w:r>
    </w:p>
    <w:p w14:paraId="17986FD6" w14:textId="77777777" w:rsidR="003B0705" w:rsidRPr="005E758A" w:rsidRDefault="003B0705" w:rsidP="003B0705">
      <w:pPr>
        <w:snapToGrid w:val="0"/>
        <w:spacing w:before="100" w:beforeAutospacing="1" w:after="100" w:afterAutospacing="1"/>
        <w:jc w:val="both"/>
        <w:rPr>
          <w:sz w:val="28"/>
          <w:szCs w:val="28"/>
        </w:rPr>
      </w:pPr>
    </w:p>
    <w:p w14:paraId="4E071572" w14:textId="77777777" w:rsidR="003B0705" w:rsidRPr="005E758A" w:rsidRDefault="003B0705" w:rsidP="003B0705">
      <w:pPr>
        <w:snapToGrid w:val="0"/>
        <w:spacing w:before="100" w:beforeAutospacing="1" w:after="100" w:afterAutospacing="1"/>
        <w:jc w:val="both"/>
      </w:pPr>
      <w:r w:rsidRPr="005E758A">
        <w:rPr>
          <w:sz w:val="28"/>
          <w:szCs w:val="28"/>
        </w:rPr>
        <w:t>關鍵詞：兒童與父母分離、兒童最佳利益</w:t>
      </w:r>
    </w:p>
    <w:p w14:paraId="00CE92CE" w14:textId="77777777" w:rsidR="003B0705" w:rsidRPr="005E758A" w:rsidRDefault="003B0705" w:rsidP="003B0705">
      <w:pPr>
        <w:pStyle w:val="1"/>
        <w:sectPr w:rsidR="003B0705" w:rsidRPr="005E758A" w:rsidSect="00135FC9">
          <w:footnotePr>
            <w:numRestart w:val="eachSect"/>
          </w:footnotePr>
          <w:endnotePr>
            <w:numFmt w:val="decimal"/>
            <w:numRestart w:val="eachSect"/>
          </w:endnotePr>
          <w:pgSz w:w="11906" w:h="16838"/>
          <w:pgMar w:top="1440" w:right="1797" w:bottom="1440" w:left="1797" w:header="851" w:footer="992" w:gutter="0"/>
          <w:cols w:space="425"/>
          <w:docGrid w:linePitch="360"/>
        </w:sectPr>
      </w:pPr>
    </w:p>
    <w:p w14:paraId="0FE29AE4" w14:textId="77777777" w:rsidR="00F90204" w:rsidRDefault="00F90204" w:rsidP="00F90204">
      <w:pPr>
        <w:pStyle w:val="1"/>
        <w:rPr>
          <w:sz w:val="28"/>
          <w:szCs w:val="28"/>
        </w:rPr>
      </w:pPr>
      <w:bookmarkStart w:id="33" w:name="_Toc431072726"/>
      <w:r w:rsidRPr="005E758A">
        <w:lastRenderedPageBreak/>
        <w:t>第</w:t>
      </w:r>
      <w:r w:rsidRPr="005E758A">
        <w:t>10</w:t>
      </w:r>
      <w:r w:rsidRPr="005E758A">
        <w:t>條</w:t>
      </w:r>
      <w:r>
        <w:rPr>
          <w:rFonts w:hint="eastAsia"/>
        </w:rPr>
        <w:t xml:space="preserve">　</w:t>
      </w:r>
      <w:r w:rsidRPr="00F90204">
        <w:rPr>
          <w:rFonts w:hint="eastAsia"/>
        </w:rPr>
        <w:t>因家庭團聚請求</w:t>
      </w:r>
      <w:r>
        <w:rPr>
          <w:rFonts w:hint="eastAsia"/>
        </w:rPr>
        <w:t>入出境</w:t>
      </w:r>
      <w:bookmarkEnd w:id="33"/>
    </w:p>
    <w:tbl>
      <w:tblPr>
        <w:tblW w:w="82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8220"/>
      </w:tblGrid>
      <w:tr w:rsidR="00F90204" w:rsidRPr="005E758A" w14:paraId="08B81176" w14:textId="77777777" w:rsidTr="00F90204">
        <w:trPr>
          <w:trHeight w:val="2400"/>
          <w:jc w:val="center"/>
        </w:trPr>
        <w:tc>
          <w:tcPr>
            <w:tcW w:w="8220" w:type="dxa"/>
          </w:tcPr>
          <w:p w14:paraId="035CDD32" w14:textId="77777777" w:rsidR="00F90204" w:rsidRPr="005E758A" w:rsidRDefault="00F90204" w:rsidP="00F90204">
            <w:pPr>
              <w:pStyle w:val="a0"/>
              <w:numPr>
                <w:ilvl w:val="0"/>
                <w:numId w:val="131"/>
              </w:numPr>
              <w:snapToGrid w:val="0"/>
              <w:ind w:leftChars="0"/>
              <w:jc w:val="both"/>
              <w:rPr>
                <w:rFonts w:ascii="Times New Roman" w:eastAsia="標楷體" w:hAnsi="Times New Roman"/>
                <w:sz w:val="28"/>
                <w:szCs w:val="28"/>
              </w:rPr>
            </w:pPr>
            <w:r w:rsidRPr="005E758A">
              <w:rPr>
                <w:rFonts w:ascii="Times New Roman" w:eastAsia="標楷體" w:hAnsi="Times New Roman"/>
                <w:sz w:val="28"/>
                <w:szCs w:val="28"/>
              </w:rPr>
              <w:t>兒童或其父母為團聚而請求進入或離開締約國時，締約國應依照第</w:t>
            </w:r>
            <w:r w:rsidRPr="005E758A">
              <w:rPr>
                <w:rFonts w:ascii="Times New Roman" w:eastAsia="標楷體" w:hAnsi="Times New Roman"/>
                <w:sz w:val="28"/>
                <w:szCs w:val="28"/>
              </w:rPr>
              <w:t>9</w:t>
            </w:r>
            <w:r w:rsidRPr="005E758A">
              <w:rPr>
                <w:rFonts w:ascii="Times New Roman" w:eastAsia="標楷體" w:hAnsi="Times New Roman"/>
                <w:sz w:val="28"/>
                <w:szCs w:val="28"/>
              </w:rPr>
              <w:t>條第</w:t>
            </w:r>
            <w:r w:rsidRPr="005E758A">
              <w:rPr>
                <w:rFonts w:ascii="Times New Roman" w:eastAsia="標楷體" w:hAnsi="Times New Roman"/>
                <w:sz w:val="28"/>
                <w:szCs w:val="28"/>
              </w:rPr>
              <w:t>1</w:t>
            </w:r>
            <w:r w:rsidRPr="005E758A">
              <w:rPr>
                <w:rFonts w:ascii="Times New Roman" w:eastAsia="標楷體" w:hAnsi="Times New Roman"/>
                <w:sz w:val="28"/>
                <w:szCs w:val="28"/>
              </w:rPr>
              <w:t>項之義務以積極、人道與迅速之方式處理之。締約國並應確保請求人及其家庭成員不因該請求而蒙受不利。</w:t>
            </w:r>
          </w:p>
          <w:p w14:paraId="1C9E8745" w14:textId="77777777" w:rsidR="00F90204" w:rsidRPr="005E758A" w:rsidRDefault="00F90204" w:rsidP="00F90204">
            <w:pPr>
              <w:pStyle w:val="a0"/>
              <w:numPr>
                <w:ilvl w:val="0"/>
                <w:numId w:val="131"/>
              </w:numPr>
              <w:snapToGrid w:val="0"/>
              <w:ind w:leftChars="0"/>
              <w:jc w:val="both"/>
              <w:rPr>
                <w:rFonts w:ascii="Times New Roman" w:hAnsi="Times New Roman"/>
              </w:rPr>
            </w:pPr>
            <w:r w:rsidRPr="005E758A">
              <w:rPr>
                <w:rFonts w:ascii="Times New Roman" w:eastAsia="標楷體" w:hAnsi="Times New Roman"/>
                <w:sz w:val="28"/>
                <w:szCs w:val="28"/>
              </w:rPr>
              <w:t>與父母分住不同國家之兒童，除情況特殊者外，應有權與其父母雙方定期保持私人關係及直接聯繫。為利前開目的之達成，並依據第</w:t>
            </w:r>
            <w:r w:rsidRPr="005E758A">
              <w:rPr>
                <w:rFonts w:ascii="Times New Roman" w:eastAsia="標楷體" w:hAnsi="Times New Roman"/>
                <w:sz w:val="28"/>
                <w:szCs w:val="28"/>
              </w:rPr>
              <w:t>9</w:t>
            </w:r>
            <w:r w:rsidRPr="005E758A">
              <w:rPr>
                <w:rFonts w:ascii="Times New Roman" w:eastAsia="標楷體" w:hAnsi="Times New Roman"/>
                <w:sz w:val="28"/>
                <w:szCs w:val="28"/>
              </w:rPr>
              <w:t>條第</w:t>
            </w:r>
            <w:r w:rsidRPr="005E758A">
              <w:rPr>
                <w:rFonts w:ascii="Times New Roman" w:eastAsia="標楷體" w:hAnsi="Times New Roman"/>
                <w:sz w:val="28"/>
                <w:szCs w:val="28"/>
              </w:rPr>
              <w:t>1</w:t>
            </w:r>
            <w:r w:rsidRPr="005E758A">
              <w:rPr>
                <w:rFonts w:ascii="Times New Roman" w:eastAsia="標楷體" w:hAnsi="Times New Roman"/>
                <w:sz w:val="28"/>
                <w:szCs w:val="28"/>
              </w:rPr>
              <w:t>項所規定之義務，締約國應尊重兒童及其父母得離開包括自己國家在內之任何國家及進入自己國家的權利。離開任何國家的權利應僅受限於法律之規定且該等規定係為保護國家安全、公共秩序、公共衛生或道德、或他人之權利及自由所必需，並應與本公約所承認之其他權利不相牴觸。</w:t>
            </w:r>
          </w:p>
        </w:tc>
      </w:tr>
    </w:tbl>
    <w:p w14:paraId="18829E38" w14:textId="77777777" w:rsidR="00F90204" w:rsidRPr="00F90204" w:rsidRDefault="00F90204" w:rsidP="00F90204">
      <w:pPr>
        <w:snapToGrid w:val="0"/>
        <w:spacing w:before="100" w:beforeAutospacing="1" w:after="100" w:afterAutospacing="1"/>
        <w:jc w:val="both"/>
        <w:rPr>
          <w:sz w:val="28"/>
          <w:szCs w:val="28"/>
        </w:rPr>
      </w:pPr>
    </w:p>
    <w:p w14:paraId="65FC8AF8" w14:textId="77777777" w:rsidR="003B0705" w:rsidRPr="005E758A" w:rsidRDefault="003B0705" w:rsidP="00F02A5C">
      <w:pPr>
        <w:pStyle w:val="2"/>
        <w:numPr>
          <w:ilvl w:val="0"/>
          <w:numId w:val="134"/>
        </w:numPr>
        <w:rPr>
          <w:szCs w:val="28"/>
        </w:rPr>
      </w:pPr>
      <w:r w:rsidRPr="005E758A">
        <w:rPr>
          <w:szCs w:val="28"/>
        </w:rPr>
        <w:t>規範宗旨</w:t>
      </w:r>
    </w:p>
    <w:p w14:paraId="246C2C44" w14:textId="77777777" w:rsidR="003B0705" w:rsidRPr="005E758A" w:rsidRDefault="003B0705" w:rsidP="003B0705">
      <w:pPr>
        <w:snapToGrid w:val="0"/>
        <w:spacing w:before="100" w:beforeAutospacing="1" w:after="100" w:afterAutospacing="1"/>
        <w:ind w:firstLineChars="200" w:firstLine="560"/>
        <w:jc w:val="both"/>
        <w:rPr>
          <w:sz w:val="28"/>
          <w:szCs w:val="28"/>
        </w:rPr>
      </w:pPr>
      <w:r w:rsidRPr="005E758A">
        <w:rPr>
          <w:sz w:val="28"/>
          <w:szCs w:val="28"/>
        </w:rPr>
        <w:t>本條規範者為須進入或離開國境以與其父母團聚之兒童的權利，此類情況多涉及國際間經濟移民、難民以及父母分居於不同國家之兒童</w:t>
      </w:r>
      <w:bookmarkStart w:id="34" w:name="_Ref430670165"/>
      <w:r w:rsidRPr="005E758A">
        <w:rPr>
          <w:rStyle w:val="af3"/>
          <w:sz w:val="28"/>
          <w:szCs w:val="28"/>
        </w:rPr>
        <w:endnoteReference w:id="127"/>
      </w:r>
      <w:bookmarkEnd w:id="34"/>
      <w:r w:rsidRPr="005E758A">
        <w:rPr>
          <w:sz w:val="28"/>
          <w:szCs w:val="28"/>
        </w:rPr>
        <w:t>。雖然家庭團聚是公約的重要精神，但公約制定時即明確指出本條並不影響締約國依國際法訂立並執行其移民法律的權利</w:t>
      </w:r>
      <w:bookmarkStart w:id="35" w:name="_Ref430597074"/>
      <w:r w:rsidRPr="005E758A">
        <w:rPr>
          <w:rStyle w:val="af3"/>
          <w:sz w:val="28"/>
        </w:rPr>
        <w:endnoteReference w:id="128"/>
      </w:r>
      <w:bookmarkEnd w:id="35"/>
      <w:r w:rsidRPr="005E758A">
        <w:rPr>
          <w:sz w:val="28"/>
          <w:szCs w:val="28"/>
        </w:rPr>
        <w:t>。另本條規範之義務程度亦較低，且並未有允許兒童與父母團聚後繼續留在其身邊的規定</w:t>
      </w:r>
      <w:r w:rsidRPr="005E758A">
        <w:rPr>
          <w:rStyle w:val="af3"/>
          <w:sz w:val="28"/>
          <w:szCs w:val="28"/>
        </w:rPr>
        <w:endnoteReference w:id="129"/>
      </w:r>
      <w:r w:rsidRPr="005E758A">
        <w:rPr>
          <w:sz w:val="28"/>
          <w:szCs w:val="28"/>
        </w:rPr>
        <w:t>。</w:t>
      </w:r>
    </w:p>
    <w:p w14:paraId="64EAF887" w14:textId="77777777" w:rsidR="003B0705" w:rsidRPr="005E758A" w:rsidRDefault="003B0705" w:rsidP="003B0705">
      <w:pPr>
        <w:pStyle w:val="2"/>
        <w:rPr>
          <w:szCs w:val="28"/>
        </w:rPr>
      </w:pPr>
      <w:r w:rsidRPr="005E758A">
        <w:rPr>
          <w:szCs w:val="28"/>
        </w:rPr>
        <w:t>條文要義</w:t>
      </w:r>
    </w:p>
    <w:p w14:paraId="254D4C5B" w14:textId="77777777" w:rsidR="003B0705" w:rsidRPr="005E758A" w:rsidRDefault="003B0705" w:rsidP="00F02A5C">
      <w:pPr>
        <w:pStyle w:val="3"/>
        <w:numPr>
          <w:ilvl w:val="0"/>
          <w:numId w:val="128"/>
        </w:numPr>
        <w:rPr>
          <w:szCs w:val="28"/>
        </w:rPr>
      </w:pPr>
      <w:r w:rsidRPr="005E758A">
        <w:rPr>
          <w:szCs w:val="28"/>
        </w:rPr>
        <w:t>第</w:t>
      </w:r>
      <w:r w:rsidRPr="005E758A">
        <w:rPr>
          <w:szCs w:val="28"/>
        </w:rPr>
        <w:t>10</w:t>
      </w:r>
      <w:r w:rsidRPr="005E758A">
        <w:rPr>
          <w:szCs w:val="28"/>
        </w:rPr>
        <w:t>條第</w:t>
      </w:r>
      <w:r w:rsidRPr="005E758A">
        <w:rPr>
          <w:szCs w:val="28"/>
        </w:rPr>
        <w:t>1</w:t>
      </w:r>
      <w:r w:rsidRPr="005E758A">
        <w:rPr>
          <w:szCs w:val="28"/>
        </w:rPr>
        <w:t>項</w:t>
      </w:r>
    </w:p>
    <w:p w14:paraId="2176F575" w14:textId="77777777" w:rsidR="003B0705" w:rsidRPr="005E758A" w:rsidRDefault="003B0705" w:rsidP="003B0705">
      <w:pPr>
        <w:snapToGrid w:val="0"/>
        <w:spacing w:before="100" w:beforeAutospacing="1" w:after="100" w:afterAutospacing="1"/>
        <w:ind w:firstLineChars="200" w:firstLine="560"/>
        <w:jc w:val="both"/>
        <w:rPr>
          <w:kern w:val="0"/>
          <w:sz w:val="28"/>
        </w:rPr>
      </w:pPr>
      <w:r w:rsidRPr="005E758A">
        <w:rPr>
          <w:sz w:val="28"/>
          <w:szCs w:val="28"/>
        </w:rPr>
        <w:t>本項引用了公約第</w:t>
      </w:r>
      <w:r w:rsidRPr="005E758A">
        <w:rPr>
          <w:sz w:val="28"/>
          <w:szCs w:val="28"/>
        </w:rPr>
        <w:t>9</w:t>
      </w:r>
      <w:r w:rsidRPr="005E758A">
        <w:rPr>
          <w:sz w:val="28"/>
          <w:szCs w:val="28"/>
        </w:rPr>
        <w:t>條第</w:t>
      </w:r>
      <w:r w:rsidRPr="005E758A">
        <w:rPr>
          <w:sz w:val="28"/>
          <w:szCs w:val="28"/>
        </w:rPr>
        <w:t>1</w:t>
      </w:r>
      <w:r w:rsidRPr="005E758A">
        <w:rPr>
          <w:sz w:val="28"/>
          <w:szCs w:val="28"/>
        </w:rPr>
        <w:t>項，要求締約國落實</w:t>
      </w:r>
      <w:r w:rsidRPr="005E758A">
        <w:rPr>
          <w:kern w:val="0"/>
          <w:sz w:val="28"/>
        </w:rPr>
        <w:t>確保不違背兒童父母的意願而使兒童與父母分離之</w:t>
      </w:r>
      <w:r w:rsidRPr="005E758A">
        <w:rPr>
          <w:sz w:val="28"/>
          <w:szCs w:val="28"/>
        </w:rPr>
        <w:t>義務</w:t>
      </w:r>
      <w:r w:rsidRPr="005E758A">
        <w:rPr>
          <w:kern w:val="0"/>
          <w:sz w:val="28"/>
        </w:rPr>
        <w:t>時，以積極、人道與迅速之方式處理兒童或其父母進入或離開締約國之請求。首先須注意的是本項並未要求締約國一定要同意兒童或其父母之請求</w:t>
      </w:r>
      <w:r w:rsidRPr="005E758A">
        <w:rPr>
          <w:rStyle w:val="af3"/>
          <w:kern w:val="0"/>
          <w:sz w:val="28"/>
          <w:szCs w:val="28"/>
        </w:rPr>
        <w:endnoteReference w:id="130"/>
      </w:r>
      <w:r w:rsidRPr="005E758A">
        <w:rPr>
          <w:rFonts w:eastAsia="新細明體"/>
          <w:kern w:val="0"/>
          <w:szCs w:val="24"/>
        </w:rPr>
        <w:t xml:space="preserve"> </w:t>
      </w:r>
      <w:r w:rsidRPr="005E758A">
        <w:rPr>
          <w:kern w:val="0"/>
          <w:sz w:val="28"/>
        </w:rPr>
        <w:t>，而是將裁量權留給締約國，惟仍要求締約國以積極、人道與迅速的方式處理。兒童權利委員會並未明確解釋何謂「積極」的方式，但若締約國要求兒童或其父母取得國籍後使得入境、要求其證明有足夠財力支持家庭成員的生活，採取總量控制等均可能被認為不符此項要件</w:t>
      </w:r>
      <w:r w:rsidRPr="005E758A">
        <w:rPr>
          <w:rStyle w:val="af3"/>
          <w:sz w:val="28"/>
          <w:szCs w:val="28"/>
        </w:rPr>
        <w:endnoteReference w:id="131"/>
      </w:r>
      <w:r w:rsidRPr="005E758A">
        <w:rPr>
          <w:kern w:val="0"/>
          <w:sz w:val="28"/>
        </w:rPr>
        <w:t>。而「人道」之要件在締約國處理之方式及程序</w:t>
      </w:r>
      <w:proofErr w:type="gramStart"/>
      <w:r w:rsidRPr="005E758A">
        <w:rPr>
          <w:kern w:val="0"/>
          <w:sz w:val="28"/>
        </w:rPr>
        <w:t>上均須注意</w:t>
      </w:r>
      <w:proofErr w:type="gramEnd"/>
      <w:r w:rsidRPr="005E758A">
        <w:rPr>
          <w:kern w:val="0"/>
          <w:sz w:val="28"/>
        </w:rPr>
        <w:t>，包括應尊重申請人的尊嚴，並應避免採取可能傷害兒童的調查方法。兒童權利委員會在其「遠離原籍國無人陪伴和無父母陪伴的兒童待遇」之一般性意見中亦有相關</w:t>
      </w:r>
      <w:r w:rsidRPr="005E758A">
        <w:rPr>
          <w:kern w:val="0"/>
          <w:sz w:val="28"/>
        </w:rPr>
        <w:lastRenderedPageBreak/>
        <w:t>討論</w:t>
      </w:r>
      <w:r w:rsidRPr="005E758A">
        <w:rPr>
          <w:rStyle w:val="af3"/>
          <w:kern w:val="0"/>
          <w:sz w:val="28"/>
        </w:rPr>
        <w:endnoteReference w:id="132"/>
      </w:r>
      <w:r w:rsidRPr="005E758A">
        <w:rPr>
          <w:kern w:val="0"/>
          <w:sz w:val="28"/>
        </w:rPr>
        <w:t>：</w:t>
      </w:r>
    </w:p>
    <w:p w14:paraId="6BB35E65" w14:textId="77777777" w:rsidR="003B0705" w:rsidRPr="005E758A" w:rsidRDefault="003B0705" w:rsidP="003B0705">
      <w:pPr>
        <w:snapToGrid w:val="0"/>
        <w:spacing w:before="100" w:beforeAutospacing="1" w:after="100" w:afterAutospacing="1"/>
        <w:ind w:left="567" w:right="567" w:firstLineChars="200" w:firstLine="560"/>
        <w:jc w:val="both"/>
        <w:rPr>
          <w:sz w:val="28"/>
          <w:szCs w:val="28"/>
        </w:rPr>
      </w:pPr>
      <w:r w:rsidRPr="005E758A">
        <w:rPr>
          <w:sz w:val="28"/>
          <w:szCs w:val="28"/>
        </w:rPr>
        <w:t>當這種遣返存在著「一定風險」，會導致兒童的基本人權遭受侵犯時，在原籍國的家庭團聚不符合兒童的最大利益，因此不應作出這種安排。</w:t>
      </w:r>
      <w:r w:rsidRPr="005E758A">
        <w:rPr>
          <w:sz w:val="28"/>
          <w:szCs w:val="28"/>
        </w:rPr>
        <w:t>…</w:t>
      </w:r>
      <w:r w:rsidRPr="005E758A">
        <w:rPr>
          <w:sz w:val="28"/>
          <w:szCs w:val="28"/>
        </w:rPr>
        <w:t>在不可能在原籍國實現家庭團聚的情況下，無論造成這種局面的原因是存在著遣返的法律障礙或是在權衡最大利益之後決定不予遣返，根據公約第</w:t>
      </w:r>
      <w:r w:rsidRPr="005E758A">
        <w:rPr>
          <w:sz w:val="28"/>
          <w:szCs w:val="28"/>
        </w:rPr>
        <w:t>9</w:t>
      </w:r>
      <w:r w:rsidRPr="005E758A">
        <w:rPr>
          <w:sz w:val="28"/>
          <w:szCs w:val="28"/>
        </w:rPr>
        <w:t>條和</w:t>
      </w:r>
      <w:r w:rsidRPr="005E758A">
        <w:rPr>
          <w:sz w:val="28"/>
          <w:szCs w:val="28"/>
        </w:rPr>
        <w:t>10</w:t>
      </w:r>
      <w:r w:rsidRPr="005E758A">
        <w:rPr>
          <w:sz w:val="28"/>
          <w:szCs w:val="28"/>
        </w:rPr>
        <w:t>條承擔的義務生效，地主國必須根據這些義務作出在其國內實現家庭團聚的決定。在此情況下，特別要提請締約國「對於兒童或其父母要求進入或離開</w:t>
      </w:r>
      <w:proofErr w:type="gramStart"/>
      <w:r w:rsidRPr="005E758A">
        <w:rPr>
          <w:sz w:val="28"/>
          <w:szCs w:val="28"/>
        </w:rPr>
        <w:t>一</w:t>
      </w:r>
      <w:proofErr w:type="gramEnd"/>
      <w:r w:rsidRPr="005E758A">
        <w:rPr>
          <w:sz w:val="28"/>
          <w:szCs w:val="28"/>
        </w:rPr>
        <w:t>締約國以便與家庭團聚的申請，締約國應以積極的人道主義態度迅速予以辦理」以及「還應確保申請人及其家庭成員不致因提出這類請求而承受不利後果」（第</w:t>
      </w:r>
      <w:r w:rsidRPr="005E758A">
        <w:rPr>
          <w:sz w:val="28"/>
          <w:szCs w:val="28"/>
        </w:rPr>
        <w:t>10</w:t>
      </w:r>
      <w:r w:rsidRPr="005E758A">
        <w:rPr>
          <w:sz w:val="28"/>
          <w:szCs w:val="28"/>
        </w:rPr>
        <w:t>條第</w:t>
      </w:r>
      <w:r w:rsidRPr="005E758A">
        <w:rPr>
          <w:sz w:val="28"/>
          <w:szCs w:val="28"/>
        </w:rPr>
        <w:t>1</w:t>
      </w:r>
      <w:r w:rsidRPr="005E758A">
        <w:rPr>
          <w:sz w:val="28"/>
          <w:szCs w:val="28"/>
        </w:rPr>
        <w:t>款）。原籍國必須尊重「兒童及其父母離開包括其本國在內的任何國家和進入其本國的權利」（第</w:t>
      </w:r>
      <w:r w:rsidRPr="005E758A">
        <w:rPr>
          <w:sz w:val="28"/>
          <w:szCs w:val="28"/>
        </w:rPr>
        <w:t>10</w:t>
      </w:r>
      <w:r w:rsidRPr="005E758A">
        <w:rPr>
          <w:sz w:val="28"/>
          <w:szCs w:val="28"/>
        </w:rPr>
        <w:t>條第</w:t>
      </w:r>
      <w:r w:rsidRPr="005E758A">
        <w:rPr>
          <w:sz w:val="28"/>
          <w:szCs w:val="28"/>
        </w:rPr>
        <w:t>2</w:t>
      </w:r>
      <w:r w:rsidRPr="005E758A">
        <w:rPr>
          <w:sz w:val="28"/>
          <w:szCs w:val="28"/>
        </w:rPr>
        <w:t>款）。</w:t>
      </w:r>
    </w:p>
    <w:p w14:paraId="5B39412D" w14:textId="77777777" w:rsidR="003B0705" w:rsidRPr="005E758A" w:rsidRDefault="003B0705" w:rsidP="003B0705">
      <w:pPr>
        <w:snapToGrid w:val="0"/>
        <w:spacing w:before="100" w:beforeAutospacing="1" w:after="100" w:afterAutospacing="1"/>
        <w:ind w:firstLineChars="200" w:firstLine="560"/>
        <w:jc w:val="both"/>
        <w:rPr>
          <w:sz w:val="28"/>
          <w:szCs w:val="28"/>
        </w:rPr>
      </w:pPr>
      <w:proofErr w:type="gramStart"/>
      <w:r w:rsidRPr="005E758A">
        <w:rPr>
          <w:sz w:val="28"/>
          <w:szCs w:val="28"/>
        </w:rPr>
        <w:t>此外，</w:t>
      </w:r>
      <w:proofErr w:type="gramEnd"/>
      <w:r w:rsidRPr="005E758A">
        <w:rPr>
          <w:sz w:val="28"/>
          <w:szCs w:val="28"/>
        </w:rPr>
        <w:t>締約國應以「迅速」的方式處理其申請，並需注意兒童對</w:t>
      </w:r>
      <w:r w:rsidRPr="005E758A">
        <w:rPr>
          <w:kern w:val="0"/>
          <w:sz w:val="28"/>
        </w:rPr>
        <w:t>時間</w:t>
      </w:r>
      <w:r w:rsidRPr="005E758A">
        <w:rPr>
          <w:sz w:val="28"/>
          <w:szCs w:val="28"/>
        </w:rPr>
        <w:t>的感受</w:t>
      </w:r>
      <w:r w:rsidRPr="005E758A">
        <w:rPr>
          <w:rStyle w:val="af3"/>
          <w:sz w:val="28"/>
          <w:szCs w:val="28"/>
        </w:rPr>
        <w:endnoteReference w:id="133"/>
      </w:r>
      <w:r w:rsidRPr="005E758A">
        <w:rPr>
          <w:sz w:val="28"/>
          <w:szCs w:val="28"/>
        </w:rPr>
        <w:t>，兒童權利委員會雖未訂定數量化的時間標準，但曾多次在審查國家報告時提出對該等程序延遲的擔憂，並建議國家改善</w:t>
      </w:r>
      <w:r w:rsidRPr="005E758A">
        <w:rPr>
          <w:rStyle w:val="af3"/>
          <w:kern w:val="0"/>
          <w:sz w:val="28"/>
        </w:rPr>
        <w:endnoteReference w:id="134"/>
      </w:r>
      <w:r w:rsidRPr="005E758A">
        <w:rPr>
          <w:sz w:val="28"/>
          <w:szCs w:val="28"/>
        </w:rPr>
        <w:t>。</w:t>
      </w:r>
    </w:p>
    <w:p w14:paraId="3E86382F" w14:textId="77777777" w:rsidR="003B0705" w:rsidRPr="005E758A" w:rsidRDefault="003B0705" w:rsidP="003B0705">
      <w:pPr>
        <w:snapToGrid w:val="0"/>
        <w:spacing w:before="100" w:beforeAutospacing="1" w:after="100" w:afterAutospacing="1"/>
        <w:ind w:firstLineChars="200" w:firstLine="560"/>
        <w:jc w:val="both"/>
        <w:rPr>
          <w:rFonts w:eastAsia="新細明體"/>
          <w:kern w:val="0"/>
          <w:szCs w:val="24"/>
        </w:rPr>
      </w:pPr>
      <w:r w:rsidRPr="005E758A">
        <w:rPr>
          <w:sz w:val="28"/>
          <w:szCs w:val="28"/>
        </w:rPr>
        <w:t>本項最後要求，所有請求進入或離開締約國者及其家庭成員不應該因該請求而蒙受不利。締約國應在接受請求後的調查</w:t>
      </w:r>
      <w:proofErr w:type="gramStart"/>
      <w:r w:rsidRPr="005E758A">
        <w:rPr>
          <w:sz w:val="28"/>
          <w:szCs w:val="28"/>
        </w:rPr>
        <w:t>程序中負注意</w:t>
      </w:r>
      <w:proofErr w:type="gramEnd"/>
      <w:r w:rsidRPr="005E758A">
        <w:rPr>
          <w:sz w:val="28"/>
          <w:szCs w:val="28"/>
        </w:rPr>
        <w:t>義務，尤其在涉及庇護申請案件中需特別謹慎</w:t>
      </w:r>
      <w:r w:rsidRPr="005E758A">
        <w:rPr>
          <w:rStyle w:val="af3"/>
          <w:sz w:val="28"/>
          <w:szCs w:val="28"/>
        </w:rPr>
        <w:endnoteReference w:id="135"/>
      </w:r>
      <w:r w:rsidRPr="005E758A">
        <w:rPr>
          <w:sz w:val="28"/>
          <w:szCs w:val="28"/>
        </w:rPr>
        <w:t>。</w:t>
      </w:r>
    </w:p>
    <w:p w14:paraId="3E263EF0" w14:textId="77777777" w:rsidR="003B0705" w:rsidRPr="005E758A" w:rsidRDefault="003B0705" w:rsidP="00F02A5C">
      <w:pPr>
        <w:pStyle w:val="3"/>
        <w:numPr>
          <w:ilvl w:val="0"/>
          <w:numId w:val="128"/>
        </w:numPr>
        <w:rPr>
          <w:szCs w:val="28"/>
        </w:rPr>
      </w:pPr>
      <w:r w:rsidRPr="005E758A">
        <w:rPr>
          <w:szCs w:val="28"/>
        </w:rPr>
        <w:t>第</w:t>
      </w:r>
      <w:r w:rsidRPr="005E758A">
        <w:rPr>
          <w:szCs w:val="28"/>
        </w:rPr>
        <w:t>10</w:t>
      </w:r>
      <w:r w:rsidRPr="005E758A">
        <w:rPr>
          <w:szCs w:val="28"/>
        </w:rPr>
        <w:t>條第</w:t>
      </w:r>
      <w:r w:rsidRPr="005E758A">
        <w:rPr>
          <w:szCs w:val="28"/>
        </w:rPr>
        <w:t>2</w:t>
      </w:r>
      <w:r w:rsidRPr="005E758A">
        <w:rPr>
          <w:szCs w:val="28"/>
        </w:rPr>
        <w:t>項</w:t>
      </w:r>
    </w:p>
    <w:p w14:paraId="5C494B30" w14:textId="77777777" w:rsidR="003B0705" w:rsidRPr="005E758A" w:rsidRDefault="003B0705" w:rsidP="003B0705">
      <w:pPr>
        <w:snapToGrid w:val="0"/>
        <w:spacing w:before="100" w:beforeAutospacing="1" w:after="100" w:afterAutospacing="1"/>
        <w:ind w:firstLineChars="200" w:firstLine="560"/>
        <w:jc w:val="both"/>
        <w:rPr>
          <w:sz w:val="28"/>
          <w:szCs w:val="28"/>
        </w:rPr>
      </w:pPr>
      <w:r w:rsidRPr="005E758A">
        <w:rPr>
          <w:sz w:val="28"/>
          <w:szCs w:val="28"/>
        </w:rPr>
        <w:t>本項規範兒童與分住不同國家之父母定期保持私人關係及直接聯繫的權利，本項與公民與政治權利國際公約第</w:t>
      </w:r>
      <w:r w:rsidRPr="005E758A">
        <w:rPr>
          <w:sz w:val="28"/>
          <w:szCs w:val="28"/>
        </w:rPr>
        <w:t>12</w:t>
      </w:r>
      <w:r w:rsidRPr="005E758A">
        <w:rPr>
          <w:sz w:val="28"/>
          <w:szCs w:val="28"/>
        </w:rPr>
        <w:t>條用語相近，解釋上亦可參考人權事務委員會對此項條文的詮釋，例如其第</w:t>
      </w:r>
      <w:r w:rsidRPr="005E758A">
        <w:rPr>
          <w:sz w:val="28"/>
          <w:szCs w:val="28"/>
        </w:rPr>
        <w:t>27</w:t>
      </w:r>
      <w:r w:rsidRPr="005E758A">
        <w:rPr>
          <w:sz w:val="28"/>
          <w:szCs w:val="28"/>
        </w:rPr>
        <w:t>號一般性意見。本項雖然允許締約國對兒童及其父母離開自己國家的權利在例外情況下作限制，但並未授權締約國限制兒童及其父母進入自己國家的權利，這樣的立場也呼應了公民與政治權利國際公約第</w:t>
      </w:r>
      <w:r w:rsidRPr="005E758A">
        <w:rPr>
          <w:sz w:val="28"/>
          <w:szCs w:val="28"/>
        </w:rPr>
        <w:t>14</w:t>
      </w:r>
      <w:r w:rsidRPr="005E758A">
        <w:rPr>
          <w:sz w:val="28"/>
          <w:szCs w:val="28"/>
        </w:rPr>
        <w:t>條之規定：「人人進入其本國之權，不得無理褫奪」。而此項所指之「自己國家」是否僅限於國籍國？在此可以參考人權事務委員會對於公民與政治權利國際公約第</w:t>
      </w:r>
      <w:r w:rsidRPr="005E758A">
        <w:rPr>
          <w:sz w:val="28"/>
          <w:szCs w:val="28"/>
        </w:rPr>
        <w:t>12</w:t>
      </w:r>
      <w:r w:rsidRPr="005E758A">
        <w:rPr>
          <w:sz w:val="28"/>
          <w:szCs w:val="28"/>
        </w:rPr>
        <w:t>條中相同用語作出之以下解釋</w:t>
      </w:r>
      <w:r w:rsidRPr="005E758A">
        <w:rPr>
          <w:rStyle w:val="af3"/>
          <w:kern w:val="0"/>
          <w:sz w:val="28"/>
        </w:rPr>
        <w:endnoteReference w:id="136"/>
      </w:r>
      <w:r w:rsidRPr="005E758A">
        <w:rPr>
          <w:sz w:val="28"/>
          <w:szCs w:val="28"/>
        </w:rPr>
        <w:t>：</w:t>
      </w:r>
    </w:p>
    <w:p w14:paraId="02D64DA7" w14:textId="77777777" w:rsidR="003B0705" w:rsidRPr="005E758A" w:rsidRDefault="003B0705" w:rsidP="003B0705">
      <w:pPr>
        <w:snapToGrid w:val="0"/>
        <w:spacing w:before="100" w:beforeAutospacing="1" w:after="100" w:afterAutospacing="1"/>
        <w:ind w:left="567" w:right="567" w:firstLineChars="200" w:firstLine="560"/>
        <w:jc w:val="both"/>
        <w:rPr>
          <w:sz w:val="28"/>
          <w:szCs w:val="28"/>
        </w:rPr>
      </w:pPr>
      <w:r w:rsidRPr="005E758A">
        <w:rPr>
          <w:sz w:val="28"/>
          <w:szCs w:val="28"/>
        </w:rPr>
        <w:t>「本國」的範圍大於「原籍國」。它</w:t>
      </w:r>
      <w:proofErr w:type="gramStart"/>
      <w:r w:rsidRPr="005E758A">
        <w:rPr>
          <w:sz w:val="28"/>
          <w:szCs w:val="28"/>
        </w:rPr>
        <w:t>不</w:t>
      </w:r>
      <w:proofErr w:type="gramEnd"/>
      <w:r w:rsidRPr="005E758A">
        <w:rPr>
          <w:sz w:val="28"/>
          <w:szCs w:val="28"/>
        </w:rPr>
        <w:t>侷限於形式上的國籍，即出生時獲得或被授與的國</w:t>
      </w:r>
      <w:r w:rsidRPr="005E758A">
        <w:rPr>
          <w:sz w:val="28"/>
          <w:szCs w:val="28"/>
        </w:rPr>
        <w:t xml:space="preserve"> </w:t>
      </w:r>
      <w:r w:rsidRPr="005E758A">
        <w:rPr>
          <w:sz w:val="28"/>
          <w:szCs w:val="28"/>
        </w:rPr>
        <w:t>籍；它至少包括因與某國特殊關連和具有的特殊權利而不能被僅僅視為外</w:t>
      </w:r>
      <w:r w:rsidRPr="005E758A">
        <w:rPr>
          <w:sz w:val="28"/>
          <w:szCs w:val="28"/>
        </w:rPr>
        <w:t xml:space="preserve"> </w:t>
      </w:r>
      <w:r w:rsidRPr="005E758A">
        <w:rPr>
          <w:sz w:val="28"/>
          <w:szCs w:val="28"/>
        </w:rPr>
        <w:t>國人的</w:t>
      </w:r>
      <w:r w:rsidRPr="005E758A">
        <w:rPr>
          <w:sz w:val="28"/>
          <w:szCs w:val="28"/>
        </w:rPr>
        <w:lastRenderedPageBreak/>
        <w:t>那些人。</w:t>
      </w:r>
    </w:p>
    <w:p w14:paraId="726DB1A4" w14:textId="77777777" w:rsidR="003B0705" w:rsidRPr="005E758A" w:rsidRDefault="003B0705" w:rsidP="003B0705">
      <w:pPr>
        <w:pStyle w:val="2"/>
        <w:rPr>
          <w:szCs w:val="28"/>
        </w:rPr>
      </w:pPr>
      <w:r w:rsidRPr="005E758A">
        <w:rPr>
          <w:szCs w:val="28"/>
        </w:rPr>
        <w:t>案例介紹</w:t>
      </w:r>
    </w:p>
    <w:p w14:paraId="7544E6B3" w14:textId="77777777" w:rsidR="003B0705" w:rsidRPr="005E758A" w:rsidRDefault="003B0705" w:rsidP="00F02A5C">
      <w:pPr>
        <w:pStyle w:val="3"/>
        <w:numPr>
          <w:ilvl w:val="0"/>
          <w:numId w:val="129"/>
        </w:numPr>
        <w:rPr>
          <w:b/>
          <w:szCs w:val="28"/>
        </w:rPr>
      </w:pPr>
      <w:r w:rsidRPr="005E758A">
        <w:rPr>
          <w:szCs w:val="28"/>
        </w:rPr>
        <w:t>2002</w:t>
      </w:r>
      <w:r w:rsidRPr="005E758A">
        <w:rPr>
          <w:szCs w:val="28"/>
        </w:rPr>
        <w:t>年聯合國人權事務委員會家庭團聚案：</w:t>
      </w:r>
      <w:proofErr w:type="spellStart"/>
      <w:r w:rsidRPr="005E758A">
        <w:rPr>
          <w:szCs w:val="28"/>
        </w:rPr>
        <w:t>Dernawi</w:t>
      </w:r>
      <w:proofErr w:type="spellEnd"/>
      <w:r w:rsidRPr="005E758A">
        <w:rPr>
          <w:szCs w:val="28"/>
        </w:rPr>
        <w:t xml:space="preserve"> v. Libyan Arab Jamahiriya</w:t>
      </w:r>
      <w:r w:rsidRPr="005E758A">
        <w:rPr>
          <w:rStyle w:val="af3"/>
          <w:szCs w:val="28"/>
        </w:rPr>
        <w:endnoteReference w:id="137"/>
      </w:r>
    </w:p>
    <w:p w14:paraId="6F535730" w14:textId="77777777" w:rsidR="003B0705" w:rsidRPr="005E758A" w:rsidRDefault="003B0705" w:rsidP="003B0705">
      <w:pPr>
        <w:snapToGrid w:val="0"/>
        <w:spacing w:before="100" w:beforeAutospacing="1" w:after="100" w:afterAutospacing="1"/>
        <w:ind w:firstLineChars="200" w:firstLine="560"/>
        <w:jc w:val="both"/>
        <w:rPr>
          <w:sz w:val="28"/>
          <w:szCs w:val="28"/>
        </w:rPr>
      </w:pPr>
      <w:r w:rsidRPr="005E758A">
        <w:rPr>
          <w:sz w:val="28"/>
          <w:szCs w:val="28"/>
        </w:rPr>
        <w:t>本案申請人之一為利比亞籍</w:t>
      </w:r>
      <w:proofErr w:type="spellStart"/>
      <w:r w:rsidRPr="005E758A">
        <w:rPr>
          <w:sz w:val="28"/>
          <w:szCs w:val="28"/>
        </w:rPr>
        <w:t>Dernawi</w:t>
      </w:r>
      <w:proofErr w:type="spellEnd"/>
      <w:r w:rsidRPr="005E758A">
        <w:rPr>
          <w:sz w:val="28"/>
          <w:szCs w:val="28"/>
        </w:rPr>
        <w:t>，其為穆斯林兄弟會</w:t>
      </w:r>
      <w:r w:rsidRPr="005E758A">
        <w:rPr>
          <w:sz w:val="28"/>
          <w:szCs w:val="28"/>
        </w:rPr>
        <w:t>(Muslim Brotherhood)</w:t>
      </w:r>
      <w:r w:rsidRPr="005E758A">
        <w:rPr>
          <w:sz w:val="28"/>
          <w:szCs w:val="28"/>
        </w:rPr>
        <w:t>成員，</w:t>
      </w:r>
      <w:r w:rsidRPr="005E758A">
        <w:rPr>
          <w:sz w:val="28"/>
          <w:szCs w:val="28"/>
        </w:rPr>
        <w:t>1998</w:t>
      </w:r>
      <w:r w:rsidRPr="005E758A">
        <w:rPr>
          <w:sz w:val="28"/>
          <w:szCs w:val="28"/>
        </w:rPr>
        <w:t>年間為</w:t>
      </w:r>
      <w:proofErr w:type="spellStart"/>
      <w:r w:rsidRPr="005E758A">
        <w:rPr>
          <w:sz w:val="28"/>
          <w:szCs w:val="28"/>
        </w:rPr>
        <w:t>Dernawi</w:t>
      </w:r>
      <w:proofErr w:type="spellEnd"/>
      <w:r w:rsidRPr="005E758A">
        <w:rPr>
          <w:sz w:val="28"/>
          <w:szCs w:val="28"/>
        </w:rPr>
        <w:t>發現安全人員企圖逮捕他，他因此決定逃離利比亞，因此與其妻子和</w:t>
      </w:r>
      <w:r w:rsidRPr="005E758A">
        <w:rPr>
          <w:sz w:val="28"/>
          <w:szCs w:val="28"/>
        </w:rPr>
        <w:t>6</w:t>
      </w:r>
      <w:r w:rsidRPr="005E758A">
        <w:rPr>
          <w:sz w:val="28"/>
          <w:szCs w:val="28"/>
        </w:rPr>
        <w:t>名子女分離。當年</w:t>
      </w:r>
      <w:r w:rsidRPr="005E758A">
        <w:rPr>
          <w:sz w:val="28"/>
          <w:szCs w:val="28"/>
        </w:rPr>
        <w:t>8</w:t>
      </w:r>
      <w:r w:rsidRPr="005E758A">
        <w:rPr>
          <w:sz w:val="28"/>
          <w:szCs w:val="28"/>
        </w:rPr>
        <w:t>月</w:t>
      </w:r>
      <w:proofErr w:type="spellStart"/>
      <w:r w:rsidRPr="005E758A">
        <w:rPr>
          <w:sz w:val="28"/>
          <w:szCs w:val="28"/>
        </w:rPr>
        <w:t>Dernawi</w:t>
      </w:r>
      <w:proofErr w:type="spellEnd"/>
      <w:r w:rsidRPr="005E758A">
        <w:rPr>
          <w:sz w:val="28"/>
          <w:szCs w:val="28"/>
        </w:rPr>
        <w:t>抵達瑞士並申請庇護，瑞士政府於</w:t>
      </w:r>
      <w:r w:rsidRPr="005E758A">
        <w:rPr>
          <w:sz w:val="28"/>
          <w:szCs w:val="28"/>
        </w:rPr>
        <w:t>2000</w:t>
      </w:r>
      <w:r w:rsidRPr="005E758A">
        <w:rPr>
          <w:sz w:val="28"/>
          <w:szCs w:val="28"/>
        </w:rPr>
        <w:t>年</w:t>
      </w:r>
      <w:r w:rsidRPr="005E758A">
        <w:rPr>
          <w:sz w:val="28"/>
          <w:szCs w:val="28"/>
        </w:rPr>
        <w:t>3</w:t>
      </w:r>
      <w:r w:rsidRPr="005E758A">
        <w:rPr>
          <w:sz w:val="28"/>
          <w:szCs w:val="28"/>
        </w:rPr>
        <w:t>月同意其庇護申請以及家庭團聚之申請。當年</w:t>
      </w:r>
      <w:r w:rsidRPr="005E758A">
        <w:rPr>
          <w:sz w:val="28"/>
          <w:szCs w:val="28"/>
        </w:rPr>
        <w:t>9</w:t>
      </w:r>
      <w:r w:rsidRPr="005E758A">
        <w:rPr>
          <w:sz w:val="28"/>
          <w:szCs w:val="28"/>
        </w:rPr>
        <w:t>月</w:t>
      </w:r>
      <w:proofErr w:type="spellStart"/>
      <w:r w:rsidRPr="005E758A">
        <w:rPr>
          <w:sz w:val="28"/>
          <w:szCs w:val="28"/>
        </w:rPr>
        <w:t>Dernawi</w:t>
      </w:r>
      <w:proofErr w:type="spellEnd"/>
      <w:r w:rsidRPr="005E758A">
        <w:rPr>
          <w:sz w:val="28"/>
          <w:szCs w:val="28"/>
        </w:rPr>
        <w:t>的妻子及</w:t>
      </w:r>
      <w:r w:rsidRPr="005E758A">
        <w:rPr>
          <w:sz w:val="28"/>
          <w:szCs w:val="28"/>
        </w:rPr>
        <w:t>3</w:t>
      </w:r>
      <w:r w:rsidRPr="005E758A">
        <w:rPr>
          <w:sz w:val="28"/>
          <w:szCs w:val="28"/>
        </w:rPr>
        <w:t>名年幼子女欲離開利比亞前往瑞士時被阻止，其妻子的護照（同時作為</w:t>
      </w:r>
      <w:r w:rsidRPr="005E758A">
        <w:rPr>
          <w:sz w:val="28"/>
          <w:szCs w:val="28"/>
        </w:rPr>
        <w:t>3</w:t>
      </w:r>
      <w:r w:rsidRPr="005E758A">
        <w:rPr>
          <w:sz w:val="28"/>
          <w:szCs w:val="28"/>
        </w:rPr>
        <w:t>名子女的旅行文件）被沒收，安全人員並表示由於</w:t>
      </w:r>
      <w:proofErr w:type="spellStart"/>
      <w:r w:rsidRPr="005E758A">
        <w:rPr>
          <w:sz w:val="28"/>
          <w:szCs w:val="28"/>
        </w:rPr>
        <w:t>Dernawi</w:t>
      </w:r>
      <w:proofErr w:type="spellEnd"/>
      <w:r w:rsidRPr="005E758A">
        <w:rPr>
          <w:sz w:val="28"/>
          <w:szCs w:val="28"/>
        </w:rPr>
        <w:t>為國際通緝的政治犯，因此其妻子不得離開國境，其妻子隨後多次要求返還護照未果。</w:t>
      </w:r>
    </w:p>
    <w:p w14:paraId="6B44B782" w14:textId="77777777" w:rsidR="003B0705" w:rsidRPr="005E758A" w:rsidRDefault="003B0705" w:rsidP="003B0705">
      <w:pPr>
        <w:snapToGrid w:val="0"/>
        <w:spacing w:before="100" w:beforeAutospacing="1" w:after="100" w:afterAutospacing="1"/>
        <w:ind w:firstLineChars="200" w:firstLine="560"/>
        <w:jc w:val="both"/>
        <w:rPr>
          <w:sz w:val="28"/>
          <w:szCs w:val="28"/>
        </w:rPr>
      </w:pPr>
      <w:r w:rsidRPr="005E758A">
        <w:rPr>
          <w:sz w:val="28"/>
          <w:szCs w:val="28"/>
        </w:rPr>
        <w:t>人權事務委員會認為，沒收</w:t>
      </w:r>
      <w:proofErr w:type="spellStart"/>
      <w:r w:rsidRPr="005E758A">
        <w:rPr>
          <w:sz w:val="28"/>
          <w:szCs w:val="28"/>
        </w:rPr>
        <w:t>Derwani</w:t>
      </w:r>
      <w:proofErr w:type="spellEnd"/>
      <w:r w:rsidRPr="005E758A">
        <w:rPr>
          <w:sz w:val="28"/>
          <w:szCs w:val="28"/>
        </w:rPr>
        <w:t>妻子的護照並禁止其離開利比亞到瑞士與</w:t>
      </w:r>
      <w:proofErr w:type="spellStart"/>
      <w:r w:rsidRPr="005E758A">
        <w:rPr>
          <w:sz w:val="28"/>
          <w:szCs w:val="28"/>
        </w:rPr>
        <w:t>Derwani</w:t>
      </w:r>
      <w:proofErr w:type="spellEnd"/>
      <w:r w:rsidRPr="005E758A">
        <w:rPr>
          <w:sz w:val="28"/>
          <w:szCs w:val="28"/>
        </w:rPr>
        <w:t>團聚，違反了</w:t>
      </w:r>
      <w:proofErr w:type="spellStart"/>
      <w:r w:rsidRPr="005E758A">
        <w:rPr>
          <w:sz w:val="28"/>
          <w:szCs w:val="28"/>
        </w:rPr>
        <w:t>Derwani</w:t>
      </w:r>
      <w:proofErr w:type="spellEnd"/>
      <w:r w:rsidRPr="005E758A">
        <w:rPr>
          <w:sz w:val="28"/>
          <w:szCs w:val="28"/>
        </w:rPr>
        <w:t>妻子以及其年幼子女的遷徙自由，亦違反了</w:t>
      </w:r>
      <w:proofErr w:type="spellStart"/>
      <w:r w:rsidRPr="005E758A">
        <w:rPr>
          <w:sz w:val="28"/>
          <w:szCs w:val="28"/>
        </w:rPr>
        <w:t>Derwani</w:t>
      </w:r>
      <w:proofErr w:type="spellEnd"/>
      <w:r w:rsidRPr="005E758A">
        <w:rPr>
          <w:sz w:val="28"/>
          <w:szCs w:val="28"/>
        </w:rPr>
        <w:t>及其家人的家庭權，</w:t>
      </w:r>
      <w:proofErr w:type="gramStart"/>
      <w:r w:rsidRPr="005E758A">
        <w:rPr>
          <w:sz w:val="28"/>
          <w:szCs w:val="28"/>
        </w:rPr>
        <w:t>此外，有鑑</w:t>
      </w:r>
      <w:proofErr w:type="gramEnd"/>
      <w:r w:rsidRPr="005E758A">
        <w:rPr>
          <w:sz w:val="28"/>
          <w:szCs w:val="28"/>
        </w:rPr>
        <w:t>於兒童與雙親同住對兒童的發展多有益處，利比亞無正當理由強迫兒童與其父親分離，其行為違反了應提供兒童特殊保護之義務。</w:t>
      </w:r>
    </w:p>
    <w:p w14:paraId="4640E5CB" w14:textId="77777777" w:rsidR="003B0705" w:rsidRPr="005E758A" w:rsidRDefault="003B0705" w:rsidP="00F02A5C">
      <w:pPr>
        <w:pStyle w:val="3"/>
        <w:numPr>
          <w:ilvl w:val="0"/>
          <w:numId w:val="129"/>
        </w:numPr>
        <w:rPr>
          <w:b/>
          <w:szCs w:val="28"/>
        </w:rPr>
      </w:pPr>
      <w:r w:rsidRPr="005E758A">
        <w:rPr>
          <w:szCs w:val="28"/>
        </w:rPr>
        <w:t>2003</w:t>
      </w:r>
      <w:r w:rsidRPr="005E758A">
        <w:rPr>
          <w:szCs w:val="28"/>
        </w:rPr>
        <w:t>年歐盟理事會家庭團聚權指令：</w:t>
      </w:r>
      <w:r w:rsidRPr="005E758A">
        <w:rPr>
          <w:szCs w:val="28"/>
        </w:rPr>
        <w:t>Directive 2003/86/EC of 3 October 2003, on the Right to Family Reunification</w:t>
      </w:r>
      <w:r w:rsidRPr="005E758A">
        <w:rPr>
          <w:rStyle w:val="af3"/>
          <w:szCs w:val="28"/>
        </w:rPr>
        <w:endnoteReference w:id="138"/>
      </w:r>
    </w:p>
    <w:p w14:paraId="42BC886B" w14:textId="77777777" w:rsidR="003B0705" w:rsidRPr="005E758A" w:rsidRDefault="003B0705" w:rsidP="003B0705">
      <w:pPr>
        <w:snapToGrid w:val="0"/>
        <w:spacing w:before="100" w:beforeAutospacing="1" w:after="100" w:afterAutospacing="1"/>
        <w:ind w:firstLineChars="200" w:firstLine="560"/>
        <w:jc w:val="both"/>
        <w:rPr>
          <w:sz w:val="28"/>
          <w:szCs w:val="28"/>
        </w:rPr>
      </w:pPr>
      <w:r w:rsidRPr="005E758A">
        <w:rPr>
          <w:sz w:val="28"/>
          <w:szCs w:val="28"/>
        </w:rPr>
        <w:t>2003</w:t>
      </w:r>
      <w:r w:rsidRPr="005E758A">
        <w:rPr>
          <w:sz w:val="28"/>
          <w:szCs w:val="28"/>
        </w:rPr>
        <w:t>年</w:t>
      </w:r>
      <w:r w:rsidRPr="005E758A">
        <w:rPr>
          <w:sz w:val="28"/>
          <w:szCs w:val="28"/>
        </w:rPr>
        <w:t>9</w:t>
      </w:r>
      <w:r w:rsidRPr="005E758A">
        <w:rPr>
          <w:sz w:val="28"/>
          <w:szCs w:val="28"/>
        </w:rPr>
        <w:t>月</w:t>
      </w:r>
      <w:r w:rsidRPr="005E758A">
        <w:rPr>
          <w:sz w:val="28"/>
          <w:szCs w:val="28"/>
        </w:rPr>
        <w:t>22</w:t>
      </w:r>
      <w:r w:rsidRPr="005E758A">
        <w:rPr>
          <w:sz w:val="28"/>
          <w:szCs w:val="28"/>
        </w:rPr>
        <w:t>日歐盟理事會通過了關於家庭團聚權之</w:t>
      </w:r>
      <w:r w:rsidRPr="005E758A">
        <w:rPr>
          <w:sz w:val="28"/>
          <w:szCs w:val="28"/>
        </w:rPr>
        <w:t>2003/86/EC</w:t>
      </w:r>
      <w:r w:rsidRPr="005E758A">
        <w:rPr>
          <w:sz w:val="28"/>
          <w:szCs w:val="28"/>
        </w:rPr>
        <w:t>號指令，其中規範了合法居住在歐盟的第三國國民為了家庭團聚，申請將其家庭成員帶入歐盟會員國境內時所需符合的條件。該號指令列出的條件包括：</w:t>
      </w:r>
    </w:p>
    <w:p w14:paraId="55CA4B62" w14:textId="77777777" w:rsidR="003B0705" w:rsidRPr="005E758A" w:rsidRDefault="003B0705" w:rsidP="00F02A5C">
      <w:pPr>
        <w:pStyle w:val="a0"/>
        <w:numPr>
          <w:ilvl w:val="0"/>
          <w:numId w:val="132"/>
        </w:numPr>
        <w:snapToGrid w:val="0"/>
        <w:spacing w:before="100" w:beforeAutospacing="1" w:after="100" w:afterAutospacing="1"/>
        <w:ind w:leftChars="0"/>
        <w:jc w:val="both"/>
        <w:rPr>
          <w:rFonts w:ascii="Times New Roman" w:eastAsia="標楷體" w:hAnsi="Times New Roman"/>
          <w:sz w:val="28"/>
          <w:szCs w:val="28"/>
        </w:rPr>
      </w:pPr>
      <w:r w:rsidRPr="005E758A">
        <w:rPr>
          <w:rFonts w:ascii="Times New Roman" w:eastAsia="標楷體" w:hAnsi="Times New Roman"/>
          <w:sz w:val="28"/>
          <w:szCs w:val="28"/>
        </w:rPr>
        <w:t>提出申請之第三國國民已持有歐盟會員國之</w:t>
      </w:r>
      <w:proofErr w:type="gramStart"/>
      <w:r w:rsidRPr="005E758A">
        <w:rPr>
          <w:rFonts w:ascii="Times New Roman" w:eastAsia="標楷體" w:hAnsi="Times New Roman"/>
          <w:sz w:val="28"/>
          <w:szCs w:val="28"/>
        </w:rPr>
        <w:t>一</w:t>
      </w:r>
      <w:proofErr w:type="gramEnd"/>
      <w:r w:rsidRPr="005E758A">
        <w:rPr>
          <w:rFonts w:ascii="Times New Roman" w:eastAsia="標楷體" w:hAnsi="Times New Roman"/>
          <w:sz w:val="28"/>
          <w:szCs w:val="28"/>
        </w:rPr>
        <w:t>的居留證一年以上，並可以合理其待其未來能取得永久居留權；</w:t>
      </w:r>
    </w:p>
    <w:p w14:paraId="4CBAD8A0" w14:textId="77777777" w:rsidR="003B0705" w:rsidRPr="005E758A" w:rsidRDefault="003B0705" w:rsidP="00F02A5C">
      <w:pPr>
        <w:pStyle w:val="a0"/>
        <w:numPr>
          <w:ilvl w:val="0"/>
          <w:numId w:val="132"/>
        </w:numPr>
        <w:snapToGrid w:val="0"/>
        <w:spacing w:before="100" w:beforeAutospacing="1" w:after="100" w:afterAutospacing="1"/>
        <w:ind w:leftChars="0"/>
        <w:jc w:val="both"/>
        <w:rPr>
          <w:rFonts w:ascii="Times New Roman" w:eastAsia="標楷體" w:hAnsi="Times New Roman"/>
          <w:sz w:val="28"/>
          <w:szCs w:val="28"/>
        </w:rPr>
      </w:pPr>
      <w:proofErr w:type="gramStart"/>
      <w:r w:rsidRPr="005E758A">
        <w:rPr>
          <w:rFonts w:ascii="Times New Roman" w:eastAsia="標楷體" w:hAnsi="Times New Roman"/>
          <w:sz w:val="28"/>
          <w:szCs w:val="28"/>
        </w:rPr>
        <w:t>該第三國</w:t>
      </w:r>
      <w:proofErr w:type="gramEnd"/>
      <w:r w:rsidRPr="005E758A">
        <w:rPr>
          <w:rFonts w:ascii="Times New Roman" w:eastAsia="標楷體" w:hAnsi="Times New Roman"/>
          <w:sz w:val="28"/>
          <w:szCs w:val="28"/>
        </w:rPr>
        <w:t>國民提出申請時，在歐盟會員國之</w:t>
      </w:r>
      <w:proofErr w:type="gramStart"/>
      <w:r w:rsidRPr="005E758A">
        <w:rPr>
          <w:rFonts w:ascii="Times New Roman" w:eastAsia="標楷體" w:hAnsi="Times New Roman"/>
          <w:sz w:val="28"/>
          <w:szCs w:val="28"/>
        </w:rPr>
        <w:t>一</w:t>
      </w:r>
      <w:proofErr w:type="gramEnd"/>
      <w:r w:rsidRPr="005E758A">
        <w:rPr>
          <w:rFonts w:ascii="Times New Roman" w:eastAsia="標楷體" w:hAnsi="Times New Roman"/>
          <w:sz w:val="28"/>
          <w:szCs w:val="28"/>
        </w:rPr>
        <w:t>居留期間未滿二或三年（依照該會員國接受移民的能力訂之）；</w:t>
      </w:r>
    </w:p>
    <w:p w14:paraId="37154CCA" w14:textId="77777777" w:rsidR="003B0705" w:rsidRPr="005E758A" w:rsidRDefault="003B0705" w:rsidP="00F02A5C">
      <w:pPr>
        <w:pStyle w:val="a0"/>
        <w:numPr>
          <w:ilvl w:val="0"/>
          <w:numId w:val="132"/>
        </w:numPr>
        <w:snapToGrid w:val="0"/>
        <w:spacing w:before="100" w:beforeAutospacing="1" w:after="100" w:afterAutospacing="1"/>
        <w:ind w:leftChars="0"/>
        <w:jc w:val="both"/>
        <w:rPr>
          <w:rFonts w:ascii="Times New Roman" w:eastAsia="標楷體" w:hAnsi="Times New Roman"/>
          <w:sz w:val="28"/>
          <w:szCs w:val="28"/>
        </w:rPr>
      </w:pPr>
      <w:r w:rsidRPr="005E758A">
        <w:rPr>
          <w:rFonts w:ascii="Times New Roman" w:eastAsia="標楷體" w:hAnsi="Times New Roman"/>
          <w:sz w:val="28"/>
          <w:szCs w:val="28"/>
        </w:rPr>
        <w:t>其申請須符合程序要件，例如提供證明家庭關係之文件。</w:t>
      </w:r>
    </w:p>
    <w:p w14:paraId="472FB2FB" w14:textId="77777777" w:rsidR="003B0705" w:rsidRPr="005E758A" w:rsidRDefault="003B0705" w:rsidP="003B0705">
      <w:pPr>
        <w:snapToGrid w:val="0"/>
        <w:spacing w:before="100" w:beforeAutospacing="1" w:after="100" w:afterAutospacing="1"/>
        <w:ind w:firstLineChars="200" w:firstLine="560"/>
        <w:jc w:val="both"/>
        <w:rPr>
          <w:sz w:val="28"/>
          <w:szCs w:val="28"/>
        </w:rPr>
      </w:pPr>
      <w:r w:rsidRPr="005E758A">
        <w:rPr>
          <w:sz w:val="28"/>
          <w:szCs w:val="28"/>
        </w:rPr>
        <w:t>此號指令亦就哪些家庭成員可依此程序進入歐盟會員國有所規範，允許的對象包括：</w:t>
      </w:r>
    </w:p>
    <w:p w14:paraId="0BF2199C" w14:textId="77777777" w:rsidR="003B0705" w:rsidRPr="005E758A" w:rsidRDefault="003B0705" w:rsidP="00F02A5C">
      <w:pPr>
        <w:pStyle w:val="a0"/>
        <w:numPr>
          <w:ilvl w:val="0"/>
          <w:numId w:val="133"/>
        </w:numPr>
        <w:snapToGrid w:val="0"/>
        <w:spacing w:before="100" w:beforeAutospacing="1" w:after="100" w:afterAutospacing="1"/>
        <w:ind w:leftChars="0"/>
        <w:jc w:val="both"/>
        <w:rPr>
          <w:rFonts w:ascii="Times New Roman" w:eastAsia="標楷體" w:hAnsi="Times New Roman"/>
          <w:sz w:val="28"/>
          <w:szCs w:val="28"/>
        </w:rPr>
      </w:pPr>
      <w:r w:rsidRPr="005E758A">
        <w:rPr>
          <w:rFonts w:ascii="Times New Roman" w:eastAsia="標楷體" w:hAnsi="Times New Roman"/>
          <w:sz w:val="28"/>
          <w:szCs w:val="28"/>
        </w:rPr>
        <w:t>配偶及未結婚但已維繫長期關係的伴侶；</w:t>
      </w:r>
    </w:p>
    <w:p w14:paraId="61CD21A7" w14:textId="77777777" w:rsidR="003B0705" w:rsidRPr="005E758A" w:rsidRDefault="003B0705" w:rsidP="00F02A5C">
      <w:pPr>
        <w:pStyle w:val="a0"/>
        <w:numPr>
          <w:ilvl w:val="0"/>
          <w:numId w:val="133"/>
        </w:numPr>
        <w:snapToGrid w:val="0"/>
        <w:spacing w:before="100" w:beforeAutospacing="1" w:after="100" w:afterAutospacing="1"/>
        <w:ind w:leftChars="0"/>
        <w:jc w:val="both"/>
        <w:rPr>
          <w:rFonts w:ascii="Times New Roman" w:eastAsia="標楷體" w:hAnsi="Times New Roman"/>
          <w:sz w:val="28"/>
          <w:szCs w:val="28"/>
        </w:rPr>
      </w:pPr>
      <w:r w:rsidRPr="005E758A">
        <w:rPr>
          <w:rFonts w:ascii="Times New Roman" w:eastAsia="標楷體" w:hAnsi="Times New Roman"/>
          <w:sz w:val="28"/>
          <w:szCs w:val="28"/>
        </w:rPr>
        <w:lastRenderedPageBreak/>
        <w:t>前述第三國國民之未成年子女，包括收養子女；</w:t>
      </w:r>
    </w:p>
    <w:p w14:paraId="1590F569" w14:textId="77777777" w:rsidR="003B0705" w:rsidRPr="005E758A" w:rsidRDefault="003B0705" w:rsidP="00F02A5C">
      <w:pPr>
        <w:pStyle w:val="a0"/>
        <w:numPr>
          <w:ilvl w:val="0"/>
          <w:numId w:val="133"/>
        </w:numPr>
        <w:snapToGrid w:val="0"/>
        <w:spacing w:before="100" w:beforeAutospacing="1" w:after="100" w:afterAutospacing="1"/>
        <w:ind w:leftChars="0"/>
        <w:jc w:val="both"/>
        <w:rPr>
          <w:rFonts w:ascii="Times New Roman" w:eastAsia="標楷體" w:hAnsi="Times New Roman"/>
          <w:sz w:val="28"/>
          <w:szCs w:val="28"/>
        </w:rPr>
      </w:pPr>
      <w:r w:rsidRPr="005E758A">
        <w:rPr>
          <w:rFonts w:ascii="Times New Roman" w:eastAsia="標楷體" w:hAnsi="Times New Roman"/>
          <w:sz w:val="28"/>
          <w:szCs w:val="28"/>
        </w:rPr>
        <w:t>前述配偶或伴侶的未成年子女，包括收養子女，惟前述第三國國民或及配偶或伴侶需為該名子女之監護人且仰賴前者的照顧。</w:t>
      </w:r>
    </w:p>
    <w:p w14:paraId="75238CA4" w14:textId="77777777" w:rsidR="003B0705" w:rsidRPr="005E758A" w:rsidRDefault="003B0705" w:rsidP="003B0705">
      <w:pPr>
        <w:pStyle w:val="2"/>
        <w:rPr>
          <w:szCs w:val="28"/>
        </w:rPr>
      </w:pPr>
      <w:r w:rsidRPr="005E758A">
        <w:rPr>
          <w:szCs w:val="28"/>
        </w:rPr>
        <w:t>綜合分析</w:t>
      </w:r>
    </w:p>
    <w:p w14:paraId="6FD76510" w14:textId="77777777" w:rsidR="003B0705" w:rsidRPr="005E758A" w:rsidRDefault="003B0705" w:rsidP="003B0705">
      <w:pPr>
        <w:snapToGrid w:val="0"/>
        <w:spacing w:before="100" w:beforeAutospacing="1" w:after="100" w:afterAutospacing="1"/>
        <w:ind w:firstLineChars="200" w:firstLine="560"/>
        <w:jc w:val="both"/>
        <w:rPr>
          <w:sz w:val="28"/>
          <w:szCs w:val="28"/>
        </w:rPr>
      </w:pPr>
      <w:r w:rsidRPr="005E758A">
        <w:rPr>
          <w:sz w:val="28"/>
          <w:szCs w:val="28"/>
        </w:rPr>
        <w:t>兒童權利委員會於審查國家報告時，針對本條，經常鼓勵締約國批准其他相關國際條約，包括</w:t>
      </w:r>
      <w:r w:rsidRPr="005E758A">
        <w:rPr>
          <w:sz w:val="28"/>
          <w:szCs w:val="28"/>
        </w:rPr>
        <w:t>1954</w:t>
      </w:r>
      <w:r w:rsidRPr="005E758A">
        <w:rPr>
          <w:sz w:val="28"/>
          <w:szCs w:val="28"/>
        </w:rPr>
        <w:t>年的難民地位公約</w:t>
      </w:r>
      <w:r w:rsidRPr="005E758A">
        <w:rPr>
          <w:sz w:val="28"/>
          <w:szCs w:val="28"/>
        </w:rPr>
        <w:t>(Convention Relating to the Status of Refugees)</w:t>
      </w:r>
      <w:r w:rsidRPr="005E758A">
        <w:rPr>
          <w:sz w:val="28"/>
          <w:szCs w:val="28"/>
        </w:rPr>
        <w:t>以及</w:t>
      </w:r>
      <w:r w:rsidRPr="005E758A">
        <w:rPr>
          <w:sz w:val="28"/>
          <w:szCs w:val="28"/>
        </w:rPr>
        <w:t>2003</w:t>
      </w:r>
      <w:r w:rsidRPr="005E758A">
        <w:rPr>
          <w:sz w:val="28"/>
          <w:szCs w:val="28"/>
        </w:rPr>
        <w:t>年的保護移</w:t>
      </w:r>
      <w:proofErr w:type="gramStart"/>
      <w:r w:rsidRPr="005E758A">
        <w:rPr>
          <w:sz w:val="28"/>
          <w:szCs w:val="28"/>
        </w:rPr>
        <w:t>徙工</w:t>
      </w:r>
      <w:proofErr w:type="gramEnd"/>
      <w:r w:rsidRPr="005E758A">
        <w:rPr>
          <w:sz w:val="28"/>
          <w:szCs w:val="28"/>
        </w:rPr>
        <w:t>人及其家屬權利國際公約</w:t>
      </w:r>
      <w:r w:rsidRPr="005E758A">
        <w:rPr>
          <w:sz w:val="28"/>
          <w:szCs w:val="28"/>
        </w:rPr>
        <w:t>(International Convention on the Protection of the Rights of All Migrant Workers and Members of Their Families)</w:t>
      </w:r>
      <w:r w:rsidRPr="005E758A">
        <w:rPr>
          <w:sz w:val="28"/>
          <w:szCs w:val="28"/>
        </w:rPr>
        <w:t>，其中又以後者針對促成家庭團聚有較多規範。我國雖無法成為保護移</w:t>
      </w:r>
      <w:proofErr w:type="gramStart"/>
      <w:r w:rsidRPr="005E758A">
        <w:rPr>
          <w:sz w:val="28"/>
          <w:szCs w:val="28"/>
        </w:rPr>
        <w:t>徙工</w:t>
      </w:r>
      <w:proofErr w:type="gramEnd"/>
      <w:r w:rsidRPr="005E758A">
        <w:rPr>
          <w:sz w:val="28"/>
          <w:szCs w:val="28"/>
        </w:rPr>
        <w:t>人及其家屬權利國際公約的締約國，但在解讀本條時，仍宜參照其規範及原則，以獲得完整的保護圖像。</w:t>
      </w:r>
    </w:p>
    <w:p w14:paraId="354D0FD3" w14:textId="77777777" w:rsidR="003B0705" w:rsidRPr="005E758A" w:rsidRDefault="003B0705" w:rsidP="003B0705">
      <w:pPr>
        <w:pStyle w:val="2"/>
        <w:rPr>
          <w:szCs w:val="28"/>
        </w:rPr>
      </w:pPr>
      <w:r w:rsidRPr="005E758A">
        <w:rPr>
          <w:szCs w:val="28"/>
        </w:rPr>
        <w:t>參考資料</w:t>
      </w:r>
    </w:p>
    <w:p w14:paraId="6864D29D" w14:textId="77777777" w:rsidR="003B0705" w:rsidRPr="005E758A" w:rsidRDefault="003B0705" w:rsidP="00F02A5C">
      <w:pPr>
        <w:pStyle w:val="a0"/>
        <w:numPr>
          <w:ilvl w:val="0"/>
          <w:numId w:val="130"/>
        </w:numPr>
        <w:snapToGrid w:val="0"/>
        <w:ind w:leftChars="0"/>
        <w:jc w:val="both"/>
        <w:rPr>
          <w:rFonts w:ascii="Times New Roman" w:eastAsia="標楷體" w:hAnsi="Times New Roman"/>
          <w:sz w:val="28"/>
          <w:szCs w:val="28"/>
        </w:rPr>
      </w:pPr>
      <w:r w:rsidRPr="005E758A">
        <w:rPr>
          <w:rFonts w:ascii="Times New Roman" w:eastAsia="標楷體" w:hAnsi="Times New Roman"/>
          <w:smallCaps/>
          <w:kern w:val="0"/>
          <w:sz w:val="28"/>
          <w:szCs w:val="24"/>
        </w:rPr>
        <w:t>Sharon Detrick, A Commentary on the United Nations Convention on the Rights of the Child</w:t>
      </w:r>
      <w:r w:rsidRPr="005E758A">
        <w:rPr>
          <w:rFonts w:ascii="Times New Roman" w:eastAsia="標楷體" w:hAnsi="Times New Roman"/>
          <w:kern w:val="0"/>
          <w:sz w:val="28"/>
          <w:szCs w:val="24"/>
        </w:rPr>
        <w:t xml:space="preserve"> (1999).</w:t>
      </w:r>
    </w:p>
    <w:p w14:paraId="7EF0BD61" w14:textId="77777777" w:rsidR="003B0705" w:rsidRPr="005E758A" w:rsidRDefault="003B0705" w:rsidP="00F02A5C">
      <w:pPr>
        <w:pStyle w:val="a0"/>
        <w:numPr>
          <w:ilvl w:val="0"/>
          <w:numId w:val="130"/>
        </w:numPr>
        <w:snapToGrid w:val="0"/>
        <w:ind w:leftChars="0"/>
        <w:jc w:val="both"/>
        <w:rPr>
          <w:rFonts w:ascii="Times New Roman" w:eastAsia="標楷體" w:hAnsi="Times New Roman"/>
          <w:sz w:val="28"/>
          <w:szCs w:val="28"/>
        </w:rPr>
      </w:pPr>
      <w:r w:rsidRPr="005E758A">
        <w:rPr>
          <w:rFonts w:ascii="Times New Roman" w:eastAsia="標楷體" w:hAnsi="Times New Roman"/>
          <w:smallCaps/>
          <w:sz w:val="28"/>
          <w:szCs w:val="28"/>
        </w:rPr>
        <w:t xml:space="preserve">UNICEF, Implementation Handbook for the Convention on the Rights of the Child </w:t>
      </w:r>
      <w:r w:rsidRPr="005E758A">
        <w:rPr>
          <w:rFonts w:ascii="Times New Roman" w:eastAsia="標楷體" w:hAnsi="Times New Roman"/>
          <w:sz w:val="28"/>
          <w:szCs w:val="28"/>
        </w:rPr>
        <w:t>(3d. 2007).</w:t>
      </w:r>
    </w:p>
    <w:p w14:paraId="749E251A" w14:textId="77777777" w:rsidR="003B0705" w:rsidRPr="005E758A" w:rsidRDefault="003B0705" w:rsidP="00F02A5C">
      <w:pPr>
        <w:pStyle w:val="a0"/>
        <w:numPr>
          <w:ilvl w:val="0"/>
          <w:numId w:val="130"/>
        </w:numPr>
        <w:snapToGrid w:val="0"/>
        <w:ind w:leftChars="0"/>
        <w:jc w:val="both"/>
        <w:rPr>
          <w:rFonts w:ascii="Times New Roman" w:eastAsia="標楷體" w:hAnsi="Times New Roman"/>
          <w:sz w:val="28"/>
          <w:szCs w:val="28"/>
        </w:rPr>
      </w:pPr>
      <w:r w:rsidRPr="005E758A">
        <w:rPr>
          <w:rFonts w:ascii="Times New Roman" w:eastAsia="標楷體" w:hAnsi="Times New Roman"/>
          <w:kern w:val="0"/>
          <w:sz w:val="28"/>
        </w:rPr>
        <w:t>兒童權利委員會，第</w:t>
      </w:r>
      <w:r w:rsidRPr="005E758A">
        <w:rPr>
          <w:rFonts w:ascii="Times New Roman" w:eastAsia="標楷體" w:hAnsi="Times New Roman"/>
          <w:kern w:val="0"/>
          <w:sz w:val="28"/>
        </w:rPr>
        <w:t>6</w:t>
      </w:r>
      <w:r w:rsidRPr="005E758A">
        <w:rPr>
          <w:rFonts w:ascii="Times New Roman" w:eastAsia="標楷體" w:hAnsi="Times New Roman"/>
          <w:kern w:val="0"/>
          <w:sz w:val="28"/>
        </w:rPr>
        <w:t>號一般性意見「遠離原籍國無人陪伴和無父母陪伴的兒童待遇」。</w:t>
      </w:r>
      <w:r w:rsidRPr="005E758A">
        <w:rPr>
          <w:rFonts w:ascii="Times New Roman" w:eastAsia="標楷體" w:hAnsi="Times New Roman"/>
          <w:kern w:val="0"/>
          <w:sz w:val="28"/>
          <w:szCs w:val="28"/>
        </w:rPr>
        <w:t>(Committee on the Rights of the Child, General Comment No. 6: Treatment of Unaccompanied and Separated Children Outside Their Country of Origin, U.N. Doc. CRC/GC/2005/6 (Sept. 1, 2005).)</w:t>
      </w:r>
    </w:p>
    <w:p w14:paraId="720241D1" w14:textId="77777777" w:rsidR="003B0705" w:rsidRPr="005E758A" w:rsidRDefault="003B0705" w:rsidP="00F02A5C">
      <w:pPr>
        <w:pStyle w:val="a0"/>
        <w:numPr>
          <w:ilvl w:val="0"/>
          <w:numId w:val="130"/>
        </w:numPr>
        <w:snapToGrid w:val="0"/>
        <w:ind w:leftChars="0"/>
        <w:jc w:val="both"/>
        <w:rPr>
          <w:rFonts w:ascii="Times New Roman" w:eastAsia="標楷體" w:hAnsi="Times New Roman"/>
          <w:sz w:val="28"/>
          <w:szCs w:val="28"/>
        </w:rPr>
      </w:pPr>
      <w:r w:rsidRPr="005E758A">
        <w:rPr>
          <w:rFonts w:ascii="Times New Roman" w:eastAsia="標楷體" w:hAnsi="Times New Roman"/>
          <w:smallCaps/>
          <w:sz w:val="28"/>
          <w:szCs w:val="28"/>
        </w:rPr>
        <w:t>聯合國人權事務高級專員辦事處，兒童權利公約立法歷史。</w:t>
      </w:r>
      <w:r w:rsidRPr="005E758A">
        <w:rPr>
          <w:rFonts w:ascii="Times New Roman" w:eastAsia="標楷體" w:hAnsi="Times New Roman"/>
          <w:smallCaps/>
          <w:sz w:val="28"/>
          <w:szCs w:val="28"/>
        </w:rPr>
        <w:t>(Office of the United Nations High Commissioner for Human Rights, Legislative History of the Convention on the Rights of the Child</w:t>
      </w:r>
      <w:r w:rsidRPr="005E758A">
        <w:rPr>
          <w:rFonts w:ascii="Times New Roman" w:eastAsia="標楷體" w:hAnsi="Times New Roman"/>
          <w:sz w:val="28"/>
          <w:szCs w:val="28"/>
        </w:rPr>
        <w:t xml:space="preserve"> (2007).)</w:t>
      </w:r>
    </w:p>
    <w:p w14:paraId="5BA3D401" w14:textId="77777777" w:rsidR="003B0705" w:rsidRPr="005E758A" w:rsidRDefault="003B0705" w:rsidP="003B0705">
      <w:pPr>
        <w:snapToGrid w:val="0"/>
        <w:spacing w:before="100" w:beforeAutospacing="1" w:after="100" w:afterAutospacing="1"/>
        <w:jc w:val="both"/>
        <w:rPr>
          <w:sz w:val="28"/>
          <w:szCs w:val="28"/>
        </w:rPr>
      </w:pPr>
    </w:p>
    <w:p w14:paraId="3709058D" w14:textId="77777777" w:rsidR="003B0705" w:rsidRPr="005E758A" w:rsidRDefault="003B0705" w:rsidP="003B0705">
      <w:pPr>
        <w:snapToGrid w:val="0"/>
        <w:spacing w:before="100" w:beforeAutospacing="1" w:after="100" w:afterAutospacing="1"/>
        <w:jc w:val="both"/>
      </w:pPr>
      <w:r w:rsidRPr="005E758A">
        <w:rPr>
          <w:sz w:val="28"/>
          <w:szCs w:val="28"/>
        </w:rPr>
        <w:t>關鍵詞：家庭團聚、入出境、人道考量</w:t>
      </w:r>
    </w:p>
    <w:p w14:paraId="7026CE3B" w14:textId="77777777" w:rsidR="003B0705" w:rsidRPr="005E758A" w:rsidRDefault="003B0705" w:rsidP="003B0705">
      <w:pPr>
        <w:pStyle w:val="1"/>
        <w:sectPr w:rsidR="003B0705" w:rsidRPr="005E758A" w:rsidSect="00135FC9">
          <w:footnotePr>
            <w:numRestart w:val="eachSect"/>
          </w:footnotePr>
          <w:endnotePr>
            <w:numFmt w:val="decimal"/>
            <w:numRestart w:val="eachSect"/>
          </w:endnotePr>
          <w:pgSz w:w="11906" w:h="16838"/>
          <w:pgMar w:top="1440" w:right="1797" w:bottom="1440" w:left="1797" w:header="851" w:footer="992" w:gutter="0"/>
          <w:cols w:space="425"/>
          <w:docGrid w:linePitch="360"/>
        </w:sectPr>
      </w:pPr>
    </w:p>
    <w:p w14:paraId="1BC2AFBD" w14:textId="77777777" w:rsidR="00FC32F0" w:rsidRDefault="00FC32F0" w:rsidP="00FC32F0">
      <w:pPr>
        <w:pStyle w:val="1"/>
      </w:pPr>
      <w:bookmarkStart w:id="36" w:name="_Toc431072727"/>
      <w:r w:rsidRPr="005E758A">
        <w:lastRenderedPageBreak/>
        <w:t>第</w:t>
      </w:r>
      <w:r w:rsidRPr="005E758A">
        <w:t>11</w:t>
      </w:r>
      <w:r w:rsidRPr="005E758A">
        <w:t>條</w:t>
      </w:r>
      <w:r>
        <w:rPr>
          <w:rFonts w:hint="eastAsia"/>
        </w:rPr>
        <w:t xml:space="preserve">　非法移送</w:t>
      </w:r>
      <w:bookmarkEnd w:id="36"/>
    </w:p>
    <w:tbl>
      <w:tblPr>
        <w:tblStyle w:val="af4"/>
        <w:tblW w:w="0" w:type="auto"/>
        <w:tblLook w:val="04A0" w:firstRow="1" w:lastRow="0" w:firstColumn="1" w:lastColumn="0" w:noHBand="0" w:noVBand="1"/>
      </w:tblPr>
      <w:tblGrid>
        <w:gridCol w:w="8302"/>
      </w:tblGrid>
      <w:tr w:rsidR="00FC32F0" w:rsidRPr="005E758A" w14:paraId="049A275B" w14:textId="77777777" w:rsidTr="002B035C">
        <w:tc>
          <w:tcPr>
            <w:tcW w:w="8302" w:type="dxa"/>
          </w:tcPr>
          <w:p w14:paraId="16DC9458" w14:textId="77777777" w:rsidR="00FC32F0" w:rsidRPr="005E758A" w:rsidRDefault="00FC32F0" w:rsidP="002B035C">
            <w:pPr>
              <w:pStyle w:val="a0"/>
              <w:numPr>
                <w:ilvl w:val="0"/>
                <w:numId w:val="135"/>
              </w:numPr>
              <w:snapToGrid w:val="0"/>
              <w:ind w:leftChars="0" w:left="563" w:hangingChars="201" w:hanging="563"/>
              <w:rPr>
                <w:rFonts w:ascii="Times New Roman" w:eastAsia="標楷體" w:hAnsi="Times New Roman"/>
                <w:sz w:val="28"/>
                <w:szCs w:val="28"/>
              </w:rPr>
            </w:pPr>
            <w:r w:rsidRPr="005E758A">
              <w:rPr>
                <w:rFonts w:ascii="Times New Roman" w:eastAsia="標楷體" w:hAnsi="Times New Roman"/>
                <w:sz w:val="28"/>
                <w:szCs w:val="28"/>
              </w:rPr>
              <w:t>締約國應採取措施制止非法將兒童移送至國外或令其無法回國之行為。</w:t>
            </w:r>
          </w:p>
          <w:p w14:paraId="2733ADAA" w14:textId="77777777" w:rsidR="00FC32F0" w:rsidRPr="005E758A" w:rsidRDefault="00FC32F0" w:rsidP="002B035C">
            <w:pPr>
              <w:numPr>
                <w:ilvl w:val="0"/>
                <w:numId w:val="135"/>
              </w:numPr>
              <w:snapToGrid w:val="0"/>
              <w:ind w:left="563" w:hangingChars="201" w:hanging="563"/>
              <w:rPr>
                <w:rFonts w:ascii="Times New Roman" w:eastAsia="標楷體" w:hAnsi="Times New Roman"/>
                <w:sz w:val="28"/>
                <w:szCs w:val="28"/>
              </w:rPr>
            </w:pPr>
            <w:r w:rsidRPr="005E758A">
              <w:rPr>
                <w:rFonts w:ascii="Times New Roman" w:eastAsia="標楷體" w:hAnsi="Times New Roman"/>
                <w:sz w:val="28"/>
                <w:szCs w:val="28"/>
              </w:rPr>
              <w:t>締約國應致力締結雙邊或多邊協定或加入現有協定以達成遏止之目的。</w:t>
            </w:r>
          </w:p>
        </w:tc>
      </w:tr>
    </w:tbl>
    <w:p w14:paraId="28E4844F" w14:textId="77777777" w:rsidR="00FC32F0" w:rsidRDefault="00FC32F0" w:rsidP="00FC32F0">
      <w:pPr>
        <w:snapToGrid w:val="0"/>
        <w:spacing w:before="100" w:beforeAutospacing="1" w:after="100" w:afterAutospacing="1"/>
        <w:jc w:val="both"/>
      </w:pPr>
    </w:p>
    <w:p w14:paraId="61B491A8" w14:textId="77777777" w:rsidR="006D112B" w:rsidRPr="005E758A" w:rsidRDefault="006D112B" w:rsidP="00F02A5C">
      <w:pPr>
        <w:pStyle w:val="2"/>
        <w:numPr>
          <w:ilvl w:val="0"/>
          <w:numId w:val="137"/>
        </w:numPr>
      </w:pPr>
      <w:r w:rsidRPr="005E758A">
        <w:t>規範宗旨</w:t>
      </w:r>
    </w:p>
    <w:p w14:paraId="6744B465" w14:textId="77777777" w:rsidR="006D112B" w:rsidRPr="005E758A" w:rsidRDefault="006D112B" w:rsidP="006D112B">
      <w:pPr>
        <w:snapToGrid w:val="0"/>
        <w:spacing w:before="100" w:beforeAutospacing="1" w:after="100" w:afterAutospacing="1"/>
        <w:ind w:firstLineChars="200" w:firstLine="560"/>
        <w:jc w:val="both"/>
        <w:rPr>
          <w:sz w:val="28"/>
          <w:szCs w:val="28"/>
        </w:rPr>
      </w:pPr>
      <w:r w:rsidRPr="005E758A">
        <w:rPr>
          <w:sz w:val="28"/>
          <w:szCs w:val="28"/>
        </w:rPr>
        <w:t>政府應採取措施防範兒童被以非法的方式帶離其所屬國家。</w:t>
      </w:r>
      <w:proofErr w:type="gramStart"/>
      <w:r w:rsidRPr="005E758A">
        <w:rPr>
          <w:sz w:val="28"/>
          <w:szCs w:val="28"/>
        </w:rPr>
        <w:t>此外，</w:t>
      </w:r>
      <w:proofErr w:type="gramEnd"/>
      <w:r w:rsidRPr="005E758A">
        <w:rPr>
          <w:sz w:val="28"/>
          <w:szCs w:val="28"/>
        </w:rPr>
        <w:t>本條規範更涉及父母一方將子女略</w:t>
      </w:r>
      <w:proofErr w:type="gramStart"/>
      <w:r w:rsidRPr="005E758A">
        <w:rPr>
          <w:sz w:val="28"/>
          <w:szCs w:val="28"/>
        </w:rPr>
        <w:t>誘</w:t>
      </w:r>
      <w:proofErr w:type="gramEnd"/>
      <w:r w:rsidRPr="005E758A">
        <w:rPr>
          <w:sz w:val="28"/>
          <w:szCs w:val="28"/>
        </w:rPr>
        <w:t>至國外之情形。儘管本條所稱之「非法移送」兒童與第</w:t>
      </w:r>
      <w:r w:rsidRPr="005E758A">
        <w:rPr>
          <w:sz w:val="28"/>
          <w:szCs w:val="28"/>
        </w:rPr>
        <w:t>35</w:t>
      </w:r>
      <w:r w:rsidRPr="005E758A">
        <w:rPr>
          <w:sz w:val="28"/>
          <w:szCs w:val="28"/>
        </w:rPr>
        <w:t>條（誘拐、買賣兒童、販運兒童）的差異看似不大，然而從整體觀察，第</w:t>
      </w:r>
      <w:r w:rsidRPr="005E758A">
        <w:rPr>
          <w:sz w:val="28"/>
          <w:szCs w:val="28"/>
        </w:rPr>
        <w:t>35</w:t>
      </w:r>
      <w:r w:rsidRPr="005E758A">
        <w:rPr>
          <w:sz w:val="28"/>
          <w:szCs w:val="28"/>
        </w:rPr>
        <w:t>條通常帶有經濟利益或性的目的動機，而本條之動機通常出於個人因素，而擅自將兒童帶離出境，且本條僅限於將兒童帶離自身國家之情況，第</w:t>
      </w:r>
      <w:r w:rsidRPr="005E758A">
        <w:rPr>
          <w:sz w:val="28"/>
          <w:szCs w:val="28"/>
        </w:rPr>
        <w:t>35</w:t>
      </w:r>
      <w:r w:rsidRPr="005E758A">
        <w:rPr>
          <w:sz w:val="28"/>
          <w:szCs w:val="28"/>
        </w:rPr>
        <w:t>條並無此限制，解讀時應注意二者的區分。</w:t>
      </w:r>
      <w:r w:rsidRPr="005E758A">
        <w:rPr>
          <w:rStyle w:val="af3"/>
          <w:sz w:val="28"/>
          <w:szCs w:val="28"/>
        </w:rPr>
        <w:endnoteReference w:id="139"/>
      </w:r>
    </w:p>
    <w:p w14:paraId="51C962C7" w14:textId="77777777" w:rsidR="006D112B" w:rsidRPr="005E758A" w:rsidRDefault="006D112B" w:rsidP="006D112B">
      <w:pPr>
        <w:pStyle w:val="2"/>
      </w:pPr>
      <w:r w:rsidRPr="005E758A">
        <w:t>條文要義</w:t>
      </w:r>
    </w:p>
    <w:p w14:paraId="35DF4F33" w14:textId="77777777" w:rsidR="006D112B" w:rsidRPr="005E758A" w:rsidRDefault="006D112B" w:rsidP="00F02A5C">
      <w:pPr>
        <w:pStyle w:val="3"/>
        <w:numPr>
          <w:ilvl w:val="0"/>
          <w:numId w:val="138"/>
        </w:numPr>
      </w:pPr>
      <w:r w:rsidRPr="005E758A">
        <w:t>第</w:t>
      </w:r>
      <w:r w:rsidRPr="005E758A">
        <w:t>11</w:t>
      </w:r>
      <w:r w:rsidRPr="005E758A">
        <w:t>條第</w:t>
      </w:r>
      <w:r w:rsidRPr="005E758A">
        <w:t>1</w:t>
      </w:r>
      <w:r w:rsidRPr="005E758A">
        <w:t>項</w:t>
      </w:r>
    </w:p>
    <w:p w14:paraId="52EE2860" w14:textId="77777777" w:rsidR="006D112B" w:rsidRPr="005E758A" w:rsidRDefault="006D112B" w:rsidP="006D112B">
      <w:pPr>
        <w:snapToGrid w:val="0"/>
        <w:spacing w:before="100" w:beforeAutospacing="1" w:after="100" w:afterAutospacing="1"/>
        <w:ind w:firstLineChars="200" w:firstLine="560"/>
        <w:jc w:val="both"/>
        <w:rPr>
          <w:sz w:val="28"/>
          <w:szCs w:val="28"/>
        </w:rPr>
      </w:pPr>
      <w:r w:rsidRPr="005E758A">
        <w:rPr>
          <w:sz w:val="28"/>
          <w:szCs w:val="28"/>
        </w:rPr>
        <w:t>締約國具有防止兒童被非法移送至國外或無法返國之義務，並應確保這些被移送兒童能回歸其所屬國。本條主要關注的是父母略</w:t>
      </w:r>
      <w:proofErr w:type="gramStart"/>
      <w:r w:rsidRPr="005E758A">
        <w:rPr>
          <w:sz w:val="28"/>
          <w:szCs w:val="28"/>
        </w:rPr>
        <w:t>誘</w:t>
      </w:r>
      <w:proofErr w:type="gramEnd"/>
      <w:r w:rsidRPr="005E758A">
        <w:rPr>
          <w:sz w:val="28"/>
          <w:szCs w:val="28"/>
        </w:rPr>
        <w:t>的情形，雖然條文不限於父母，也可能包括一般親屬，但其對象和第</w:t>
      </w:r>
      <w:r w:rsidRPr="005E758A">
        <w:rPr>
          <w:sz w:val="28"/>
          <w:szCs w:val="28"/>
        </w:rPr>
        <w:t>35</w:t>
      </w:r>
      <w:r w:rsidRPr="005E758A">
        <w:rPr>
          <w:sz w:val="28"/>
          <w:szCs w:val="28"/>
        </w:rPr>
        <w:t>條帶有經濟利益或性的目的動機者明顯有所不同。</w:t>
      </w:r>
      <w:r w:rsidRPr="005E758A">
        <w:rPr>
          <w:rStyle w:val="af3"/>
          <w:sz w:val="28"/>
          <w:szCs w:val="28"/>
        </w:rPr>
        <w:endnoteReference w:id="140"/>
      </w:r>
    </w:p>
    <w:p w14:paraId="158FC458" w14:textId="77777777" w:rsidR="006D112B" w:rsidRPr="005E758A" w:rsidRDefault="006D112B" w:rsidP="006D112B">
      <w:pPr>
        <w:snapToGrid w:val="0"/>
        <w:spacing w:before="100" w:beforeAutospacing="1" w:after="100" w:afterAutospacing="1"/>
        <w:ind w:firstLineChars="200" w:firstLine="560"/>
        <w:jc w:val="both"/>
        <w:rPr>
          <w:sz w:val="28"/>
          <w:szCs w:val="28"/>
        </w:rPr>
      </w:pPr>
      <w:r w:rsidRPr="005E758A">
        <w:rPr>
          <w:sz w:val="28"/>
          <w:szCs w:val="28"/>
        </w:rPr>
        <w:t>除此之外，國家為落實本條規範可採取之措施包括</w:t>
      </w:r>
      <w:r w:rsidRPr="005E758A">
        <w:rPr>
          <w:rStyle w:val="af3"/>
          <w:sz w:val="28"/>
          <w:szCs w:val="28"/>
        </w:rPr>
        <w:endnoteReference w:id="141"/>
      </w:r>
      <w:r w:rsidRPr="005E758A">
        <w:rPr>
          <w:sz w:val="28"/>
          <w:szCs w:val="28"/>
        </w:rPr>
        <w:t>:</w:t>
      </w:r>
    </w:p>
    <w:p w14:paraId="476C12CC" w14:textId="77777777" w:rsidR="006D112B" w:rsidRPr="005E758A" w:rsidRDefault="006D112B" w:rsidP="00F02A5C">
      <w:pPr>
        <w:pStyle w:val="a0"/>
        <w:numPr>
          <w:ilvl w:val="0"/>
          <w:numId w:val="136"/>
        </w:numPr>
        <w:snapToGrid w:val="0"/>
        <w:ind w:leftChars="0"/>
        <w:jc w:val="both"/>
        <w:rPr>
          <w:rFonts w:ascii="Times New Roman" w:eastAsia="標楷體" w:hAnsi="Times New Roman"/>
          <w:sz w:val="28"/>
          <w:szCs w:val="28"/>
        </w:rPr>
      </w:pPr>
      <w:r w:rsidRPr="005E758A">
        <w:rPr>
          <w:rFonts w:ascii="Times New Roman" w:eastAsia="標楷體" w:hAnsi="Times New Roman"/>
          <w:sz w:val="28"/>
          <w:szCs w:val="28"/>
        </w:rPr>
        <w:t>建置相關邊境措施並透過迅速之法院裁判（如扣押子女之護照），以強化就子女略</w:t>
      </w:r>
      <w:proofErr w:type="gramStart"/>
      <w:r w:rsidRPr="005E758A">
        <w:rPr>
          <w:rFonts w:ascii="Times New Roman" w:eastAsia="標楷體" w:hAnsi="Times New Roman"/>
          <w:sz w:val="28"/>
          <w:szCs w:val="28"/>
        </w:rPr>
        <w:t>誘</w:t>
      </w:r>
      <w:proofErr w:type="gramEnd"/>
      <w:r w:rsidRPr="005E758A">
        <w:rPr>
          <w:rFonts w:ascii="Times New Roman" w:eastAsia="標楷體" w:hAnsi="Times New Roman"/>
          <w:sz w:val="28"/>
          <w:szCs w:val="28"/>
        </w:rPr>
        <w:t>案件及時反應的能力；</w:t>
      </w:r>
    </w:p>
    <w:p w14:paraId="181A0A1B" w14:textId="77777777" w:rsidR="006D112B" w:rsidRPr="005E758A" w:rsidRDefault="006D112B" w:rsidP="00F02A5C">
      <w:pPr>
        <w:pStyle w:val="a0"/>
        <w:numPr>
          <w:ilvl w:val="0"/>
          <w:numId w:val="136"/>
        </w:numPr>
        <w:snapToGrid w:val="0"/>
        <w:ind w:leftChars="0"/>
        <w:jc w:val="both"/>
        <w:rPr>
          <w:rFonts w:ascii="Times New Roman" w:eastAsia="標楷體" w:hAnsi="Times New Roman"/>
          <w:sz w:val="28"/>
          <w:szCs w:val="28"/>
        </w:rPr>
      </w:pPr>
      <w:r w:rsidRPr="005E758A">
        <w:rPr>
          <w:rFonts w:ascii="Times New Roman" w:eastAsia="標楷體" w:hAnsi="Times New Roman"/>
          <w:sz w:val="28"/>
          <w:szCs w:val="28"/>
        </w:rPr>
        <w:t>就子女返國時必要之費用，提供父母法律及金錢上之協助；</w:t>
      </w:r>
    </w:p>
    <w:p w14:paraId="3A027A29" w14:textId="77777777" w:rsidR="006D112B" w:rsidRPr="005E758A" w:rsidRDefault="006D112B" w:rsidP="00F02A5C">
      <w:pPr>
        <w:pStyle w:val="a0"/>
        <w:numPr>
          <w:ilvl w:val="0"/>
          <w:numId w:val="136"/>
        </w:numPr>
        <w:snapToGrid w:val="0"/>
        <w:ind w:leftChars="0"/>
        <w:jc w:val="both"/>
        <w:rPr>
          <w:rFonts w:ascii="Times New Roman" w:eastAsia="標楷體" w:hAnsi="Times New Roman"/>
          <w:sz w:val="28"/>
          <w:szCs w:val="28"/>
        </w:rPr>
      </w:pPr>
      <w:r w:rsidRPr="005E758A">
        <w:rPr>
          <w:rFonts w:ascii="Times New Roman" w:eastAsia="標楷體" w:hAnsi="Times New Roman"/>
          <w:sz w:val="28"/>
          <w:szCs w:val="28"/>
        </w:rPr>
        <w:t>確保司法及外交人員對</w:t>
      </w:r>
      <w:r w:rsidRPr="005E758A">
        <w:rPr>
          <w:rFonts w:ascii="Times New Roman" w:eastAsia="標楷體" w:hAnsi="Times New Roman"/>
          <w:sz w:val="28"/>
          <w:szCs w:val="28"/>
        </w:rPr>
        <w:t>1980</w:t>
      </w:r>
      <w:r w:rsidRPr="005E758A">
        <w:rPr>
          <w:rFonts w:ascii="Times New Roman" w:eastAsia="標楷體" w:hAnsi="Times New Roman"/>
          <w:sz w:val="28"/>
          <w:szCs w:val="28"/>
        </w:rPr>
        <w:t>年國際兒童略</w:t>
      </w:r>
      <w:proofErr w:type="gramStart"/>
      <w:r w:rsidRPr="005E758A">
        <w:rPr>
          <w:rFonts w:ascii="Times New Roman" w:eastAsia="標楷體" w:hAnsi="Times New Roman"/>
          <w:sz w:val="28"/>
          <w:szCs w:val="28"/>
        </w:rPr>
        <w:t>誘</w:t>
      </w:r>
      <w:proofErr w:type="gramEnd"/>
      <w:r w:rsidRPr="005E758A">
        <w:rPr>
          <w:rFonts w:ascii="Times New Roman" w:eastAsia="標楷體" w:hAnsi="Times New Roman"/>
          <w:sz w:val="28"/>
          <w:szCs w:val="28"/>
        </w:rPr>
        <w:t>公約</w:t>
      </w:r>
      <w:r w:rsidRPr="005E758A">
        <w:rPr>
          <w:rFonts w:ascii="Times New Roman" w:eastAsia="標楷體" w:hAnsi="Times New Roman"/>
          <w:sz w:val="28"/>
          <w:szCs w:val="28"/>
        </w:rPr>
        <w:t>(Convention on the Civil Aspects of International Child Abduction)</w:t>
      </w:r>
      <w:r w:rsidRPr="005E758A">
        <w:rPr>
          <w:rFonts w:ascii="Times New Roman" w:eastAsia="標楷體" w:hAnsi="Times New Roman"/>
          <w:sz w:val="28"/>
          <w:szCs w:val="28"/>
        </w:rPr>
        <w:t>之原則有所瞭解；</w:t>
      </w:r>
    </w:p>
    <w:p w14:paraId="0C155442" w14:textId="77777777" w:rsidR="006D112B" w:rsidRPr="005E758A" w:rsidRDefault="006D112B" w:rsidP="00F02A5C">
      <w:pPr>
        <w:pStyle w:val="a0"/>
        <w:numPr>
          <w:ilvl w:val="0"/>
          <w:numId w:val="136"/>
        </w:numPr>
        <w:snapToGrid w:val="0"/>
        <w:ind w:leftChars="0"/>
        <w:jc w:val="both"/>
        <w:rPr>
          <w:rFonts w:ascii="Times New Roman" w:eastAsia="標楷體" w:hAnsi="Times New Roman"/>
          <w:sz w:val="28"/>
          <w:szCs w:val="28"/>
        </w:rPr>
      </w:pPr>
      <w:r w:rsidRPr="005E758A">
        <w:rPr>
          <w:rFonts w:ascii="Times New Roman" w:eastAsia="標楷體" w:hAnsi="Times New Roman"/>
          <w:sz w:val="28"/>
          <w:szCs w:val="28"/>
        </w:rPr>
        <w:t>透過政府資料庫協助找尋兒童之所在地。</w:t>
      </w:r>
    </w:p>
    <w:p w14:paraId="294E27E4" w14:textId="77777777" w:rsidR="006D112B" w:rsidRPr="005E758A" w:rsidRDefault="006D112B" w:rsidP="006D112B">
      <w:pPr>
        <w:pStyle w:val="3"/>
      </w:pPr>
      <w:r w:rsidRPr="005E758A">
        <w:t>第</w:t>
      </w:r>
      <w:r w:rsidRPr="005E758A">
        <w:t>11</w:t>
      </w:r>
      <w:r w:rsidRPr="005E758A">
        <w:t>條第</w:t>
      </w:r>
      <w:r w:rsidRPr="005E758A">
        <w:t>2</w:t>
      </w:r>
      <w:r w:rsidRPr="005E758A">
        <w:t>項</w:t>
      </w:r>
    </w:p>
    <w:p w14:paraId="365D2D58" w14:textId="77777777" w:rsidR="006D112B" w:rsidRPr="005E758A" w:rsidRDefault="006D112B" w:rsidP="006D112B">
      <w:pPr>
        <w:snapToGrid w:val="0"/>
        <w:spacing w:before="100" w:beforeAutospacing="1" w:after="100" w:afterAutospacing="1"/>
        <w:ind w:firstLineChars="200" w:firstLine="560"/>
        <w:jc w:val="both"/>
        <w:rPr>
          <w:sz w:val="28"/>
          <w:szCs w:val="28"/>
        </w:rPr>
      </w:pPr>
      <w:r w:rsidRPr="005E758A">
        <w:rPr>
          <w:sz w:val="28"/>
          <w:szCs w:val="28"/>
        </w:rPr>
        <w:lastRenderedPageBreak/>
        <w:t>締約國應致力締結雙邊或多邊協定或加入現有協定以達成遏止之目的，如本條明確指出落實本條最有效的方式之</w:t>
      </w:r>
      <w:proofErr w:type="gramStart"/>
      <w:r w:rsidRPr="005E758A">
        <w:rPr>
          <w:sz w:val="28"/>
          <w:szCs w:val="28"/>
        </w:rPr>
        <w:t>一</w:t>
      </w:r>
      <w:proofErr w:type="gramEnd"/>
      <w:r w:rsidRPr="005E758A">
        <w:rPr>
          <w:sz w:val="28"/>
          <w:szCs w:val="28"/>
        </w:rPr>
        <w:t>即是</w:t>
      </w:r>
      <w:proofErr w:type="gramStart"/>
      <w:r w:rsidRPr="005E758A">
        <w:rPr>
          <w:sz w:val="28"/>
          <w:szCs w:val="28"/>
        </w:rPr>
        <w:t>簽屬並落實</w:t>
      </w:r>
      <w:proofErr w:type="gramEnd"/>
      <w:r w:rsidRPr="005E758A">
        <w:rPr>
          <w:sz w:val="28"/>
          <w:szCs w:val="28"/>
        </w:rPr>
        <w:t>相關國際公約，例如</w:t>
      </w:r>
      <w:r w:rsidRPr="005E758A">
        <w:rPr>
          <w:sz w:val="28"/>
          <w:szCs w:val="28"/>
        </w:rPr>
        <w:t>1980</w:t>
      </w:r>
      <w:r w:rsidRPr="005E758A">
        <w:rPr>
          <w:sz w:val="28"/>
          <w:szCs w:val="28"/>
        </w:rPr>
        <w:t>年國際兒童略</w:t>
      </w:r>
      <w:proofErr w:type="gramStart"/>
      <w:r w:rsidRPr="005E758A">
        <w:rPr>
          <w:sz w:val="28"/>
          <w:szCs w:val="28"/>
        </w:rPr>
        <w:t>誘</w:t>
      </w:r>
      <w:proofErr w:type="gramEnd"/>
      <w:r w:rsidRPr="005E758A">
        <w:rPr>
          <w:sz w:val="28"/>
          <w:szCs w:val="28"/>
        </w:rPr>
        <w:t>公約。</w:t>
      </w:r>
      <w:r w:rsidRPr="005E758A">
        <w:rPr>
          <w:rStyle w:val="af3"/>
          <w:sz w:val="28"/>
          <w:szCs w:val="28"/>
        </w:rPr>
        <w:endnoteReference w:id="142"/>
      </w:r>
    </w:p>
    <w:p w14:paraId="2FA168CE" w14:textId="77777777" w:rsidR="006D112B" w:rsidRPr="005E758A" w:rsidRDefault="006D112B" w:rsidP="006D112B">
      <w:pPr>
        <w:pStyle w:val="2"/>
      </w:pPr>
      <w:r w:rsidRPr="005E758A">
        <w:t>案例介紹</w:t>
      </w:r>
    </w:p>
    <w:p w14:paraId="5E3E6686" w14:textId="77777777" w:rsidR="006D112B" w:rsidRPr="005E758A" w:rsidRDefault="006D112B" w:rsidP="00F02A5C">
      <w:pPr>
        <w:pStyle w:val="3"/>
        <w:numPr>
          <w:ilvl w:val="0"/>
          <w:numId w:val="139"/>
        </w:numPr>
      </w:pPr>
      <w:r w:rsidRPr="005E758A">
        <w:t>2011</w:t>
      </w:r>
      <w:r w:rsidRPr="005E758A">
        <w:t>年美洲國家間人權法院烏拉圭孤兒案：</w:t>
      </w:r>
      <w:r w:rsidRPr="005E758A">
        <w:t>Gelman v. Uruguay</w:t>
      </w:r>
      <w:r w:rsidRPr="005E758A">
        <w:rPr>
          <w:rStyle w:val="af3"/>
          <w:szCs w:val="28"/>
        </w:rPr>
        <w:endnoteReference w:id="143"/>
      </w:r>
    </w:p>
    <w:p w14:paraId="1AF00BA8" w14:textId="77777777" w:rsidR="006D112B" w:rsidRPr="005E758A" w:rsidRDefault="006D112B" w:rsidP="006D112B">
      <w:pPr>
        <w:snapToGrid w:val="0"/>
        <w:spacing w:before="100" w:beforeAutospacing="1" w:after="100" w:afterAutospacing="1"/>
        <w:ind w:firstLineChars="200" w:firstLine="560"/>
        <w:jc w:val="both"/>
        <w:rPr>
          <w:color w:val="000000"/>
          <w:kern w:val="0"/>
          <w:sz w:val="28"/>
          <w:szCs w:val="28"/>
        </w:rPr>
      </w:pPr>
      <w:r w:rsidRPr="005E758A">
        <w:rPr>
          <w:color w:val="000000"/>
          <w:kern w:val="0"/>
          <w:sz w:val="28"/>
          <w:szCs w:val="28"/>
        </w:rPr>
        <w:t>本案當事人</w:t>
      </w:r>
      <w:r w:rsidRPr="005E758A">
        <w:rPr>
          <w:color w:val="000000"/>
          <w:kern w:val="0"/>
          <w:sz w:val="28"/>
          <w:szCs w:val="28"/>
        </w:rPr>
        <w:t xml:space="preserve">Maria </w:t>
      </w:r>
      <w:proofErr w:type="spellStart"/>
      <w:r w:rsidRPr="005E758A">
        <w:rPr>
          <w:color w:val="000000"/>
          <w:kern w:val="0"/>
          <w:sz w:val="28"/>
          <w:szCs w:val="28"/>
        </w:rPr>
        <w:t>Macrena</w:t>
      </w:r>
      <w:proofErr w:type="spellEnd"/>
      <w:r w:rsidRPr="005E758A">
        <w:rPr>
          <w:color w:val="000000"/>
          <w:kern w:val="0"/>
          <w:sz w:val="28"/>
          <w:szCs w:val="28"/>
        </w:rPr>
        <w:t xml:space="preserve"> Gelman </w:t>
      </w:r>
      <w:r w:rsidRPr="005E758A">
        <w:rPr>
          <w:color w:val="000000"/>
          <w:kern w:val="0"/>
          <w:sz w:val="28"/>
          <w:szCs w:val="28"/>
        </w:rPr>
        <w:t>於</w:t>
      </w:r>
      <w:r w:rsidRPr="005E758A">
        <w:rPr>
          <w:color w:val="000000"/>
          <w:kern w:val="0"/>
          <w:sz w:val="28"/>
          <w:szCs w:val="28"/>
        </w:rPr>
        <w:t>1976</w:t>
      </w:r>
      <w:r w:rsidRPr="005E758A">
        <w:rPr>
          <w:color w:val="000000"/>
          <w:kern w:val="0"/>
          <w:sz w:val="28"/>
          <w:szCs w:val="28"/>
        </w:rPr>
        <w:t>年出生於烏拉圭，在一場阿根廷與烏拉圭的聯合軍事行動中，她的阿根廷籍父母在烏拉圭被視為政治犯。據稱</w:t>
      </w:r>
      <w:r w:rsidRPr="005E758A">
        <w:rPr>
          <w:color w:val="000000"/>
          <w:kern w:val="0"/>
          <w:sz w:val="28"/>
          <w:szCs w:val="28"/>
        </w:rPr>
        <w:t>Maria</w:t>
      </w:r>
      <w:r w:rsidRPr="005E758A">
        <w:rPr>
          <w:color w:val="000000"/>
          <w:kern w:val="0"/>
          <w:sz w:val="28"/>
          <w:szCs w:val="28"/>
        </w:rPr>
        <w:t>的父母嗣後被烏拉圭軍隊虐待及殺害，</w:t>
      </w:r>
      <w:r w:rsidRPr="005E758A">
        <w:rPr>
          <w:color w:val="000000"/>
          <w:kern w:val="0"/>
          <w:sz w:val="28"/>
          <w:szCs w:val="28"/>
        </w:rPr>
        <w:t>Maria</w:t>
      </w:r>
      <w:r w:rsidRPr="005E758A">
        <w:rPr>
          <w:color w:val="000000"/>
          <w:kern w:val="0"/>
          <w:sz w:val="28"/>
          <w:szCs w:val="28"/>
        </w:rPr>
        <w:t>則被</w:t>
      </w:r>
      <w:r w:rsidRPr="005E758A">
        <w:rPr>
          <w:sz w:val="28"/>
          <w:szCs w:val="28"/>
        </w:rPr>
        <w:t>烏拉圭</w:t>
      </w:r>
      <w:r w:rsidRPr="005E758A">
        <w:rPr>
          <w:color w:val="000000"/>
          <w:kern w:val="0"/>
          <w:sz w:val="28"/>
          <w:szCs w:val="28"/>
        </w:rPr>
        <w:t>當地某警察收養。</w:t>
      </w:r>
      <w:r w:rsidRPr="005E758A">
        <w:rPr>
          <w:color w:val="000000"/>
          <w:kern w:val="0"/>
          <w:sz w:val="28"/>
          <w:szCs w:val="28"/>
        </w:rPr>
        <w:t>Maria</w:t>
      </w:r>
      <w:r w:rsidRPr="005E758A">
        <w:rPr>
          <w:color w:val="000000"/>
          <w:kern w:val="0"/>
          <w:sz w:val="28"/>
          <w:szCs w:val="28"/>
        </w:rPr>
        <w:t>直到她的祖父數十年後找到她才知道她的真實身分。在知道真相後，她及她的祖父向美洲人權法院控訴烏拉圭政府誘拐她及殺害她的父母。</w:t>
      </w:r>
    </w:p>
    <w:p w14:paraId="05FBF1DE" w14:textId="77777777" w:rsidR="006D112B" w:rsidRPr="005E758A" w:rsidRDefault="006D112B" w:rsidP="006D112B">
      <w:pPr>
        <w:snapToGrid w:val="0"/>
        <w:spacing w:before="100" w:beforeAutospacing="1" w:after="100" w:afterAutospacing="1"/>
        <w:ind w:firstLineChars="200" w:firstLine="560"/>
        <w:jc w:val="both"/>
        <w:rPr>
          <w:color w:val="000000"/>
          <w:kern w:val="0"/>
          <w:sz w:val="28"/>
          <w:szCs w:val="28"/>
        </w:rPr>
      </w:pPr>
      <w:r w:rsidRPr="005E758A">
        <w:rPr>
          <w:color w:val="000000"/>
          <w:kern w:val="0"/>
          <w:sz w:val="28"/>
          <w:szCs w:val="28"/>
        </w:rPr>
        <w:t>法院認為依據該法院對兒童權利公約的解釋，</w:t>
      </w:r>
      <w:r w:rsidRPr="005E758A">
        <w:rPr>
          <w:color w:val="000000"/>
          <w:kern w:val="0"/>
          <w:sz w:val="28"/>
          <w:szCs w:val="28"/>
        </w:rPr>
        <w:t>Maria</w:t>
      </w:r>
      <w:r w:rsidRPr="005E758A">
        <w:rPr>
          <w:color w:val="000000"/>
          <w:kern w:val="0"/>
          <w:sz w:val="28"/>
          <w:szCs w:val="28"/>
        </w:rPr>
        <w:t>作為兒童，應該在美洲人權公約下受到特別保護，特別是烏拉圭政府藉由將</w:t>
      </w:r>
      <w:r w:rsidRPr="005E758A">
        <w:rPr>
          <w:color w:val="000000"/>
          <w:kern w:val="0"/>
          <w:sz w:val="28"/>
          <w:szCs w:val="28"/>
        </w:rPr>
        <w:t>Maria</w:t>
      </w:r>
      <w:r w:rsidRPr="005E758A">
        <w:rPr>
          <w:color w:val="000000"/>
          <w:kern w:val="0"/>
          <w:sz w:val="28"/>
          <w:szCs w:val="28"/>
        </w:rPr>
        <w:t>的母親遣送出阿根廷，阻止</w:t>
      </w:r>
      <w:r w:rsidRPr="005E758A">
        <w:rPr>
          <w:color w:val="000000"/>
          <w:kern w:val="0"/>
          <w:sz w:val="28"/>
          <w:szCs w:val="28"/>
        </w:rPr>
        <w:t>Maria</w:t>
      </w:r>
      <w:r w:rsidRPr="005E758A">
        <w:rPr>
          <w:color w:val="000000"/>
          <w:kern w:val="0"/>
          <w:sz w:val="28"/>
          <w:szCs w:val="28"/>
        </w:rPr>
        <w:t>與她的父母發展關係，並隱瞞她的真實身分，侵犯了兒童權利公約第</w:t>
      </w:r>
      <w:r w:rsidRPr="005E758A">
        <w:rPr>
          <w:color w:val="000000"/>
          <w:kern w:val="0"/>
          <w:sz w:val="28"/>
          <w:szCs w:val="28"/>
        </w:rPr>
        <w:t>7</w:t>
      </w:r>
      <w:r w:rsidRPr="005E758A">
        <w:rPr>
          <w:color w:val="000000"/>
          <w:kern w:val="0"/>
          <w:sz w:val="28"/>
          <w:szCs w:val="28"/>
        </w:rPr>
        <w:t>條、第</w:t>
      </w:r>
      <w:r w:rsidRPr="005E758A">
        <w:rPr>
          <w:color w:val="000000"/>
          <w:kern w:val="0"/>
          <w:sz w:val="28"/>
          <w:szCs w:val="28"/>
        </w:rPr>
        <w:t>8</w:t>
      </w:r>
      <w:r w:rsidRPr="005E758A">
        <w:rPr>
          <w:color w:val="000000"/>
          <w:kern w:val="0"/>
          <w:sz w:val="28"/>
          <w:szCs w:val="28"/>
        </w:rPr>
        <w:t>條及第</w:t>
      </w:r>
      <w:r w:rsidRPr="005E758A">
        <w:rPr>
          <w:color w:val="000000"/>
          <w:kern w:val="0"/>
          <w:sz w:val="28"/>
          <w:szCs w:val="28"/>
        </w:rPr>
        <w:t>9</w:t>
      </w:r>
      <w:r w:rsidRPr="005E758A">
        <w:rPr>
          <w:color w:val="000000"/>
          <w:kern w:val="0"/>
          <w:sz w:val="28"/>
          <w:szCs w:val="28"/>
        </w:rPr>
        <w:t>條賦予的兒童的身分權、國籍權及家庭關係發展權利。美洲人權法院判決</w:t>
      </w:r>
      <w:r w:rsidRPr="005E758A">
        <w:rPr>
          <w:color w:val="000000"/>
          <w:kern w:val="0"/>
          <w:sz w:val="28"/>
          <w:szCs w:val="28"/>
        </w:rPr>
        <w:t>Maria</w:t>
      </w:r>
      <w:r w:rsidRPr="005E758A">
        <w:rPr>
          <w:color w:val="000000"/>
          <w:kern w:val="0"/>
          <w:sz w:val="28"/>
          <w:szCs w:val="28"/>
        </w:rPr>
        <w:t>勝訴。</w:t>
      </w:r>
    </w:p>
    <w:p w14:paraId="2D7A9037" w14:textId="77777777" w:rsidR="006D112B" w:rsidRPr="005E758A" w:rsidRDefault="006D112B" w:rsidP="006D112B">
      <w:pPr>
        <w:pStyle w:val="2"/>
      </w:pPr>
      <w:r w:rsidRPr="005E758A">
        <w:t>綜合分析</w:t>
      </w:r>
    </w:p>
    <w:p w14:paraId="51FB5B28" w14:textId="77777777" w:rsidR="006D112B" w:rsidRPr="005E758A" w:rsidRDefault="006D112B" w:rsidP="006D112B">
      <w:pPr>
        <w:snapToGrid w:val="0"/>
        <w:spacing w:before="100" w:beforeAutospacing="1" w:after="100" w:afterAutospacing="1"/>
        <w:ind w:firstLineChars="200" w:firstLine="560"/>
        <w:jc w:val="both"/>
        <w:rPr>
          <w:sz w:val="28"/>
          <w:szCs w:val="28"/>
        </w:rPr>
      </w:pPr>
      <w:r w:rsidRPr="005E758A">
        <w:rPr>
          <w:sz w:val="28"/>
          <w:szCs w:val="28"/>
        </w:rPr>
        <w:t>國際社會關於兒童被略</w:t>
      </w:r>
      <w:proofErr w:type="gramStart"/>
      <w:r w:rsidRPr="005E758A">
        <w:rPr>
          <w:sz w:val="28"/>
          <w:szCs w:val="28"/>
        </w:rPr>
        <w:t>誘</w:t>
      </w:r>
      <w:proofErr w:type="gramEnd"/>
      <w:r w:rsidRPr="005E758A">
        <w:rPr>
          <w:sz w:val="28"/>
          <w:szCs w:val="28"/>
        </w:rPr>
        <w:t>出國的情形並非顯見。略</w:t>
      </w:r>
      <w:proofErr w:type="gramStart"/>
      <w:r w:rsidRPr="005E758A">
        <w:rPr>
          <w:sz w:val="28"/>
          <w:szCs w:val="28"/>
        </w:rPr>
        <w:t>誘</w:t>
      </w:r>
      <w:proofErr w:type="gramEnd"/>
      <w:r w:rsidRPr="005E758A">
        <w:rPr>
          <w:sz w:val="28"/>
          <w:szCs w:val="28"/>
        </w:rPr>
        <w:t>兒童出境往往係以合法的收養名義為偽裝，甚難被發現。此種將兒童帶至陌生國度，並由</w:t>
      </w:r>
      <w:r w:rsidRPr="005E758A">
        <w:rPr>
          <w:color w:val="000000"/>
          <w:kern w:val="0"/>
          <w:sz w:val="28"/>
          <w:szCs w:val="28"/>
        </w:rPr>
        <w:t>陌生</w:t>
      </w:r>
      <w:r w:rsidRPr="005E758A">
        <w:rPr>
          <w:sz w:val="28"/>
          <w:szCs w:val="28"/>
        </w:rPr>
        <w:t>之成年人養育之情形嚴重侵犯兒童與父母相處及發展關係的權利，對其成長，有極嚴重的負面效果。</w:t>
      </w:r>
      <w:r w:rsidRPr="005E758A">
        <w:rPr>
          <w:sz w:val="28"/>
          <w:szCs w:val="28"/>
        </w:rPr>
        <w:t>1980</w:t>
      </w:r>
      <w:r w:rsidRPr="005E758A">
        <w:rPr>
          <w:sz w:val="28"/>
          <w:szCs w:val="28"/>
        </w:rPr>
        <w:t>年的國際兒童略</w:t>
      </w:r>
      <w:proofErr w:type="gramStart"/>
      <w:r w:rsidRPr="005E758A">
        <w:rPr>
          <w:sz w:val="28"/>
          <w:szCs w:val="28"/>
        </w:rPr>
        <w:t>誘</w:t>
      </w:r>
      <w:proofErr w:type="gramEnd"/>
      <w:r w:rsidRPr="005E758A">
        <w:rPr>
          <w:sz w:val="28"/>
          <w:szCs w:val="28"/>
        </w:rPr>
        <w:t>公約即是針對此種現象而做之規範。故本條在適用時，應同時注意該公約所樹立的原則及精神。</w:t>
      </w:r>
    </w:p>
    <w:p w14:paraId="32E4EAD1" w14:textId="77777777" w:rsidR="006D112B" w:rsidRPr="005E758A" w:rsidRDefault="006D112B" w:rsidP="006D112B">
      <w:pPr>
        <w:pStyle w:val="2"/>
      </w:pPr>
      <w:r w:rsidRPr="005E758A">
        <w:t>參考資料</w:t>
      </w:r>
    </w:p>
    <w:p w14:paraId="1311333D" w14:textId="77777777" w:rsidR="006D112B" w:rsidRPr="005E758A" w:rsidRDefault="006D112B" w:rsidP="00F02A5C">
      <w:pPr>
        <w:pStyle w:val="a0"/>
        <w:numPr>
          <w:ilvl w:val="0"/>
          <w:numId w:val="140"/>
        </w:numPr>
        <w:snapToGrid w:val="0"/>
        <w:ind w:leftChars="0"/>
        <w:jc w:val="both"/>
        <w:rPr>
          <w:rFonts w:ascii="Times New Roman" w:eastAsia="標楷體" w:hAnsi="Times New Roman"/>
          <w:sz w:val="28"/>
          <w:szCs w:val="28"/>
        </w:rPr>
      </w:pPr>
      <w:r w:rsidRPr="005E758A">
        <w:rPr>
          <w:rFonts w:ascii="Times New Roman" w:eastAsia="標楷體" w:hAnsi="Times New Roman"/>
          <w:smallCaps/>
          <w:sz w:val="28"/>
          <w:szCs w:val="28"/>
        </w:rPr>
        <w:t>UNICEF, Implementation Handbook for the Convention on the Rights of the Child</w:t>
      </w:r>
      <w:r w:rsidRPr="005E758A">
        <w:rPr>
          <w:rFonts w:ascii="Times New Roman" w:eastAsia="標楷體" w:hAnsi="Times New Roman"/>
          <w:sz w:val="28"/>
          <w:szCs w:val="28"/>
        </w:rPr>
        <w:t xml:space="preserve"> (3d ed. 2007).</w:t>
      </w:r>
    </w:p>
    <w:p w14:paraId="15E76070" w14:textId="77777777" w:rsidR="006D112B" w:rsidRPr="005E758A" w:rsidRDefault="006D112B" w:rsidP="006D112B">
      <w:pPr>
        <w:snapToGrid w:val="0"/>
        <w:rPr>
          <w:sz w:val="28"/>
          <w:szCs w:val="28"/>
        </w:rPr>
      </w:pPr>
    </w:p>
    <w:p w14:paraId="686B61C8" w14:textId="77777777" w:rsidR="006D112B" w:rsidRPr="005E758A" w:rsidRDefault="006D112B" w:rsidP="006D112B">
      <w:pPr>
        <w:snapToGrid w:val="0"/>
        <w:rPr>
          <w:sz w:val="28"/>
          <w:szCs w:val="28"/>
        </w:rPr>
      </w:pPr>
      <w:r w:rsidRPr="005E758A">
        <w:rPr>
          <w:sz w:val="28"/>
          <w:szCs w:val="28"/>
        </w:rPr>
        <w:t>關鍵字：身分權、國籍權、非法移送、誘拐</w:t>
      </w:r>
    </w:p>
    <w:p w14:paraId="7A931F3A" w14:textId="77777777" w:rsidR="006D112B" w:rsidRPr="005E758A" w:rsidRDefault="006D112B" w:rsidP="006D112B"/>
    <w:p w14:paraId="7921F1A6" w14:textId="77777777" w:rsidR="003B0705" w:rsidRPr="005E758A" w:rsidRDefault="003B0705" w:rsidP="003B0705">
      <w:pPr>
        <w:pStyle w:val="1"/>
        <w:sectPr w:rsidR="003B0705" w:rsidRPr="005E758A" w:rsidSect="00135FC9">
          <w:footnotePr>
            <w:numRestart w:val="eachSect"/>
          </w:footnotePr>
          <w:endnotePr>
            <w:numFmt w:val="decimal"/>
            <w:numRestart w:val="eachSect"/>
          </w:endnotePr>
          <w:pgSz w:w="11906" w:h="16838"/>
          <w:pgMar w:top="1440" w:right="1797" w:bottom="1440" w:left="1797" w:header="851" w:footer="992" w:gutter="0"/>
          <w:cols w:space="425"/>
          <w:docGrid w:linePitch="360"/>
        </w:sectPr>
      </w:pPr>
    </w:p>
    <w:p w14:paraId="264057A1" w14:textId="77777777" w:rsidR="00FC32F0" w:rsidRDefault="00FC32F0" w:rsidP="00FC32F0">
      <w:pPr>
        <w:pStyle w:val="1"/>
        <w:rPr>
          <w:szCs w:val="28"/>
        </w:rPr>
      </w:pPr>
      <w:bookmarkStart w:id="37" w:name="_Toc431072728"/>
      <w:bookmarkEnd w:id="22"/>
      <w:r w:rsidRPr="005E758A">
        <w:lastRenderedPageBreak/>
        <w:t>第</w:t>
      </w:r>
      <w:r w:rsidRPr="005E758A">
        <w:t>12</w:t>
      </w:r>
      <w:r w:rsidRPr="005E758A">
        <w:t>條</w:t>
      </w:r>
      <w:r>
        <w:rPr>
          <w:rFonts w:hint="eastAsia"/>
        </w:rPr>
        <w:t xml:space="preserve">　尊重兒童意見</w:t>
      </w:r>
      <w:bookmarkEnd w:id="37"/>
    </w:p>
    <w:tbl>
      <w:tblPr>
        <w:tblW w:w="82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8220"/>
      </w:tblGrid>
      <w:tr w:rsidR="00FC32F0" w:rsidRPr="005E758A" w14:paraId="705DDDD2" w14:textId="77777777" w:rsidTr="00FC32F0">
        <w:trPr>
          <w:jc w:val="center"/>
        </w:trPr>
        <w:tc>
          <w:tcPr>
            <w:tcW w:w="8220" w:type="dxa"/>
          </w:tcPr>
          <w:p w14:paraId="0D6E8BBD" w14:textId="77777777" w:rsidR="00FC32F0" w:rsidRPr="005E758A" w:rsidRDefault="00FC32F0" w:rsidP="002B035C">
            <w:pPr>
              <w:pStyle w:val="a0"/>
              <w:numPr>
                <w:ilvl w:val="0"/>
                <w:numId w:val="24"/>
              </w:numPr>
              <w:snapToGrid w:val="0"/>
              <w:spacing w:before="100" w:beforeAutospacing="1" w:after="100" w:afterAutospacing="1" w:line="0" w:lineRule="atLeast"/>
              <w:ind w:leftChars="0" w:left="357" w:hanging="357"/>
              <w:jc w:val="both"/>
              <w:rPr>
                <w:rFonts w:ascii="Times New Roman" w:eastAsia="標楷體" w:hAnsi="Times New Roman"/>
                <w:sz w:val="28"/>
                <w:szCs w:val="28"/>
              </w:rPr>
            </w:pPr>
            <w:r w:rsidRPr="005E758A">
              <w:rPr>
                <w:rFonts w:ascii="Times New Roman" w:eastAsia="標楷體" w:hAnsi="Times New Roman"/>
                <w:sz w:val="28"/>
                <w:szCs w:val="28"/>
              </w:rPr>
              <w:t>締約國應確保有形成其自己意見能力之兒童有權就影響其本身之所有事物自由表示其意見，其所表示之意見應依其年齡及成熟度予以權衡。</w:t>
            </w:r>
          </w:p>
          <w:p w14:paraId="64F399BD" w14:textId="77777777" w:rsidR="00FC32F0" w:rsidRPr="005E758A" w:rsidRDefault="00FC32F0" w:rsidP="002B035C">
            <w:pPr>
              <w:pStyle w:val="a0"/>
              <w:numPr>
                <w:ilvl w:val="0"/>
                <w:numId w:val="24"/>
              </w:numPr>
              <w:snapToGrid w:val="0"/>
              <w:spacing w:before="100" w:beforeAutospacing="1" w:after="100" w:afterAutospacing="1" w:line="0" w:lineRule="atLeast"/>
              <w:ind w:leftChars="0" w:left="357" w:hanging="357"/>
              <w:jc w:val="both"/>
              <w:rPr>
                <w:rFonts w:ascii="Times New Roman" w:eastAsia="標楷體" w:hAnsi="Times New Roman"/>
                <w:sz w:val="28"/>
                <w:szCs w:val="28"/>
              </w:rPr>
            </w:pPr>
            <w:r w:rsidRPr="005E758A">
              <w:rPr>
                <w:rFonts w:ascii="Times New Roman" w:eastAsia="標楷體" w:hAnsi="Times New Roman"/>
                <w:sz w:val="28"/>
                <w:szCs w:val="28"/>
              </w:rPr>
              <w:t>據此，應特別給予兒童在對自己有影響之司法及行政程序中，能夠依照國家法律之程序規定，由其本人直接或透過代表或適當之組織，表達意見之機會。</w:t>
            </w:r>
          </w:p>
        </w:tc>
      </w:tr>
    </w:tbl>
    <w:p w14:paraId="5C13AC49" w14:textId="77777777" w:rsidR="00FC32F0" w:rsidRDefault="00FC32F0" w:rsidP="00FC32F0">
      <w:pPr>
        <w:snapToGrid w:val="0"/>
        <w:spacing w:before="100" w:beforeAutospacing="1" w:after="100" w:afterAutospacing="1" w:line="0" w:lineRule="atLeast"/>
        <w:jc w:val="both"/>
        <w:rPr>
          <w:szCs w:val="28"/>
        </w:rPr>
      </w:pPr>
    </w:p>
    <w:p w14:paraId="79C5550B" w14:textId="77777777" w:rsidR="0096212B" w:rsidRPr="005E758A" w:rsidRDefault="0096212B" w:rsidP="007119F4">
      <w:pPr>
        <w:pStyle w:val="2"/>
        <w:numPr>
          <w:ilvl w:val="0"/>
          <w:numId w:val="36"/>
        </w:numPr>
        <w:spacing w:line="0" w:lineRule="atLeast"/>
        <w:rPr>
          <w:szCs w:val="28"/>
        </w:rPr>
      </w:pPr>
      <w:r w:rsidRPr="005E758A">
        <w:rPr>
          <w:szCs w:val="28"/>
        </w:rPr>
        <w:t>規範宗旨</w:t>
      </w:r>
    </w:p>
    <w:p w14:paraId="225C6FBF" w14:textId="77777777" w:rsidR="000424AB" w:rsidRPr="005E758A" w:rsidRDefault="0096212B" w:rsidP="00490C95">
      <w:pPr>
        <w:snapToGrid w:val="0"/>
        <w:spacing w:before="100" w:beforeAutospacing="1" w:after="100" w:afterAutospacing="1" w:line="0" w:lineRule="atLeast"/>
        <w:ind w:firstLineChars="200" w:firstLine="560"/>
        <w:jc w:val="both"/>
        <w:rPr>
          <w:sz w:val="28"/>
          <w:szCs w:val="28"/>
        </w:rPr>
      </w:pPr>
      <w:r w:rsidRPr="005E758A">
        <w:rPr>
          <w:sz w:val="28"/>
          <w:szCs w:val="28"/>
        </w:rPr>
        <w:t>公約下的表意權體現於兩個不同的條文中：第</w:t>
      </w:r>
      <w:r w:rsidRPr="005E758A">
        <w:rPr>
          <w:sz w:val="28"/>
          <w:szCs w:val="28"/>
        </w:rPr>
        <w:t>12</w:t>
      </w:r>
      <w:r w:rsidRPr="005E758A">
        <w:rPr>
          <w:sz w:val="28"/>
          <w:szCs w:val="28"/>
        </w:rPr>
        <w:t>條及第</w:t>
      </w:r>
      <w:r w:rsidRPr="005E758A">
        <w:rPr>
          <w:sz w:val="28"/>
          <w:szCs w:val="28"/>
        </w:rPr>
        <w:t>13</w:t>
      </w:r>
      <w:r w:rsidRPr="005E758A">
        <w:rPr>
          <w:sz w:val="28"/>
          <w:szCs w:val="28"/>
        </w:rPr>
        <w:t>條。第</w:t>
      </w:r>
      <w:r w:rsidRPr="005E758A">
        <w:rPr>
          <w:sz w:val="28"/>
          <w:szCs w:val="28"/>
        </w:rPr>
        <w:t>12</w:t>
      </w:r>
      <w:r w:rsidRPr="005E758A">
        <w:rPr>
          <w:sz w:val="28"/>
          <w:szCs w:val="28"/>
        </w:rPr>
        <w:t>條第</w:t>
      </w:r>
      <w:r w:rsidRPr="005E758A">
        <w:rPr>
          <w:sz w:val="28"/>
          <w:szCs w:val="28"/>
        </w:rPr>
        <w:t>1</w:t>
      </w:r>
      <w:r w:rsidRPr="005E758A">
        <w:rPr>
          <w:sz w:val="28"/>
          <w:szCs w:val="28"/>
        </w:rPr>
        <w:t>項要求締約國確保兒童就與自身相關事項有表示意見的權利，且其意見應被納入考量，而此項權利的落實並能增進兒童針對與其相關事務的判斷能力，促進公約前言所揭示「充分培養兒童使其可在社會上獨立生活」的目的。兒童權利委員會將第</w:t>
      </w:r>
      <w:r w:rsidRPr="005E758A">
        <w:rPr>
          <w:sz w:val="28"/>
          <w:szCs w:val="28"/>
        </w:rPr>
        <w:t>12</w:t>
      </w:r>
      <w:r w:rsidRPr="005E758A">
        <w:rPr>
          <w:sz w:val="28"/>
          <w:szCs w:val="28"/>
        </w:rPr>
        <w:t>條列為公約四項基本原則之一，換而言之，締約國在詮釋及保障公約中其他權利時，亦需考量此條規範</w:t>
      </w:r>
      <w:bookmarkStart w:id="38" w:name="_Ref422440553"/>
      <w:r w:rsidR="000424AB" w:rsidRPr="005E758A">
        <w:rPr>
          <w:rStyle w:val="af3"/>
          <w:sz w:val="28"/>
          <w:szCs w:val="28"/>
        </w:rPr>
        <w:endnoteReference w:id="144"/>
      </w:r>
      <w:bookmarkEnd w:id="38"/>
      <w:r w:rsidR="000424AB" w:rsidRPr="005E758A">
        <w:rPr>
          <w:sz w:val="28"/>
          <w:szCs w:val="28"/>
        </w:rPr>
        <w:t>。這項要求經常透過兒童「參與」各項相關事務及決策過程落實，而所謂「參與」，並非短暫的、臨時的參與，而係應與成人展開實質的對話</w:t>
      </w:r>
      <w:r w:rsidR="000424AB" w:rsidRPr="005E758A">
        <w:rPr>
          <w:rStyle w:val="af3"/>
          <w:sz w:val="28"/>
          <w:szCs w:val="28"/>
        </w:rPr>
        <w:endnoteReference w:id="145"/>
      </w:r>
      <w:r w:rsidR="000424AB" w:rsidRPr="005E758A">
        <w:rPr>
          <w:sz w:val="28"/>
          <w:szCs w:val="28"/>
        </w:rPr>
        <w:t>。</w:t>
      </w:r>
    </w:p>
    <w:p w14:paraId="4F37C9D4" w14:textId="77777777" w:rsidR="000424AB" w:rsidRPr="005E758A" w:rsidRDefault="000424AB" w:rsidP="00490C95">
      <w:pPr>
        <w:pStyle w:val="2"/>
        <w:spacing w:line="0" w:lineRule="atLeast"/>
        <w:rPr>
          <w:szCs w:val="28"/>
        </w:rPr>
      </w:pPr>
      <w:r w:rsidRPr="005E758A">
        <w:rPr>
          <w:szCs w:val="28"/>
        </w:rPr>
        <w:t>條文</w:t>
      </w:r>
      <w:r w:rsidR="00745DE3" w:rsidRPr="005E758A">
        <w:rPr>
          <w:szCs w:val="28"/>
        </w:rPr>
        <w:t>要</w:t>
      </w:r>
      <w:r w:rsidRPr="005E758A">
        <w:rPr>
          <w:szCs w:val="28"/>
        </w:rPr>
        <w:t>義</w:t>
      </w:r>
    </w:p>
    <w:p w14:paraId="2A46A2E2" w14:textId="77777777" w:rsidR="000424AB" w:rsidRPr="005E758A" w:rsidRDefault="000424AB" w:rsidP="007119F4">
      <w:pPr>
        <w:pStyle w:val="3"/>
        <w:numPr>
          <w:ilvl w:val="0"/>
          <w:numId w:val="42"/>
        </w:numPr>
        <w:spacing w:line="0" w:lineRule="atLeast"/>
        <w:rPr>
          <w:szCs w:val="28"/>
        </w:rPr>
      </w:pPr>
      <w:r w:rsidRPr="005E758A">
        <w:rPr>
          <w:szCs w:val="28"/>
        </w:rPr>
        <w:t>第</w:t>
      </w:r>
      <w:r w:rsidRPr="005E758A">
        <w:rPr>
          <w:szCs w:val="28"/>
        </w:rPr>
        <w:t>12</w:t>
      </w:r>
      <w:r w:rsidRPr="005E758A">
        <w:rPr>
          <w:szCs w:val="28"/>
        </w:rPr>
        <w:t>條第</w:t>
      </w:r>
      <w:r w:rsidRPr="005E758A">
        <w:rPr>
          <w:szCs w:val="28"/>
        </w:rPr>
        <w:t>1</w:t>
      </w:r>
      <w:r w:rsidRPr="005E758A">
        <w:rPr>
          <w:szCs w:val="28"/>
        </w:rPr>
        <w:t>項</w:t>
      </w:r>
    </w:p>
    <w:p w14:paraId="72E37BE9" w14:textId="77777777" w:rsidR="000424AB" w:rsidRPr="005E758A" w:rsidRDefault="000424AB" w:rsidP="00490C95">
      <w:pPr>
        <w:pStyle w:val="4"/>
        <w:numPr>
          <w:ilvl w:val="0"/>
          <w:numId w:val="6"/>
        </w:numPr>
        <w:spacing w:line="0" w:lineRule="atLeast"/>
        <w:ind w:left="1315" w:hanging="357"/>
        <w:rPr>
          <w:szCs w:val="28"/>
        </w:rPr>
      </w:pPr>
      <w:r w:rsidRPr="005E758A">
        <w:rPr>
          <w:szCs w:val="28"/>
        </w:rPr>
        <w:t>「締約國應確保有形成其自己意見能力之兒童有權就影響其本身之所有事物自由表示其意見」</w:t>
      </w:r>
    </w:p>
    <w:p w14:paraId="1C15823F" w14:textId="77777777" w:rsidR="000424AB" w:rsidRPr="005E758A" w:rsidRDefault="008435F4" w:rsidP="00490C95">
      <w:pPr>
        <w:snapToGrid w:val="0"/>
        <w:spacing w:before="100" w:beforeAutospacing="1" w:after="100" w:afterAutospacing="1" w:line="0" w:lineRule="atLeast"/>
        <w:ind w:firstLineChars="200" w:firstLine="560"/>
        <w:jc w:val="both"/>
        <w:rPr>
          <w:sz w:val="28"/>
          <w:szCs w:val="28"/>
        </w:rPr>
      </w:pPr>
      <w:r w:rsidRPr="005E758A">
        <w:rPr>
          <w:sz w:val="28"/>
          <w:szCs w:val="28"/>
        </w:rPr>
        <w:t>兒童</w:t>
      </w:r>
      <w:r w:rsidR="000424AB" w:rsidRPr="005E758A">
        <w:rPr>
          <w:sz w:val="28"/>
          <w:szCs w:val="28"/>
        </w:rPr>
        <w:t>權利委員會於第</w:t>
      </w:r>
      <w:r w:rsidR="000424AB" w:rsidRPr="005E758A">
        <w:rPr>
          <w:sz w:val="28"/>
          <w:szCs w:val="28"/>
        </w:rPr>
        <w:t>12</w:t>
      </w:r>
      <w:r w:rsidRPr="005E758A">
        <w:rPr>
          <w:sz w:val="28"/>
          <w:szCs w:val="28"/>
        </w:rPr>
        <w:t>號一般性意見中明確指出「應確保」的用語顯示本</w:t>
      </w:r>
      <w:r w:rsidR="000424AB" w:rsidRPr="005E758A">
        <w:rPr>
          <w:sz w:val="28"/>
          <w:szCs w:val="28"/>
        </w:rPr>
        <w:t>條規定的義務強度及其特殊效力，這樣的規定同時顯示締約國需要全力執行，而沒有自行裁量是否保障此項權利的空間</w:t>
      </w:r>
      <w:r w:rsidR="000424AB" w:rsidRPr="005E758A">
        <w:rPr>
          <w:rStyle w:val="af3"/>
          <w:sz w:val="28"/>
          <w:szCs w:val="28"/>
        </w:rPr>
        <w:endnoteReference w:id="146"/>
      </w:r>
      <w:r w:rsidR="000424AB" w:rsidRPr="005E758A">
        <w:rPr>
          <w:sz w:val="28"/>
          <w:szCs w:val="28"/>
        </w:rPr>
        <w:t>。而此項義務保護的主體為「有能夠形成自己的意見能力之兒童」，兒童權利委員會認為這樣的規定表示締約國不得推定兒童沒有形成自己的意見之能力或要求兒童證明這項能力，而是應該假設有這項能力，而進而以能力程度判斷權衡採納</w:t>
      </w:r>
      <w:r w:rsidR="000424AB" w:rsidRPr="005E758A">
        <w:rPr>
          <w:rStyle w:val="af3"/>
          <w:sz w:val="28"/>
          <w:szCs w:val="28"/>
        </w:rPr>
        <w:endnoteReference w:id="147"/>
      </w:r>
      <w:r w:rsidR="000424AB" w:rsidRPr="005E758A">
        <w:rPr>
          <w:sz w:val="28"/>
          <w:szCs w:val="28"/>
        </w:rPr>
        <w:t>。在落實此項權利時，締約國應該避免訂定年齡資格限制，且有義務確保有表達意見困難的兒童</w:t>
      </w:r>
      <w:proofErr w:type="gramStart"/>
      <w:r w:rsidR="000424AB" w:rsidRPr="005E758A">
        <w:rPr>
          <w:sz w:val="28"/>
          <w:szCs w:val="28"/>
        </w:rPr>
        <w:t>（</w:t>
      </w:r>
      <w:proofErr w:type="gramEnd"/>
      <w:r w:rsidR="000424AB" w:rsidRPr="005E758A">
        <w:rPr>
          <w:sz w:val="28"/>
          <w:szCs w:val="28"/>
        </w:rPr>
        <w:t>例如：身障兒童</w:t>
      </w:r>
      <w:proofErr w:type="gramStart"/>
      <w:r w:rsidR="000424AB" w:rsidRPr="005E758A">
        <w:rPr>
          <w:sz w:val="28"/>
          <w:szCs w:val="28"/>
        </w:rPr>
        <w:t>）</w:t>
      </w:r>
      <w:proofErr w:type="gramEnd"/>
      <w:r w:rsidR="000424AB" w:rsidRPr="005E758A">
        <w:rPr>
          <w:sz w:val="28"/>
          <w:szCs w:val="28"/>
        </w:rPr>
        <w:t>亦能享有此項權利，締約國同時也需要全盤考量實踐這項權</w:t>
      </w:r>
      <w:r w:rsidR="000424AB" w:rsidRPr="005E758A">
        <w:rPr>
          <w:sz w:val="28"/>
          <w:szCs w:val="28"/>
        </w:rPr>
        <w:lastRenderedPageBreak/>
        <w:t>利後的可能產生的負面影響，尤其在涉及年幼兒童以及犯罪、性侵害、暴力等不當待遇之兒童的狀況下，締約國應採取一切手段確保全面保護兒童</w:t>
      </w:r>
      <w:r w:rsidR="000424AB" w:rsidRPr="005E758A">
        <w:rPr>
          <w:rStyle w:val="af3"/>
          <w:sz w:val="28"/>
          <w:szCs w:val="28"/>
        </w:rPr>
        <w:endnoteReference w:id="148"/>
      </w:r>
      <w:r w:rsidR="000424AB" w:rsidRPr="005E758A">
        <w:rPr>
          <w:sz w:val="28"/>
          <w:szCs w:val="28"/>
        </w:rPr>
        <w:t>。</w:t>
      </w:r>
    </w:p>
    <w:p w14:paraId="0032743F" w14:textId="77777777" w:rsidR="000424AB" w:rsidRPr="005E758A" w:rsidRDefault="000424AB" w:rsidP="00490C95">
      <w:pPr>
        <w:snapToGrid w:val="0"/>
        <w:spacing w:before="100" w:beforeAutospacing="1" w:after="100" w:afterAutospacing="1" w:line="0" w:lineRule="atLeast"/>
        <w:ind w:firstLineChars="200" w:firstLine="560"/>
        <w:jc w:val="both"/>
        <w:rPr>
          <w:sz w:val="28"/>
          <w:szCs w:val="28"/>
        </w:rPr>
      </w:pPr>
      <w:r w:rsidRPr="005E758A">
        <w:rPr>
          <w:sz w:val="28"/>
          <w:szCs w:val="28"/>
        </w:rPr>
        <w:t>本條中所指「</w:t>
      </w:r>
      <w:r w:rsidR="00090AC1" w:rsidRPr="005E758A">
        <w:rPr>
          <w:sz w:val="28"/>
          <w:szCs w:val="28"/>
        </w:rPr>
        <w:t>影響其本身之所有事物」應該做廣義的詮釋，使得</w:t>
      </w:r>
      <w:r w:rsidRPr="005E758A">
        <w:rPr>
          <w:sz w:val="28"/>
          <w:szCs w:val="28"/>
        </w:rPr>
        <w:t>兒童更能融入所屬社會及社區的進步與發展</w:t>
      </w:r>
      <w:r w:rsidRPr="005E758A">
        <w:rPr>
          <w:rStyle w:val="af3"/>
          <w:sz w:val="28"/>
          <w:szCs w:val="28"/>
        </w:rPr>
        <w:endnoteReference w:id="149"/>
      </w:r>
      <w:r w:rsidRPr="005E758A">
        <w:rPr>
          <w:sz w:val="28"/>
          <w:szCs w:val="28"/>
        </w:rPr>
        <w:t>，兒童權利委員會並要求締約國提高兒童於家庭、社區、學校及其他社會機構或制度之參與程度</w:t>
      </w:r>
      <w:bookmarkStart w:id="39" w:name="_Ref422480343"/>
      <w:r w:rsidRPr="005E758A">
        <w:rPr>
          <w:rStyle w:val="af3"/>
          <w:sz w:val="28"/>
          <w:szCs w:val="28"/>
        </w:rPr>
        <w:endnoteReference w:id="150"/>
      </w:r>
      <w:bookmarkEnd w:id="39"/>
      <w:r w:rsidRPr="005E758A">
        <w:rPr>
          <w:sz w:val="28"/>
          <w:szCs w:val="28"/>
        </w:rPr>
        <w:t>。而締約國應讓兒童「自由表示其意見」的義務包括應該</w:t>
      </w:r>
      <w:r w:rsidR="00090AC1" w:rsidRPr="005E758A">
        <w:rPr>
          <w:sz w:val="28"/>
          <w:szCs w:val="28"/>
        </w:rPr>
        <w:t>讓</w:t>
      </w:r>
      <w:r w:rsidR="008435F4" w:rsidRPr="005E758A">
        <w:rPr>
          <w:sz w:val="28"/>
          <w:szCs w:val="28"/>
        </w:rPr>
        <w:t>兒童選擇是否表達其意見，若要表達意見則應該不受任何形式的壓力。</w:t>
      </w:r>
      <w:r w:rsidRPr="005E758A">
        <w:rPr>
          <w:sz w:val="28"/>
          <w:szCs w:val="28"/>
        </w:rPr>
        <w:t>締約國應該要營造讓兒童感覺到安全且被尊重的環境，並且提供兒童</w:t>
      </w:r>
      <w:r w:rsidR="008435F4" w:rsidRPr="005E758A">
        <w:rPr>
          <w:sz w:val="28"/>
          <w:szCs w:val="28"/>
        </w:rPr>
        <w:t>足夠的資訊，以便兒童</w:t>
      </w:r>
      <w:proofErr w:type="gramStart"/>
      <w:r w:rsidRPr="005E758A">
        <w:rPr>
          <w:sz w:val="28"/>
          <w:szCs w:val="28"/>
        </w:rPr>
        <w:t>清楚的</w:t>
      </w:r>
      <w:proofErr w:type="gramEnd"/>
      <w:r w:rsidRPr="005E758A">
        <w:rPr>
          <w:sz w:val="28"/>
          <w:szCs w:val="28"/>
        </w:rPr>
        <w:t>表達意見</w:t>
      </w:r>
      <w:r w:rsidRPr="005E758A">
        <w:rPr>
          <w:rStyle w:val="af3"/>
          <w:sz w:val="28"/>
          <w:szCs w:val="28"/>
        </w:rPr>
        <w:endnoteReference w:id="151"/>
      </w:r>
      <w:r w:rsidRPr="005E758A">
        <w:rPr>
          <w:sz w:val="28"/>
          <w:szCs w:val="28"/>
        </w:rPr>
        <w:t>。</w:t>
      </w:r>
    </w:p>
    <w:p w14:paraId="2AA241B2" w14:textId="77777777" w:rsidR="000424AB" w:rsidRPr="005E758A" w:rsidRDefault="000424AB" w:rsidP="00490C95">
      <w:pPr>
        <w:pStyle w:val="4"/>
        <w:numPr>
          <w:ilvl w:val="0"/>
          <w:numId w:val="6"/>
        </w:numPr>
        <w:spacing w:line="0" w:lineRule="atLeast"/>
        <w:ind w:left="1315" w:hanging="357"/>
        <w:rPr>
          <w:szCs w:val="28"/>
        </w:rPr>
      </w:pPr>
      <w:r w:rsidRPr="005E758A">
        <w:rPr>
          <w:szCs w:val="28"/>
        </w:rPr>
        <w:t>「其所表示之意見應依其年齡及成熟度予以權衡」</w:t>
      </w:r>
    </w:p>
    <w:p w14:paraId="2DBF14F8" w14:textId="77777777" w:rsidR="000424AB" w:rsidRPr="005E758A" w:rsidRDefault="008435F4" w:rsidP="00490C95">
      <w:pPr>
        <w:snapToGrid w:val="0"/>
        <w:spacing w:before="100" w:beforeAutospacing="1" w:after="100" w:afterAutospacing="1" w:line="0" w:lineRule="atLeast"/>
        <w:ind w:firstLineChars="200" w:firstLine="560"/>
        <w:jc w:val="both"/>
        <w:rPr>
          <w:sz w:val="28"/>
          <w:szCs w:val="28"/>
        </w:rPr>
      </w:pPr>
      <w:r w:rsidRPr="005E758A">
        <w:rPr>
          <w:sz w:val="28"/>
          <w:szCs w:val="28"/>
        </w:rPr>
        <w:t>本</w:t>
      </w:r>
      <w:r w:rsidR="000424AB" w:rsidRPr="005E758A">
        <w:rPr>
          <w:sz w:val="28"/>
          <w:szCs w:val="28"/>
        </w:rPr>
        <w:t>項規定要</w:t>
      </w:r>
      <w:r w:rsidRPr="005E758A">
        <w:rPr>
          <w:sz w:val="28"/>
          <w:szCs w:val="28"/>
        </w:rPr>
        <w:t>求締約國不僅是單純聆聽兒童的意見，更</w:t>
      </w:r>
      <w:r w:rsidR="000424AB" w:rsidRPr="005E758A">
        <w:rPr>
          <w:sz w:val="28"/>
          <w:szCs w:val="28"/>
        </w:rPr>
        <w:t>應該要將其意見納入考量，且在決定如何採納其意見時，不應只以年齡作為判斷標準。研究顯示兒童形成意見的能力受到資訊、經驗、環境、社會及文化期待及其接受的幫助等多方因素影響，因此每</w:t>
      </w:r>
      <w:proofErr w:type="gramStart"/>
      <w:r w:rsidR="000424AB" w:rsidRPr="005E758A">
        <w:rPr>
          <w:sz w:val="28"/>
          <w:szCs w:val="28"/>
        </w:rPr>
        <w:t>個</w:t>
      </w:r>
      <w:proofErr w:type="gramEnd"/>
      <w:r w:rsidR="000424AB" w:rsidRPr="005E758A">
        <w:rPr>
          <w:sz w:val="28"/>
          <w:szCs w:val="28"/>
        </w:rPr>
        <w:t>兒童在這方面的能力應該依個案情況判斷。「成熟度</w:t>
      </w:r>
      <w:r w:rsidRPr="005E758A">
        <w:rPr>
          <w:sz w:val="28"/>
          <w:szCs w:val="28"/>
        </w:rPr>
        <w:t>」指的是瞭</w:t>
      </w:r>
      <w:r w:rsidR="000424AB" w:rsidRPr="005E758A">
        <w:rPr>
          <w:sz w:val="28"/>
          <w:szCs w:val="28"/>
        </w:rPr>
        <w:t>解及評估某項特定事物之影響的能力，</w:t>
      </w:r>
      <w:proofErr w:type="gramStart"/>
      <w:r w:rsidR="000424AB" w:rsidRPr="005E758A">
        <w:rPr>
          <w:sz w:val="28"/>
          <w:szCs w:val="28"/>
        </w:rPr>
        <w:t>就表意</w:t>
      </w:r>
      <w:proofErr w:type="gramEnd"/>
      <w:r w:rsidR="000424AB" w:rsidRPr="005E758A">
        <w:rPr>
          <w:sz w:val="28"/>
          <w:szCs w:val="28"/>
        </w:rPr>
        <w:t>自由而言，「成熟度」乃是兒童對事物理性且獨立地發表意見的能力．此項權衡亦應考量該項事物對兒童的影響，面對影響越大的事物，更應仔細判斷兒童之成熟度</w:t>
      </w:r>
      <w:r w:rsidR="000424AB" w:rsidRPr="005E758A">
        <w:rPr>
          <w:rStyle w:val="af3"/>
          <w:sz w:val="28"/>
          <w:szCs w:val="28"/>
        </w:rPr>
        <w:endnoteReference w:id="152"/>
      </w:r>
      <w:r w:rsidR="000424AB" w:rsidRPr="005E758A">
        <w:rPr>
          <w:sz w:val="28"/>
          <w:szCs w:val="28"/>
        </w:rPr>
        <w:t>。</w:t>
      </w:r>
    </w:p>
    <w:p w14:paraId="16944503" w14:textId="77777777" w:rsidR="000424AB" w:rsidRPr="005E758A" w:rsidRDefault="000424AB" w:rsidP="00490C95">
      <w:pPr>
        <w:pStyle w:val="3"/>
        <w:spacing w:line="0" w:lineRule="atLeast"/>
        <w:rPr>
          <w:szCs w:val="28"/>
        </w:rPr>
      </w:pPr>
      <w:r w:rsidRPr="005E758A">
        <w:rPr>
          <w:szCs w:val="28"/>
        </w:rPr>
        <w:t>第</w:t>
      </w:r>
      <w:r w:rsidRPr="005E758A">
        <w:rPr>
          <w:szCs w:val="28"/>
        </w:rPr>
        <w:t>12</w:t>
      </w:r>
      <w:r w:rsidRPr="005E758A">
        <w:rPr>
          <w:szCs w:val="28"/>
        </w:rPr>
        <w:t>條第</w:t>
      </w:r>
      <w:r w:rsidRPr="005E758A">
        <w:rPr>
          <w:szCs w:val="28"/>
        </w:rPr>
        <w:t>2</w:t>
      </w:r>
      <w:r w:rsidRPr="005E758A">
        <w:rPr>
          <w:szCs w:val="28"/>
        </w:rPr>
        <w:t>項</w:t>
      </w:r>
    </w:p>
    <w:p w14:paraId="5128528A" w14:textId="77777777" w:rsidR="000424AB" w:rsidRPr="005E758A" w:rsidRDefault="000424AB" w:rsidP="00490C95">
      <w:pPr>
        <w:snapToGrid w:val="0"/>
        <w:spacing w:before="100" w:beforeAutospacing="1" w:after="100" w:afterAutospacing="1" w:line="0" w:lineRule="atLeast"/>
        <w:ind w:firstLineChars="200" w:firstLine="560"/>
        <w:jc w:val="both"/>
        <w:rPr>
          <w:sz w:val="28"/>
          <w:szCs w:val="28"/>
        </w:rPr>
      </w:pPr>
      <w:r w:rsidRPr="005E758A">
        <w:rPr>
          <w:sz w:val="28"/>
          <w:szCs w:val="28"/>
        </w:rPr>
        <w:t>本項要求締約國提供兒童在與自身相關的司法及行政程序中表達意見的機會，本條第</w:t>
      </w:r>
      <w:r w:rsidRPr="005E758A">
        <w:rPr>
          <w:sz w:val="28"/>
          <w:szCs w:val="28"/>
        </w:rPr>
        <w:t>1</w:t>
      </w:r>
      <w:r w:rsidR="008435F4" w:rsidRPr="005E758A">
        <w:rPr>
          <w:sz w:val="28"/>
          <w:szCs w:val="28"/>
        </w:rPr>
        <w:t>項規定解釋上即賦予締約國此種</w:t>
      </w:r>
      <w:r w:rsidRPr="005E758A">
        <w:rPr>
          <w:sz w:val="28"/>
          <w:szCs w:val="28"/>
        </w:rPr>
        <w:t>義務，第</w:t>
      </w:r>
      <w:r w:rsidRPr="005E758A">
        <w:rPr>
          <w:sz w:val="28"/>
          <w:szCs w:val="28"/>
        </w:rPr>
        <w:t>2</w:t>
      </w:r>
      <w:r w:rsidRPr="005E758A">
        <w:rPr>
          <w:sz w:val="28"/>
          <w:szCs w:val="28"/>
        </w:rPr>
        <w:t>項則提供了明文規範，公約第</w:t>
      </w:r>
      <w:r w:rsidRPr="005E758A">
        <w:rPr>
          <w:sz w:val="28"/>
          <w:szCs w:val="28"/>
        </w:rPr>
        <w:t>9</w:t>
      </w:r>
      <w:r w:rsidRPr="005E758A">
        <w:rPr>
          <w:sz w:val="28"/>
          <w:szCs w:val="28"/>
        </w:rPr>
        <w:t>條第</w:t>
      </w:r>
      <w:r w:rsidRPr="005E758A">
        <w:rPr>
          <w:sz w:val="28"/>
          <w:szCs w:val="28"/>
        </w:rPr>
        <w:t>2</w:t>
      </w:r>
      <w:r w:rsidRPr="005E758A">
        <w:rPr>
          <w:sz w:val="28"/>
          <w:szCs w:val="28"/>
        </w:rPr>
        <w:t>項亦可視為本項規定的延伸</w:t>
      </w:r>
      <w:r w:rsidRPr="005E758A">
        <w:rPr>
          <w:rStyle w:val="af3"/>
          <w:sz w:val="28"/>
          <w:szCs w:val="28"/>
        </w:rPr>
        <w:endnoteReference w:id="153"/>
      </w:r>
      <w:r w:rsidRPr="005E758A">
        <w:rPr>
          <w:sz w:val="28"/>
          <w:szCs w:val="28"/>
        </w:rPr>
        <w:t>。</w:t>
      </w:r>
    </w:p>
    <w:p w14:paraId="12F358CB" w14:textId="77777777" w:rsidR="000424AB" w:rsidRPr="005E758A" w:rsidRDefault="000424AB" w:rsidP="00490C95">
      <w:pPr>
        <w:pStyle w:val="4"/>
        <w:numPr>
          <w:ilvl w:val="0"/>
          <w:numId w:val="7"/>
        </w:numPr>
        <w:spacing w:line="0" w:lineRule="atLeast"/>
        <w:ind w:left="1315" w:hanging="357"/>
        <w:rPr>
          <w:szCs w:val="28"/>
        </w:rPr>
      </w:pPr>
      <w:r w:rsidRPr="005E758A">
        <w:rPr>
          <w:szCs w:val="28"/>
        </w:rPr>
        <w:t>「對自己有影響之司法及行政程序」</w:t>
      </w:r>
    </w:p>
    <w:p w14:paraId="1CA2235D" w14:textId="77777777" w:rsidR="000424AB" w:rsidRPr="005E758A" w:rsidRDefault="008435F4" w:rsidP="00490C95">
      <w:pPr>
        <w:snapToGrid w:val="0"/>
        <w:spacing w:before="100" w:beforeAutospacing="1" w:after="100" w:afterAutospacing="1" w:line="0" w:lineRule="atLeast"/>
        <w:ind w:firstLineChars="200" w:firstLine="560"/>
        <w:jc w:val="both"/>
        <w:rPr>
          <w:sz w:val="28"/>
          <w:szCs w:val="28"/>
        </w:rPr>
      </w:pPr>
      <w:r w:rsidRPr="005E758A">
        <w:rPr>
          <w:sz w:val="28"/>
          <w:szCs w:val="28"/>
        </w:rPr>
        <w:t>本</w:t>
      </w:r>
      <w:r w:rsidR="000424AB" w:rsidRPr="005E758A">
        <w:rPr>
          <w:sz w:val="28"/>
          <w:szCs w:val="28"/>
        </w:rPr>
        <w:t>項所指之司法及行政程序包括所有可能影響兒童者，不論是否為兒童提起或發動。兒童權利委員會提供的司法程序例子包括：「與父母分離、監護、照</w:t>
      </w:r>
      <w:r w:rsidR="00921789" w:rsidRPr="005E758A">
        <w:rPr>
          <w:sz w:val="28"/>
          <w:szCs w:val="28"/>
        </w:rPr>
        <w:t>顧</w:t>
      </w:r>
      <w:r w:rsidR="000424AB" w:rsidRPr="005E758A">
        <w:rPr>
          <w:sz w:val="28"/>
          <w:szCs w:val="28"/>
        </w:rPr>
        <w:t>和收養、觸犯法律的兒童、遭受人身或心理暴力、性凌辱或其他暴力犯罪之害的兒童、衛生保健、社會保障、尋求庇護和難民地位的兒童，以及受武裝衝突和其他緊急情況之害的兒童」所涉之程序；而行政程序例子包括：「關於兒童教育、保健、環境、生活條件或保護的決定」</w:t>
      </w:r>
      <w:r w:rsidR="000424AB" w:rsidRPr="005E758A">
        <w:rPr>
          <w:rStyle w:val="af3"/>
          <w:sz w:val="28"/>
          <w:szCs w:val="28"/>
        </w:rPr>
        <w:endnoteReference w:id="154"/>
      </w:r>
      <w:r w:rsidR="000424AB" w:rsidRPr="005E758A">
        <w:rPr>
          <w:sz w:val="28"/>
          <w:szCs w:val="28"/>
        </w:rPr>
        <w:t>。為顧及兒童的利益，其參與的程序及環境應該經過特別設計，程序應該讓兒童容易理解，參與之其他人員亦應</w:t>
      </w:r>
      <w:r w:rsidR="000424AB" w:rsidRPr="005E758A">
        <w:rPr>
          <w:sz w:val="28"/>
          <w:szCs w:val="28"/>
        </w:rPr>
        <w:lastRenderedPageBreak/>
        <w:t>受過相關培訓</w:t>
      </w:r>
      <w:r w:rsidR="000424AB" w:rsidRPr="005E758A">
        <w:rPr>
          <w:rStyle w:val="af3"/>
          <w:sz w:val="28"/>
          <w:szCs w:val="28"/>
        </w:rPr>
        <w:endnoteReference w:id="155"/>
      </w:r>
      <w:r w:rsidR="000424AB" w:rsidRPr="005E758A">
        <w:rPr>
          <w:sz w:val="28"/>
          <w:szCs w:val="28"/>
        </w:rPr>
        <w:t>。</w:t>
      </w:r>
    </w:p>
    <w:p w14:paraId="1333626E" w14:textId="77777777" w:rsidR="000424AB" w:rsidRPr="005E758A" w:rsidRDefault="000424AB" w:rsidP="00490C95">
      <w:pPr>
        <w:pStyle w:val="4"/>
        <w:numPr>
          <w:ilvl w:val="0"/>
          <w:numId w:val="7"/>
        </w:numPr>
        <w:spacing w:line="0" w:lineRule="atLeast"/>
        <w:ind w:left="1315" w:hanging="357"/>
        <w:rPr>
          <w:szCs w:val="28"/>
        </w:rPr>
      </w:pPr>
      <w:r w:rsidRPr="005E758A">
        <w:rPr>
          <w:szCs w:val="28"/>
        </w:rPr>
        <w:t>「依照國家法律之程序規定」</w:t>
      </w:r>
    </w:p>
    <w:p w14:paraId="3553DFEB" w14:textId="77777777" w:rsidR="000424AB" w:rsidRPr="005E758A" w:rsidRDefault="000424AB" w:rsidP="00490C95">
      <w:pPr>
        <w:snapToGrid w:val="0"/>
        <w:spacing w:before="100" w:beforeAutospacing="1" w:after="100" w:afterAutospacing="1" w:line="0" w:lineRule="atLeast"/>
        <w:ind w:firstLineChars="200" w:firstLine="560"/>
        <w:jc w:val="both"/>
        <w:rPr>
          <w:sz w:val="28"/>
          <w:szCs w:val="28"/>
        </w:rPr>
      </w:pPr>
      <w:r w:rsidRPr="005E758A">
        <w:rPr>
          <w:sz w:val="28"/>
          <w:szCs w:val="28"/>
        </w:rPr>
        <w:t>兒童權利委員會表示締約國不應依此為據，透過訴訟法限制兒童參與程序的權利，並鼓勵締約國尊重「公平訴訟的基本規則」，如果兒童所參與的程序並未遵守應適用的規定，該程序做成的</w:t>
      </w:r>
      <w:proofErr w:type="gramStart"/>
      <w:r w:rsidRPr="005E758A">
        <w:rPr>
          <w:sz w:val="28"/>
          <w:szCs w:val="28"/>
        </w:rPr>
        <w:t>決定可遭質疑</w:t>
      </w:r>
      <w:proofErr w:type="gramEnd"/>
      <w:r w:rsidRPr="005E758A">
        <w:rPr>
          <w:sz w:val="28"/>
          <w:szCs w:val="28"/>
        </w:rPr>
        <w:t>，亦可能遭「推翻、取代或退回作進一步司法審議」</w:t>
      </w:r>
      <w:r w:rsidRPr="005E758A">
        <w:rPr>
          <w:rStyle w:val="af3"/>
          <w:sz w:val="28"/>
          <w:szCs w:val="28"/>
        </w:rPr>
        <w:endnoteReference w:id="156"/>
      </w:r>
      <w:r w:rsidRPr="005E758A">
        <w:rPr>
          <w:sz w:val="28"/>
          <w:szCs w:val="28"/>
        </w:rPr>
        <w:t>。</w:t>
      </w:r>
    </w:p>
    <w:p w14:paraId="6DC1F88F" w14:textId="77777777" w:rsidR="000424AB" w:rsidRPr="005E758A" w:rsidRDefault="000424AB" w:rsidP="00490C95">
      <w:pPr>
        <w:pStyle w:val="4"/>
        <w:numPr>
          <w:ilvl w:val="0"/>
          <w:numId w:val="7"/>
        </w:numPr>
        <w:spacing w:line="0" w:lineRule="atLeast"/>
        <w:ind w:left="1315" w:hanging="357"/>
        <w:rPr>
          <w:szCs w:val="28"/>
        </w:rPr>
      </w:pPr>
      <w:r w:rsidRPr="005E758A">
        <w:rPr>
          <w:szCs w:val="28"/>
        </w:rPr>
        <w:t>「由其本人直接或透過代表或適當之組織」</w:t>
      </w:r>
    </w:p>
    <w:p w14:paraId="45697D03" w14:textId="77777777" w:rsidR="000424AB" w:rsidRPr="005E758A" w:rsidRDefault="000424AB" w:rsidP="00490C95">
      <w:pPr>
        <w:snapToGrid w:val="0"/>
        <w:spacing w:before="100" w:beforeAutospacing="1" w:after="100" w:afterAutospacing="1" w:line="0" w:lineRule="atLeast"/>
        <w:ind w:firstLineChars="200" w:firstLine="560"/>
        <w:jc w:val="both"/>
        <w:rPr>
          <w:sz w:val="28"/>
          <w:szCs w:val="28"/>
        </w:rPr>
      </w:pPr>
      <w:r w:rsidRPr="005E758A">
        <w:rPr>
          <w:sz w:val="28"/>
          <w:szCs w:val="28"/>
        </w:rPr>
        <w:t>兒童應可選擇在上開程序中要直接或透過代表表示意見，最常見的「代表」可能是父母，但是許多程序中父母可能因為利益上衝突而不適合擔任代表，兒童權利委員會指出「代表」包括「父母、律師或其他人（特別是社會工作者）」，而這些代表應對決策過程有所了解，並有與兒童相關工作經驗，其最重要的任務即為正確的向決策者反應兒童的意見，並代表兒童（而非其父母、行政部門、社會等）的利益</w:t>
      </w:r>
      <w:r w:rsidRPr="005E758A">
        <w:rPr>
          <w:rStyle w:val="af3"/>
          <w:sz w:val="28"/>
          <w:szCs w:val="28"/>
        </w:rPr>
        <w:endnoteReference w:id="157"/>
      </w:r>
      <w:r w:rsidRPr="005E758A">
        <w:rPr>
          <w:sz w:val="28"/>
          <w:szCs w:val="28"/>
        </w:rPr>
        <w:t>。</w:t>
      </w:r>
    </w:p>
    <w:p w14:paraId="7AEDA7B0" w14:textId="77777777" w:rsidR="000424AB" w:rsidRPr="005E758A" w:rsidRDefault="000424AB" w:rsidP="00490C95">
      <w:pPr>
        <w:pStyle w:val="2"/>
        <w:spacing w:line="0" w:lineRule="atLeast"/>
        <w:rPr>
          <w:szCs w:val="28"/>
        </w:rPr>
      </w:pPr>
      <w:r w:rsidRPr="005E758A">
        <w:rPr>
          <w:szCs w:val="28"/>
        </w:rPr>
        <w:t>案例介紹</w:t>
      </w:r>
    </w:p>
    <w:p w14:paraId="0A4715B5" w14:textId="77777777" w:rsidR="000424AB" w:rsidRPr="005E758A" w:rsidRDefault="000424AB" w:rsidP="007030EA">
      <w:pPr>
        <w:pStyle w:val="3"/>
        <w:numPr>
          <w:ilvl w:val="0"/>
          <w:numId w:val="212"/>
        </w:numPr>
        <w:spacing w:line="0" w:lineRule="atLeast"/>
        <w:rPr>
          <w:szCs w:val="28"/>
        </w:rPr>
      </w:pPr>
      <w:r w:rsidRPr="005E758A">
        <w:rPr>
          <w:szCs w:val="28"/>
        </w:rPr>
        <w:t xml:space="preserve"> 2005</w:t>
      </w:r>
      <w:r w:rsidRPr="005E758A">
        <w:rPr>
          <w:szCs w:val="28"/>
        </w:rPr>
        <w:t>年英國上訴法院監護權案：</w:t>
      </w:r>
      <w:r w:rsidRPr="005E758A">
        <w:rPr>
          <w:szCs w:val="28"/>
        </w:rPr>
        <w:t>Mabon v. Mabon</w:t>
      </w:r>
      <w:r w:rsidRPr="005E758A">
        <w:rPr>
          <w:rStyle w:val="af3"/>
          <w:szCs w:val="28"/>
        </w:rPr>
        <w:endnoteReference w:id="158"/>
      </w:r>
    </w:p>
    <w:p w14:paraId="64188383" w14:textId="77777777" w:rsidR="000424AB" w:rsidRPr="005E758A" w:rsidRDefault="000424AB" w:rsidP="00490C95">
      <w:pPr>
        <w:snapToGrid w:val="0"/>
        <w:spacing w:before="100" w:beforeAutospacing="1" w:after="100" w:afterAutospacing="1" w:line="0" w:lineRule="atLeast"/>
        <w:ind w:firstLineChars="200" w:firstLine="560"/>
        <w:jc w:val="both"/>
        <w:rPr>
          <w:sz w:val="28"/>
          <w:szCs w:val="28"/>
        </w:rPr>
      </w:pPr>
      <w:r w:rsidRPr="005E758A">
        <w:rPr>
          <w:sz w:val="28"/>
          <w:szCs w:val="28"/>
        </w:rPr>
        <w:t>本案事實涉及</w:t>
      </w:r>
      <w:r w:rsidRPr="005E758A">
        <w:rPr>
          <w:sz w:val="28"/>
          <w:szCs w:val="28"/>
        </w:rPr>
        <w:t>3</w:t>
      </w:r>
      <w:r w:rsidR="003F3C36" w:rsidRPr="005E758A">
        <w:rPr>
          <w:sz w:val="28"/>
          <w:szCs w:val="28"/>
        </w:rPr>
        <w:t>名</w:t>
      </w:r>
      <w:r w:rsidRPr="005E758A">
        <w:rPr>
          <w:sz w:val="28"/>
          <w:szCs w:val="28"/>
        </w:rPr>
        <w:t>少年（各為</w:t>
      </w:r>
      <w:r w:rsidRPr="005E758A">
        <w:rPr>
          <w:sz w:val="28"/>
          <w:szCs w:val="28"/>
        </w:rPr>
        <w:t>13</w:t>
      </w:r>
      <w:r w:rsidRPr="005E758A">
        <w:rPr>
          <w:sz w:val="28"/>
          <w:szCs w:val="28"/>
        </w:rPr>
        <w:t>歲、</w:t>
      </w:r>
      <w:r w:rsidRPr="005E758A">
        <w:rPr>
          <w:sz w:val="28"/>
          <w:szCs w:val="28"/>
        </w:rPr>
        <w:t>15</w:t>
      </w:r>
      <w:r w:rsidRPr="005E758A">
        <w:rPr>
          <w:sz w:val="28"/>
          <w:szCs w:val="28"/>
        </w:rPr>
        <w:t>歲、</w:t>
      </w:r>
      <w:r w:rsidRPr="005E758A">
        <w:rPr>
          <w:sz w:val="28"/>
          <w:szCs w:val="28"/>
        </w:rPr>
        <w:t>17</w:t>
      </w:r>
      <w:r w:rsidRPr="005E758A">
        <w:rPr>
          <w:sz w:val="28"/>
          <w:szCs w:val="28"/>
        </w:rPr>
        <w:t>歲），</w:t>
      </w:r>
      <w:r w:rsidRPr="005E758A">
        <w:rPr>
          <w:sz w:val="28"/>
          <w:szCs w:val="28"/>
        </w:rPr>
        <w:t>3</w:t>
      </w:r>
      <w:r w:rsidR="00F94587" w:rsidRPr="005E758A">
        <w:rPr>
          <w:sz w:val="28"/>
          <w:szCs w:val="28"/>
        </w:rPr>
        <w:t>名</w:t>
      </w:r>
      <w:r w:rsidRPr="005E758A">
        <w:rPr>
          <w:sz w:val="28"/>
          <w:szCs w:val="28"/>
        </w:rPr>
        <w:t>少年的父母親共有</w:t>
      </w:r>
      <w:r w:rsidRPr="005E758A">
        <w:rPr>
          <w:sz w:val="28"/>
          <w:szCs w:val="28"/>
        </w:rPr>
        <w:t>6</w:t>
      </w:r>
      <w:r w:rsidR="008435F4" w:rsidRPr="005E758A">
        <w:rPr>
          <w:sz w:val="28"/>
          <w:szCs w:val="28"/>
        </w:rPr>
        <w:t>名子女</w:t>
      </w:r>
      <w:r w:rsidRPr="005E758A">
        <w:rPr>
          <w:sz w:val="28"/>
          <w:szCs w:val="28"/>
        </w:rPr>
        <w:t>，其中這</w:t>
      </w:r>
      <w:r w:rsidRPr="005E758A">
        <w:rPr>
          <w:sz w:val="28"/>
          <w:szCs w:val="28"/>
        </w:rPr>
        <w:t>3</w:t>
      </w:r>
      <w:r w:rsidR="008435F4" w:rsidRPr="005E758A">
        <w:rPr>
          <w:sz w:val="28"/>
          <w:szCs w:val="28"/>
        </w:rPr>
        <w:t>名</w:t>
      </w:r>
      <w:r w:rsidRPr="005E758A">
        <w:rPr>
          <w:sz w:val="28"/>
          <w:szCs w:val="28"/>
        </w:rPr>
        <w:t>於</w:t>
      </w:r>
      <w:r w:rsidRPr="005E758A">
        <w:rPr>
          <w:sz w:val="28"/>
          <w:szCs w:val="28"/>
        </w:rPr>
        <w:t>2003</w:t>
      </w:r>
      <w:r w:rsidRPr="005E758A">
        <w:rPr>
          <w:sz w:val="28"/>
          <w:szCs w:val="28"/>
        </w:rPr>
        <w:t>年父母</w:t>
      </w:r>
      <w:r w:rsidR="008435F4" w:rsidRPr="005E758A">
        <w:rPr>
          <w:sz w:val="28"/>
          <w:szCs w:val="28"/>
        </w:rPr>
        <w:t>分居後與</w:t>
      </w:r>
      <w:r w:rsidRPr="005E758A">
        <w:rPr>
          <w:sz w:val="28"/>
          <w:szCs w:val="28"/>
        </w:rPr>
        <w:t>父親同住，同年</w:t>
      </w:r>
      <w:r w:rsidRPr="005E758A">
        <w:rPr>
          <w:sz w:val="28"/>
          <w:szCs w:val="28"/>
        </w:rPr>
        <w:t>11</w:t>
      </w:r>
      <w:r w:rsidRPr="005E758A">
        <w:rPr>
          <w:sz w:val="28"/>
          <w:szCs w:val="28"/>
        </w:rPr>
        <w:t>月母親提起了監護權的訴訟，隔年</w:t>
      </w:r>
      <w:r w:rsidRPr="005E758A">
        <w:rPr>
          <w:sz w:val="28"/>
          <w:szCs w:val="28"/>
        </w:rPr>
        <w:t>4</w:t>
      </w:r>
      <w:r w:rsidRPr="005E758A">
        <w:rPr>
          <w:sz w:val="28"/>
          <w:szCs w:val="28"/>
        </w:rPr>
        <w:t>月，協助法院家事案件</w:t>
      </w:r>
      <w:r w:rsidR="008435F4" w:rsidRPr="005E758A">
        <w:rPr>
          <w:sz w:val="28"/>
          <w:szCs w:val="28"/>
        </w:rPr>
        <w:t>的單位</w:t>
      </w:r>
      <w:r w:rsidR="009574F1" w:rsidRPr="005E758A">
        <w:rPr>
          <w:sz w:val="28"/>
          <w:szCs w:val="28"/>
        </w:rPr>
        <w:t>「兒童及家庭法院諮詢及支援服務」</w:t>
      </w:r>
      <w:r w:rsidR="008435F4" w:rsidRPr="005E758A">
        <w:rPr>
          <w:sz w:val="28"/>
          <w:szCs w:val="28"/>
        </w:rPr>
        <w:t>(</w:t>
      </w:r>
      <w:r w:rsidRPr="005E758A">
        <w:rPr>
          <w:sz w:val="28"/>
          <w:szCs w:val="28"/>
        </w:rPr>
        <w:t>Children and Family Court Advisory and Support Service</w:t>
      </w:r>
      <w:r w:rsidR="008435F4" w:rsidRPr="005E758A">
        <w:rPr>
          <w:sz w:val="28"/>
          <w:szCs w:val="28"/>
        </w:rPr>
        <w:t>)</w:t>
      </w:r>
      <w:r w:rsidRPr="005E758A">
        <w:rPr>
          <w:sz w:val="28"/>
          <w:szCs w:val="28"/>
        </w:rPr>
        <w:t>為</w:t>
      </w:r>
      <w:r w:rsidR="008435F4" w:rsidRPr="005E758A">
        <w:rPr>
          <w:sz w:val="28"/>
          <w:szCs w:val="28"/>
        </w:rPr>
        <w:t>這</w:t>
      </w:r>
      <w:r w:rsidRPr="005E758A">
        <w:rPr>
          <w:sz w:val="28"/>
          <w:szCs w:val="28"/>
        </w:rPr>
        <w:t>6</w:t>
      </w:r>
      <w:r w:rsidR="008435F4" w:rsidRPr="005E758A">
        <w:rPr>
          <w:sz w:val="28"/>
          <w:szCs w:val="28"/>
        </w:rPr>
        <w:t>名子女</w:t>
      </w:r>
      <w:r w:rsidRPr="005E758A">
        <w:rPr>
          <w:sz w:val="28"/>
          <w:szCs w:val="28"/>
        </w:rPr>
        <w:t>指定監護人，</w:t>
      </w:r>
      <w:r w:rsidRPr="005E758A">
        <w:rPr>
          <w:sz w:val="28"/>
          <w:szCs w:val="28"/>
        </w:rPr>
        <w:t>6</w:t>
      </w:r>
      <w:r w:rsidR="008435F4" w:rsidRPr="005E758A">
        <w:rPr>
          <w:sz w:val="28"/>
          <w:szCs w:val="28"/>
        </w:rPr>
        <w:t>人並同列案件當事人。</w:t>
      </w:r>
      <w:r w:rsidRPr="005E758A">
        <w:rPr>
          <w:sz w:val="28"/>
          <w:szCs w:val="28"/>
        </w:rPr>
        <w:t>在法院程序進行過程中，前述</w:t>
      </w:r>
      <w:r w:rsidRPr="005E758A">
        <w:rPr>
          <w:sz w:val="28"/>
          <w:szCs w:val="28"/>
        </w:rPr>
        <w:t>3</w:t>
      </w:r>
      <w:r w:rsidR="008435F4" w:rsidRPr="005E758A">
        <w:rPr>
          <w:sz w:val="28"/>
          <w:szCs w:val="28"/>
        </w:rPr>
        <w:t>位少年另外委任</w:t>
      </w:r>
      <w:r w:rsidRPr="005E758A">
        <w:rPr>
          <w:sz w:val="28"/>
          <w:szCs w:val="28"/>
        </w:rPr>
        <w:t>律師，並聲請與另外</w:t>
      </w:r>
      <w:r w:rsidRPr="005E758A">
        <w:rPr>
          <w:sz w:val="28"/>
          <w:szCs w:val="28"/>
        </w:rPr>
        <w:t>3</w:t>
      </w:r>
      <w:r w:rsidRPr="005E758A">
        <w:rPr>
          <w:sz w:val="28"/>
          <w:szCs w:val="28"/>
        </w:rPr>
        <w:t>名子女選擇不同的代理人。第一審法院認為這</w:t>
      </w:r>
      <w:r w:rsidRPr="005E758A">
        <w:rPr>
          <w:sz w:val="28"/>
          <w:szCs w:val="28"/>
        </w:rPr>
        <w:t>3</w:t>
      </w:r>
      <w:r w:rsidR="008435F4" w:rsidRPr="005E758A">
        <w:rPr>
          <w:sz w:val="28"/>
          <w:szCs w:val="28"/>
        </w:rPr>
        <w:t>名少年另行</w:t>
      </w:r>
      <w:r w:rsidRPr="005E758A">
        <w:rPr>
          <w:sz w:val="28"/>
          <w:szCs w:val="28"/>
        </w:rPr>
        <w:t>指定代理人對訴訟程序不會有太大的助益，反而會造成程序的延宕和難以估計的精神損失</w:t>
      </w:r>
      <w:r w:rsidR="008435F4" w:rsidRPr="005E758A">
        <w:rPr>
          <w:sz w:val="28"/>
          <w:szCs w:val="28"/>
        </w:rPr>
        <w:t>，故拒絕了此項聲請，</w:t>
      </w:r>
      <w:r w:rsidRPr="005E758A">
        <w:rPr>
          <w:sz w:val="28"/>
          <w:szCs w:val="28"/>
        </w:rPr>
        <w:t>3</w:t>
      </w:r>
      <w:r w:rsidR="008435F4" w:rsidRPr="005E758A">
        <w:rPr>
          <w:sz w:val="28"/>
          <w:szCs w:val="28"/>
        </w:rPr>
        <w:t>名</w:t>
      </w:r>
      <w:r w:rsidRPr="005E758A">
        <w:rPr>
          <w:sz w:val="28"/>
          <w:szCs w:val="28"/>
        </w:rPr>
        <w:t>少年因此提起上訴。</w:t>
      </w:r>
    </w:p>
    <w:p w14:paraId="1B7A32BA" w14:textId="77777777" w:rsidR="000424AB" w:rsidRPr="005E758A" w:rsidRDefault="000424AB" w:rsidP="00490C95">
      <w:pPr>
        <w:snapToGrid w:val="0"/>
        <w:spacing w:before="100" w:beforeAutospacing="1" w:after="100" w:afterAutospacing="1" w:line="0" w:lineRule="atLeast"/>
        <w:ind w:firstLineChars="200" w:firstLine="560"/>
        <w:jc w:val="both"/>
        <w:rPr>
          <w:sz w:val="28"/>
          <w:szCs w:val="28"/>
        </w:rPr>
      </w:pPr>
      <w:r w:rsidRPr="005E758A">
        <w:rPr>
          <w:sz w:val="28"/>
          <w:szCs w:val="28"/>
        </w:rPr>
        <w:t>本案爭點為：這</w:t>
      </w:r>
      <w:r w:rsidRPr="005E758A">
        <w:rPr>
          <w:sz w:val="28"/>
          <w:szCs w:val="28"/>
        </w:rPr>
        <w:t>3</w:t>
      </w:r>
      <w:r w:rsidR="009574F1" w:rsidRPr="005E758A">
        <w:rPr>
          <w:sz w:val="28"/>
          <w:szCs w:val="28"/>
        </w:rPr>
        <w:t>名</w:t>
      </w:r>
      <w:r w:rsidRPr="005E758A">
        <w:rPr>
          <w:sz w:val="28"/>
          <w:szCs w:val="28"/>
        </w:rPr>
        <w:t>少年是否有權利選擇由指定法定代理人以外的人代表他們；</w:t>
      </w:r>
      <w:r w:rsidR="00F94587" w:rsidRPr="005E758A">
        <w:rPr>
          <w:sz w:val="28"/>
          <w:szCs w:val="28"/>
        </w:rPr>
        <w:t>及</w:t>
      </w:r>
      <w:r w:rsidRPr="005E758A">
        <w:rPr>
          <w:sz w:val="28"/>
          <w:szCs w:val="28"/>
        </w:rPr>
        <w:t>家事案件規則</w:t>
      </w:r>
      <w:r w:rsidRPr="005E758A">
        <w:rPr>
          <w:sz w:val="28"/>
          <w:szCs w:val="28"/>
        </w:rPr>
        <w:t>(Family Proceedings Rules)</w:t>
      </w:r>
      <w:r w:rsidRPr="005E758A">
        <w:rPr>
          <w:sz w:val="28"/>
          <w:szCs w:val="28"/>
        </w:rPr>
        <w:t>相關條文解釋上是否符合兒童權利公約第</w:t>
      </w:r>
      <w:r w:rsidRPr="005E758A">
        <w:rPr>
          <w:sz w:val="28"/>
          <w:szCs w:val="28"/>
        </w:rPr>
        <w:t>12</w:t>
      </w:r>
      <w:r w:rsidRPr="005E758A">
        <w:rPr>
          <w:sz w:val="28"/>
          <w:szCs w:val="28"/>
        </w:rPr>
        <w:t>條</w:t>
      </w:r>
      <w:r w:rsidR="009574F1" w:rsidRPr="005E758A">
        <w:rPr>
          <w:sz w:val="28"/>
          <w:szCs w:val="28"/>
        </w:rPr>
        <w:t>的</w:t>
      </w:r>
      <w:r w:rsidRPr="005E758A">
        <w:rPr>
          <w:sz w:val="28"/>
          <w:szCs w:val="28"/>
        </w:rPr>
        <w:t>規定。上訴法院與一審法院採取相</w:t>
      </w:r>
      <w:r w:rsidR="009574F1" w:rsidRPr="005E758A">
        <w:rPr>
          <w:sz w:val="28"/>
          <w:szCs w:val="28"/>
        </w:rPr>
        <w:t>反見解，上訴法院認為涉入家事案件之兒童的指定代理人第一要務為主張</w:t>
      </w:r>
      <w:r w:rsidRPr="005E758A">
        <w:rPr>
          <w:sz w:val="28"/>
          <w:szCs w:val="28"/>
        </w:rPr>
        <w:t>其</w:t>
      </w:r>
      <w:r w:rsidR="009574F1" w:rsidRPr="005E758A">
        <w:rPr>
          <w:sz w:val="28"/>
          <w:szCs w:val="28"/>
        </w:rPr>
        <w:t>所代表兒童的福祉，第二要務為轉達該</w:t>
      </w:r>
      <w:r w:rsidRPr="005E758A">
        <w:rPr>
          <w:sz w:val="28"/>
          <w:szCs w:val="28"/>
        </w:rPr>
        <w:t>兒童的意見及感受，而這兩項任務有時候是有衝突的。上訴法院指出一審法院亦認為這</w:t>
      </w:r>
      <w:r w:rsidRPr="005E758A">
        <w:rPr>
          <w:sz w:val="28"/>
          <w:szCs w:val="28"/>
        </w:rPr>
        <w:t>3</w:t>
      </w:r>
      <w:r w:rsidR="009574F1" w:rsidRPr="005E758A">
        <w:rPr>
          <w:sz w:val="28"/>
          <w:szCs w:val="28"/>
        </w:rPr>
        <w:lastRenderedPageBreak/>
        <w:t>名</w:t>
      </w:r>
      <w:r w:rsidRPr="005E758A">
        <w:rPr>
          <w:sz w:val="28"/>
          <w:szCs w:val="28"/>
        </w:rPr>
        <w:t>少年能</w:t>
      </w:r>
      <w:proofErr w:type="gramStart"/>
      <w:r w:rsidRPr="005E758A">
        <w:rPr>
          <w:sz w:val="28"/>
          <w:szCs w:val="28"/>
        </w:rPr>
        <w:t>清楚的</w:t>
      </w:r>
      <w:proofErr w:type="gramEnd"/>
      <w:r w:rsidRPr="005E758A">
        <w:rPr>
          <w:sz w:val="28"/>
          <w:szCs w:val="28"/>
        </w:rPr>
        <w:t>表達自己的意見，在這種狀況下，他們的表意自由以及參與</w:t>
      </w:r>
      <w:r w:rsidR="009574F1" w:rsidRPr="005E758A">
        <w:rPr>
          <w:sz w:val="28"/>
          <w:szCs w:val="28"/>
        </w:rPr>
        <w:t>訴訟程序的權利應該優先的保障，不應以其福祉為由阻礙其前述權利的實行。本案提供機會讓法院改變其一貫</w:t>
      </w:r>
      <w:r w:rsidRPr="005E758A">
        <w:rPr>
          <w:sz w:val="28"/>
          <w:szCs w:val="28"/>
        </w:rPr>
        <w:t>的立場，在重大影響兒童的監護權程序中，法院更應該要尊重兒童的意見，落實其於公約第</w:t>
      </w:r>
      <w:r w:rsidRPr="005E758A">
        <w:rPr>
          <w:sz w:val="28"/>
          <w:szCs w:val="28"/>
        </w:rPr>
        <w:t>12</w:t>
      </w:r>
      <w:r w:rsidRPr="005E758A">
        <w:rPr>
          <w:sz w:val="28"/>
          <w:szCs w:val="28"/>
        </w:rPr>
        <w:t>條的權利。本案判決於其後的判決</w:t>
      </w:r>
      <w:r w:rsidRPr="005E758A">
        <w:rPr>
          <w:rStyle w:val="af3"/>
          <w:sz w:val="28"/>
          <w:szCs w:val="28"/>
        </w:rPr>
        <w:endnoteReference w:id="159"/>
      </w:r>
      <w:r w:rsidRPr="005E758A">
        <w:rPr>
          <w:sz w:val="28"/>
          <w:szCs w:val="28"/>
        </w:rPr>
        <w:t>中亦曾被引用，但亦有持不同見解的判決</w:t>
      </w:r>
      <w:r w:rsidRPr="005E758A">
        <w:rPr>
          <w:rStyle w:val="af3"/>
          <w:sz w:val="28"/>
          <w:szCs w:val="28"/>
        </w:rPr>
        <w:endnoteReference w:id="160"/>
      </w:r>
      <w:r w:rsidR="009574F1" w:rsidRPr="005E758A">
        <w:rPr>
          <w:sz w:val="28"/>
          <w:szCs w:val="28"/>
        </w:rPr>
        <w:t>。</w:t>
      </w:r>
    </w:p>
    <w:p w14:paraId="39F8BFE5" w14:textId="77777777" w:rsidR="000424AB" w:rsidRPr="005E758A" w:rsidRDefault="000424AB" w:rsidP="007030EA">
      <w:pPr>
        <w:pStyle w:val="3"/>
        <w:numPr>
          <w:ilvl w:val="0"/>
          <w:numId w:val="212"/>
        </w:numPr>
        <w:spacing w:line="0" w:lineRule="atLeast"/>
        <w:rPr>
          <w:szCs w:val="28"/>
        </w:rPr>
      </w:pPr>
      <w:r w:rsidRPr="005E758A">
        <w:rPr>
          <w:szCs w:val="28"/>
        </w:rPr>
        <w:t>2012</w:t>
      </w:r>
      <w:r w:rsidRPr="005E758A">
        <w:rPr>
          <w:szCs w:val="28"/>
        </w:rPr>
        <w:t>年澳洲維多利亞高等法院保護令案：</w:t>
      </w:r>
      <w:r w:rsidRPr="005E758A">
        <w:rPr>
          <w:szCs w:val="28"/>
        </w:rPr>
        <w:t>A &amp; B v Children</w:t>
      </w:r>
      <w:r w:rsidR="0002133D" w:rsidRPr="005E758A">
        <w:rPr>
          <w:szCs w:val="28"/>
        </w:rPr>
        <w:t>’</w:t>
      </w:r>
      <w:r w:rsidRPr="005E758A">
        <w:rPr>
          <w:szCs w:val="28"/>
        </w:rPr>
        <w:t xml:space="preserve">s Court of Victoria &amp; </w:t>
      </w:r>
      <w:proofErr w:type="spellStart"/>
      <w:r w:rsidRPr="005E758A">
        <w:rPr>
          <w:szCs w:val="28"/>
        </w:rPr>
        <w:t>Ors</w:t>
      </w:r>
      <w:proofErr w:type="spellEnd"/>
      <w:r w:rsidRPr="005E758A">
        <w:rPr>
          <w:rStyle w:val="af3"/>
          <w:szCs w:val="28"/>
        </w:rPr>
        <w:endnoteReference w:id="161"/>
      </w:r>
    </w:p>
    <w:p w14:paraId="16E6821F" w14:textId="77777777" w:rsidR="000424AB" w:rsidRPr="005E758A" w:rsidRDefault="009574F1" w:rsidP="00490C95">
      <w:pPr>
        <w:snapToGrid w:val="0"/>
        <w:spacing w:before="100" w:beforeAutospacing="1" w:after="100" w:afterAutospacing="1" w:line="0" w:lineRule="atLeast"/>
        <w:ind w:firstLineChars="200" w:firstLine="560"/>
        <w:jc w:val="both"/>
        <w:rPr>
          <w:sz w:val="28"/>
          <w:szCs w:val="28"/>
        </w:rPr>
      </w:pPr>
      <w:r w:rsidRPr="005E758A">
        <w:rPr>
          <w:sz w:val="28"/>
          <w:szCs w:val="28"/>
        </w:rPr>
        <w:t>原告</w:t>
      </w:r>
      <w:r w:rsidR="000424AB" w:rsidRPr="005E758A">
        <w:rPr>
          <w:sz w:val="28"/>
          <w:szCs w:val="28"/>
        </w:rPr>
        <w:t>分別為</w:t>
      </w:r>
      <w:r w:rsidR="000424AB" w:rsidRPr="005E758A">
        <w:rPr>
          <w:sz w:val="28"/>
          <w:szCs w:val="28"/>
        </w:rPr>
        <w:t>11</w:t>
      </w:r>
      <w:r w:rsidR="000424AB" w:rsidRPr="005E758A">
        <w:rPr>
          <w:sz w:val="28"/>
          <w:szCs w:val="28"/>
        </w:rPr>
        <w:t>歲及</w:t>
      </w:r>
      <w:r w:rsidR="000424AB" w:rsidRPr="005E758A">
        <w:rPr>
          <w:sz w:val="28"/>
          <w:szCs w:val="28"/>
        </w:rPr>
        <w:t>9</w:t>
      </w:r>
      <w:r w:rsidR="00F94587" w:rsidRPr="005E758A">
        <w:rPr>
          <w:sz w:val="28"/>
          <w:szCs w:val="28"/>
        </w:rPr>
        <w:t>歲的兩姊妹，其中一名遭到母親的虐待，另一名</w:t>
      </w:r>
      <w:r w:rsidR="000424AB" w:rsidRPr="005E758A">
        <w:rPr>
          <w:sz w:val="28"/>
          <w:szCs w:val="28"/>
        </w:rPr>
        <w:t>由於目擊虐待過程而心靈受創。基於兩姊妹遭受嚴重身心創傷且其父母無法</w:t>
      </w:r>
      <w:r w:rsidRPr="005E758A">
        <w:rPr>
          <w:sz w:val="28"/>
          <w:szCs w:val="28"/>
        </w:rPr>
        <w:t>提供保護，澳洲</w:t>
      </w:r>
      <w:proofErr w:type="gramStart"/>
      <w:r w:rsidRPr="005E758A">
        <w:rPr>
          <w:sz w:val="28"/>
          <w:szCs w:val="28"/>
        </w:rPr>
        <w:t>民政部為其</w:t>
      </w:r>
      <w:proofErr w:type="gramEnd"/>
      <w:r w:rsidRPr="005E758A">
        <w:rPr>
          <w:sz w:val="28"/>
          <w:szCs w:val="28"/>
        </w:rPr>
        <w:t>申請保護令，申請程序期間暫由其阿姨照顧。</w:t>
      </w:r>
      <w:r w:rsidR="000424AB" w:rsidRPr="005E758A">
        <w:rPr>
          <w:sz w:val="28"/>
          <w:szCs w:val="28"/>
        </w:rPr>
        <w:t>過程中代表兩姊妹的律師均認為她們有能力表達意見，兩姊妹也分別數度表示希望繼續與阿姨同住，並且不希望接觸其母親，但希望能與舅舅會面（兩姊妹的母親曾對該名舅舅做出性侵害的指控）。原</w:t>
      </w:r>
      <w:r w:rsidRPr="005E758A">
        <w:rPr>
          <w:sz w:val="28"/>
          <w:szCs w:val="28"/>
        </w:rPr>
        <w:t>審法院認為兩姊妹仍年幼，</w:t>
      </w:r>
      <w:proofErr w:type="gramStart"/>
      <w:r w:rsidRPr="005E758A">
        <w:rPr>
          <w:sz w:val="28"/>
          <w:szCs w:val="28"/>
        </w:rPr>
        <w:t>不</w:t>
      </w:r>
      <w:proofErr w:type="gramEnd"/>
      <w:r w:rsidRPr="005E758A">
        <w:rPr>
          <w:sz w:val="28"/>
          <w:szCs w:val="28"/>
        </w:rPr>
        <w:t>瞭</w:t>
      </w:r>
      <w:r w:rsidR="000424AB" w:rsidRPr="005E758A">
        <w:rPr>
          <w:sz w:val="28"/>
          <w:szCs w:val="28"/>
        </w:rPr>
        <w:t>解案件涉及的性侵害及藥物濫用指控，成</w:t>
      </w:r>
      <w:r w:rsidRPr="005E758A">
        <w:rPr>
          <w:sz w:val="28"/>
          <w:szCs w:val="28"/>
        </w:rPr>
        <w:t>熟度未達可以指示</w:t>
      </w:r>
      <w:r w:rsidR="000424AB" w:rsidRPr="005E758A">
        <w:rPr>
          <w:sz w:val="28"/>
          <w:szCs w:val="28"/>
        </w:rPr>
        <w:t>律師</w:t>
      </w:r>
      <w:r w:rsidR="000424AB" w:rsidRPr="005E758A">
        <w:rPr>
          <w:sz w:val="28"/>
          <w:szCs w:val="28"/>
        </w:rPr>
        <w:t xml:space="preserve"> (not mature enough to give instructions) </w:t>
      </w:r>
      <w:r w:rsidR="000424AB" w:rsidRPr="005E758A">
        <w:rPr>
          <w:sz w:val="28"/>
          <w:szCs w:val="28"/>
        </w:rPr>
        <w:t>的程度，且為了兒童的最佳利益，不應該允許兩姊妹由同樣的人代理。</w:t>
      </w:r>
    </w:p>
    <w:p w14:paraId="241A8F25" w14:textId="77777777" w:rsidR="000424AB" w:rsidRPr="005E758A" w:rsidRDefault="009574F1" w:rsidP="00490C95">
      <w:pPr>
        <w:snapToGrid w:val="0"/>
        <w:spacing w:before="100" w:beforeAutospacing="1" w:after="100" w:afterAutospacing="1" w:line="0" w:lineRule="atLeast"/>
        <w:ind w:firstLineChars="200" w:firstLine="560"/>
        <w:jc w:val="both"/>
        <w:rPr>
          <w:sz w:val="28"/>
          <w:szCs w:val="28"/>
        </w:rPr>
      </w:pPr>
      <w:r w:rsidRPr="005E758A">
        <w:rPr>
          <w:sz w:val="28"/>
          <w:szCs w:val="28"/>
        </w:rPr>
        <w:t>本案爭點為兩姊妹是否</w:t>
      </w:r>
      <w:proofErr w:type="gramStart"/>
      <w:r w:rsidRPr="005E758A">
        <w:rPr>
          <w:sz w:val="28"/>
          <w:szCs w:val="28"/>
        </w:rPr>
        <w:t>已達能指示</w:t>
      </w:r>
      <w:proofErr w:type="gramEnd"/>
      <w:r w:rsidRPr="005E758A">
        <w:rPr>
          <w:sz w:val="28"/>
          <w:szCs w:val="28"/>
        </w:rPr>
        <w:t>律師的成熟度。</w:t>
      </w:r>
      <w:r w:rsidR="000424AB" w:rsidRPr="005E758A">
        <w:rPr>
          <w:sz w:val="28"/>
          <w:szCs w:val="28"/>
        </w:rPr>
        <w:t>兩姊妹的代理人是否應以其最佳利益為考量而忽略其明示的意願。高等法院在考量國內法以及兒童權利公約和第</w:t>
      </w:r>
      <w:r w:rsidR="000424AB" w:rsidRPr="005E758A">
        <w:rPr>
          <w:sz w:val="28"/>
          <w:szCs w:val="28"/>
        </w:rPr>
        <w:t>12</w:t>
      </w:r>
      <w:r w:rsidRPr="005E758A">
        <w:rPr>
          <w:sz w:val="28"/>
          <w:szCs w:val="28"/>
        </w:rPr>
        <w:t>號一般性意見後</w:t>
      </w:r>
      <w:r w:rsidR="000424AB" w:rsidRPr="005E758A">
        <w:rPr>
          <w:sz w:val="28"/>
          <w:szCs w:val="28"/>
        </w:rPr>
        <w:t>認為</w:t>
      </w:r>
      <w:r w:rsidRPr="005E758A">
        <w:rPr>
          <w:sz w:val="28"/>
          <w:szCs w:val="28"/>
        </w:rPr>
        <w:t>，</w:t>
      </w:r>
      <w:r w:rsidR="000424AB" w:rsidRPr="005E758A">
        <w:rPr>
          <w:sz w:val="28"/>
          <w:szCs w:val="28"/>
        </w:rPr>
        <w:t>法院在衡量兒童提供律師指導的能力時，不應</w:t>
      </w:r>
      <w:r w:rsidRPr="005E758A">
        <w:rPr>
          <w:sz w:val="28"/>
          <w:szCs w:val="28"/>
        </w:rPr>
        <w:t>只考慮年齡</w:t>
      </w:r>
      <w:r w:rsidR="000424AB" w:rsidRPr="005E758A">
        <w:rPr>
          <w:sz w:val="28"/>
          <w:szCs w:val="28"/>
        </w:rPr>
        <w:t>，而是需要評估兒童的發展以及兒童對訴訟</w:t>
      </w:r>
      <w:proofErr w:type="gramStart"/>
      <w:r w:rsidR="000424AB" w:rsidRPr="005E758A">
        <w:rPr>
          <w:sz w:val="28"/>
          <w:szCs w:val="28"/>
        </w:rPr>
        <w:t>所涉爭點</w:t>
      </w:r>
      <w:proofErr w:type="gramEnd"/>
      <w:r w:rsidR="000424AB" w:rsidRPr="005E758A">
        <w:rPr>
          <w:sz w:val="28"/>
          <w:szCs w:val="28"/>
        </w:rPr>
        <w:t>以及指</w:t>
      </w:r>
      <w:r w:rsidRPr="005E758A">
        <w:rPr>
          <w:sz w:val="28"/>
          <w:szCs w:val="28"/>
        </w:rPr>
        <w:t>示</w:t>
      </w:r>
      <w:r w:rsidR="000424AB" w:rsidRPr="005E758A">
        <w:rPr>
          <w:sz w:val="28"/>
          <w:szCs w:val="28"/>
        </w:rPr>
        <w:t>律師之後果的理解，法院同時呼應過去判決中認為兒童最佳利益原則肯認了兒童為自主的權利主體，應有權表</w:t>
      </w:r>
      <w:r w:rsidRPr="005E758A">
        <w:rPr>
          <w:sz w:val="28"/>
          <w:szCs w:val="28"/>
        </w:rPr>
        <w:t>達意見並有權要求其意見納入權衡。高等法院因此認為原審法院僅以年齡</w:t>
      </w:r>
      <w:r w:rsidR="000424AB" w:rsidRPr="005E758A">
        <w:rPr>
          <w:sz w:val="28"/>
          <w:szCs w:val="28"/>
        </w:rPr>
        <w:t>判斷成熟度乃是錯誤的，此外程序上沒有提供兒童機會證明其成熟度也是另一瑕疵，高等法院因此決定撤銷原審法院裁定，並重新考慮兩姊妹針對法定代理人的主張。</w:t>
      </w:r>
    </w:p>
    <w:p w14:paraId="29F2348B" w14:textId="77777777" w:rsidR="000424AB" w:rsidRPr="005E758A" w:rsidRDefault="000424AB" w:rsidP="00490C95">
      <w:pPr>
        <w:snapToGrid w:val="0"/>
        <w:spacing w:before="100" w:beforeAutospacing="1" w:after="100" w:afterAutospacing="1" w:line="0" w:lineRule="atLeast"/>
        <w:ind w:firstLineChars="200" w:firstLine="560"/>
        <w:jc w:val="both"/>
        <w:rPr>
          <w:sz w:val="28"/>
          <w:szCs w:val="28"/>
        </w:rPr>
      </w:pPr>
      <w:r w:rsidRPr="005E758A">
        <w:rPr>
          <w:sz w:val="28"/>
          <w:szCs w:val="28"/>
        </w:rPr>
        <w:t>此一判決被論者認為符合兒童權利公約的規定及兒童權利委員會的詮釋，並於其後的判決</w:t>
      </w:r>
      <w:r w:rsidRPr="005E758A">
        <w:rPr>
          <w:rStyle w:val="af3"/>
          <w:sz w:val="28"/>
          <w:szCs w:val="28"/>
        </w:rPr>
        <w:endnoteReference w:id="162"/>
      </w:r>
      <w:r w:rsidR="009574F1" w:rsidRPr="005E758A">
        <w:rPr>
          <w:sz w:val="28"/>
          <w:szCs w:val="28"/>
        </w:rPr>
        <w:t>屢</w:t>
      </w:r>
      <w:r w:rsidRPr="005E758A">
        <w:rPr>
          <w:sz w:val="28"/>
          <w:szCs w:val="28"/>
        </w:rPr>
        <w:t>被引用。</w:t>
      </w:r>
    </w:p>
    <w:p w14:paraId="4BD67184" w14:textId="77777777" w:rsidR="000424AB" w:rsidRPr="005E758A" w:rsidRDefault="000424AB" w:rsidP="00490C95">
      <w:pPr>
        <w:pStyle w:val="2"/>
        <w:spacing w:line="0" w:lineRule="atLeast"/>
        <w:rPr>
          <w:szCs w:val="28"/>
        </w:rPr>
      </w:pPr>
      <w:r w:rsidRPr="005E758A">
        <w:rPr>
          <w:szCs w:val="28"/>
        </w:rPr>
        <w:t>綜合分析</w:t>
      </w:r>
    </w:p>
    <w:p w14:paraId="7CCDB78E" w14:textId="77777777" w:rsidR="000424AB" w:rsidRPr="005E758A" w:rsidRDefault="009574F1" w:rsidP="00490C95">
      <w:pPr>
        <w:snapToGrid w:val="0"/>
        <w:spacing w:before="100" w:beforeAutospacing="1" w:after="100" w:afterAutospacing="1" w:line="0" w:lineRule="atLeast"/>
        <w:ind w:firstLineChars="200" w:firstLine="560"/>
        <w:jc w:val="both"/>
        <w:rPr>
          <w:sz w:val="28"/>
          <w:szCs w:val="28"/>
        </w:rPr>
      </w:pPr>
      <w:r w:rsidRPr="005E758A">
        <w:rPr>
          <w:sz w:val="28"/>
          <w:szCs w:val="28"/>
        </w:rPr>
        <w:t>本條</w:t>
      </w:r>
      <w:r w:rsidR="000424AB" w:rsidRPr="005E758A">
        <w:rPr>
          <w:sz w:val="28"/>
          <w:szCs w:val="28"/>
        </w:rPr>
        <w:t>為公約四大原則之一，</w:t>
      </w:r>
      <w:r w:rsidRPr="005E758A">
        <w:rPr>
          <w:sz w:val="28"/>
          <w:szCs w:val="28"/>
        </w:rPr>
        <w:t>應與其他條文</w:t>
      </w:r>
      <w:r w:rsidR="000424AB" w:rsidRPr="005E758A">
        <w:rPr>
          <w:sz w:val="28"/>
          <w:szCs w:val="28"/>
        </w:rPr>
        <w:t>有所連結，其中又與第</w:t>
      </w:r>
      <w:r w:rsidR="000424AB" w:rsidRPr="005E758A">
        <w:rPr>
          <w:sz w:val="28"/>
          <w:szCs w:val="28"/>
        </w:rPr>
        <w:t>13</w:t>
      </w:r>
      <w:r w:rsidRPr="005E758A">
        <w:rPr>
          <w:sz w:val="28"/>
          <w:szCs w:val="28"/>
        </w:rPr>
        <w:t>條表意權的規定最密切相關</w:t>
      </w:r>
      <w:r w:rsidR="000424AB" w:rsidRPr="005E758A">
        <w:rPr>
          <w:sz w:val="28"/>
          <w:szCs w:val="28"/>
        </w:rPr>
        <w:t>。兒童權利委員會第</w:t>
      </w:r>
      <w:r w:rsidR="000424AB" w:rsidRPr="005E758A">
        <w:rPr>
          <w:sz w:val="28"/>
          <w:szCs w:val="28"/>
        </w:rPr>
        <w:t>12</w:t>
      </w:r>
      <w:r w:rsidR="000424AB" w:rsidRPr="005E758A">
        <w:rPr>
          <w:sz w:val="28"/>
          <w:szCs w:val="28"/>
        </w:rPr>
        <w:t>號一般性意見</w:t>
      </w:r>
      <w:r w:rsidR="000424AB" w:rsidRPr="005E758A">
        <w:rPr>
          <w:sz w:val="28"/>
          <w:szCs w:val="28"/>
        </w:rPr>
        <w:lastRenderedPageBreak/>
        <w:t>除對條文本身做出解釋外，另外亦檢討如何在不同環境中落實第</w:t>
      </w:r>
      <w:r w:rsidR="000424AB" w:rsidRPr="005E758A">
        <w:rPr>
          <w:sz w:val="28"/>
          <w:szCs w:val="28"/>
        </w:rPr>
        <w:t>12</w:t>
      </w:r>
      <w:r w:rsidR="00090AC1" w:rsidRPr="005E758A">
        <w:rPr>
          <w:sz w:val="28"/>
          <w:szCs w:val="28"/>
        </w:rPr>
        <w:t>條的權利，其討論的主題包括：家庭、替代性照顧</w:t>
      </w:r>
      <w:r w:rsidR="000424AB" w:rsidRPr="005E758A">
        <w:rPr>
          <w:sz w:val="28"/>
          <w:szCs w:val="28"/>
        </w:rPr>
        <w:t>、保健、教育和學校、遊戲、娛樂、體育和文化活動、工作場所、暴力環境、預防戰略的制定、移民和庇護程序、緊急情況以及國家和國際環境</w:t>
      </w:r>
      <w:r w:rsidRPr="005E758A">
        <w:rPr>
          <w:sz w:val="28"/>
          <w:szCs w:val="28"/>
        </w:rPr>
        <w:t>等</w:t>
      </w:r>
      <w:r w:rsidR="000424AB" w:rsidRPr="005E758A">
        <w:rPr>
          <w:sz w:val="28"/>
          <w:szCs w:val="28"/>
        </w:rPr>
        <w:t>，可作為進一步分析本條義務之依據。</w:t>
      </w:r>
    </w:p>
    <w:p w14:paraId="7B07C449" w14:textId="77777777" w:rsidR="008F1CCA" w:rsidRPr="005E758A" w:rsidRDefault="008F1CCA" w:rsidP="008F1CCA">
      <w:pPr>
        <w:pStyle w:val="2"/>
      </w:pPr>
      <w:r w:rsidRPr="005E758A">
        <w:t>參考資料</w:t>
      </w:r>
    </w:p>
    <w:p w14:paraId="74020E8A" w14:textId="77777777" w:rsidR="00041AD0" w:rsidRPr="005E758A" w:rsidRDefault="00041AD0" w:rsidP="00041AD0">
      <w:pPr>
        <w:pStyle w:val="a0"/>
        <w:numPr>
          <w:ilvl w:val="0"/>
          <w:numId w:val="73"/>
        </w:numPr>
        <w:snapToGrid w:val="0"/>
        <w:spacing w:before="100" w:beforeAutospacing="1" w:after="100" w:afterAutospacing="1"/>
        <w:ind w:leftChars="0"/>
        <w:jc w:val="both"/>
        <w:rPr>
          <w:rFonts w:ascii="Times New Roman" w:eastAsia="標楷體" w:hAnsi="Times New Roman"/>
          <w:sz w:val="28"/>
          <w:szCs w:val="28"/>
        </w:rPr>
      </w:pPr>
      <w:r w:rsidRPr="005E758A">
        <w:rPr>
          <w:rFonts w:ascii="Times New Roman" w:eastAsia="標楷體" w:hAnsi="Times New Roman"/>
          <w:sz w:val="28"/>
          <w:szCs w:val="28"/>
        </w:rPr>
        <w:t xml:space="preserve">ARTICLE 19, </w:t>
      </w:r>
      <w:r w:rsidRPr="005E758A">
        <w:rPr>
          <w:rFonts w:ascii="Times New Roman" w:eastAsia="標楷體" w:hAnsi="Times New Roman"/>
          <w:i/>
          <w:sz w:val="28"/>
          <w:szCs w:val="28"/>
        </w:rPr>
        <w:t>Kid’s Talk: Freedom of Expression and the UN Convention on the Rights of the Child</w:t>
      </w:r>
      <w:r w:rsidRPr="005E758A">
        <w:rPr>
          <w:rFonts w:ascii="Times New Roman" w:eastAsia="標楷體" w:hAnsi="Times New Roman"/>
          <w:sz w:val="28"/>
          <w:szCs w:val="28"/>
        </w:rPr>
        <w:t xml:space="preserve"> (1999), http://www.article19.</w:t>
      </w:r>
      <w:r w:rsidR="00FC32F0">
        <w:rPr>
          <w:rFonts w:ascii="Times New Roman" w:eastAsia="標楷體" w:hAnsi="Times New Roman"/>
          <w:sz w:val="28"/>
          <w:szCs w:val="28"/>
        </w:rPr>
        <w:br/>
      </w:r>
      <w:r w:rsidRPr="005E758A">
        <w:rPr>
          <w:rFonts w:ascii="Times New Roman" w:eastAsia="標楷體" w:hAnsi="Times New Roman"/>
          <w:sz w:val="28"/>
          <w:szCs w:val="28"/>
        </w:rPr>
        <w:t>org/data/files/pdfs/publications/children-kid-s-talk.pdf.</w:t>
      </w:r>
    </w:p>
    <w:p w14:paraId="0DF4C53D" w14:textId="77777777" w:rsidR="008F1CCA" w:rsidRPr="005E758A" w:rsidRDefault="008F1CCA" w:rsidP="007119F4">
      <w:pPr>
        <w:pStyle w:val="a0"/>
        <w:numPr>
          <w:ilvl w:val="0"/>
          <w:numId w:val="73"/>
        </w:numPr>
        <w:snapToGrid w:val="0"/>
        <w:spacing w:before="100" w:beforeAutospacing="1" w:after="100" w:afterAutospacing="1"/>
        <w:ind w:leftChars="0"/>
        <w:jc w:val="both"/>
        <w:rPr>
          <w:rFonts w:ascii="Times New Roman" w:eastAsia="標楷體" w:hAnsi="Times New Roman"/>
          <w:sz w:val="28"/>
          <w:szCs w:val="28"/>
        </w:rPr>
      </w:pPr>
      <w:r w:rsidRPr="005E758A">
        <w:rPr>
          <w:rFonts w:ascii="Times New Roman" w:eastAsia="標楷體" w:hAnsi="Times New Roman"/>
          <w:sz w:val="28"/>
          <w:szCs w:val="28"/>
        </w:rPr>
        <w:t>兒童權利委員會，第</w:t>
      </w:r>
      <w:r w:rsidRPr="005E758A">
        <w:rPr>
          <w:rFonts w:ascii="Times New Roman" w:eastAsia="標楷體" w:hAnsi="Times New Roman"/>
          <w:sz w:val="28"/>
          <w:szCs w:val="28"/>
        </w:rPr>
        <w:t>12</w:t>
      </w:r>
      <w:r w:rsidRPr="005E758A">
        <w:rPr>
          <w:rFonts w:ascii="Times New Roman" w:eastAsia="標楷體" w:hAnsi="Times New Roman"/>
          <w:sz w:val="28"/>
          <w:szCs w:val="28"/>
        </w:rPr>
        <w:t>號一般性意見</w:t>
      </w:r>
      <w:r w:rsidR="00D73A22" w:rsidRPr="005E758A">
        <w:rPr>
          <w:rFonts w:ascii="Times New Roman" w:eastAsia="標楷體" w:hAnsi="Times New Roman"/>
          <w:sz w:val="28"/>
          <w:szCs w:val="28"/>
        </w:rPr>
        <w:t>「</w:t>
      </w:r>
      <w:r w:rsidRPr="005E758A">
        <w:rPr>
          <w:rFonts w:ascii="Times New Roman" w:eastAsia="標楷體" w:hAnsi="Times New Roman"/>
          <w:sz w:val="28"/>
          <w:szCs w:val="28"/>
        </w:rPr>
        <w:t>兒童表達意見的權利</w:t>
      </w:r>
      <w:r w:rsidR="00D73A22" w:rsidRPr="005E758A">
        <w:rPr>
          <w:rFonts w:ascii="Times New Roman" w:eastAsia="標楷體" w:hAnsi="Times New Roman"/>
          <w:sz w:val="28"/>
          <w:szCs w:val="28"/>
        </w:rPr>
        <w:t>」</w:t>
      </w:r>
      <w:r w:rsidRPr="005E758A">
        <w:rPr>
          <w:rFonts w:ascii="Times New Roman" w:eastAsia="標楷體" w:hAnsi="Times New Roman"/>
          <w:sz w:val="28"/>
          <w:szCs w:val="28"/>
        </w:rPr>
        <w:t>。</w:t>
      </w:r>
      <w:r w:rsidRPr="005E758A">
        <w:rPr>
          <w:rFonts w:ascii="Times New Roman" w:eastAsia="標楷體" w:hAnsi="Times New Roman"/>
          <w:sz w:val="28"/>
          <w:szCs w:val="28"/>
        </w:rPr>
        <w:t>(Committee on the Rights of the Child, General Comment No. 12: The Right of the Child to Be Heard, U.N. Doc. CRC/C/GC/12 (July 20, 2009)).</w:t>
      </w:r>
    </w:p>
    <w:p w14:paraId="023F6771" w14:textId="77777777" w:rsidR="000424AB" w:rsidRPr="005E758A" w:rsidRDefault="000424AB" w:rsidP="00490C95">
      <w:pPr>
        <w:snapToGrid w:val="0"/>
        <w:spacing w:before="100" w:beforeAutospacing="1" w:after="100" w:afterAutospacing="1" w:line="0" w:lineRule="atLeast"/>
        <w:jc w:val="both"/>
        <w:rPr>
          <w:sz w:val="28"/>
          <w:szCs w:val="28"/>
        </w:rPr>
      </w:pPr>
    </w:p>
    <w:p w14:paraId="557008F4" w14:textId="77777777" w:rsidR="000424AB" w:rsidRPr="005E758A" w:rsidRDefault="000424AB" w:rsidP="00490C95">
      <w:pPr>
        <w:snapToGrid w:val="0"/>
        <w:spacing w:before="100" w:beforeAutospacing="1" w:after="100" w:afterAutospacing="1" w:line="0" w:lineRule="atLeast"/>
        <w:jc w:val="both"/>
        <w:rPr>
          <w:sz w:val="28"/>
          <w:szCs w:val="28"/>
        </w:rPr>
      </w:pPr>
      <w:r w:rsidRPr="005E758A">
        <w:rPr>
          <w:sz w:val="28"/>
          <w:szCs w:val="28"/>
        </w:rPr>
        <w:t>關鍵詞：表意自由、</w:t>
      </w:r>
      <w:r w:rsidR="00622C37" w:rsidRPr="005E758A">
        <w:rPr>
          <w:sz w:val="28"/>
          <w:szCs w:val="28"/>
        </w:rPr>
        <w:t>司法程序、行政程序</w:t>
      </w:r>
    </w:p>
    <w:p w14:paraId="46146D9B" w14:textId="77777777" w:rsidR="000424AB" w:rsidRPr="005E758A" w:rsidRDefault="000424AB" w:rsidP="00490C95">
      <w:pPr>
        <w:snapToGrid w:val="0"/>
        <w:spacing w:before="100" w:beforeAutospacing="1" w:after="100" w:afterAutospacing="1" w:line="0" w:lineRule="atLeast"/>
        <w:jc w:val="both"/>
        <w:rPr>
          <w:sz w:val="28"/>
          <w:szCs w:val="28"/>
        </w:rPr>
        <w:sectPr w:rsidR="000424AB" w:rsidRPr="005E758A" w:rsidSect="00135FC9">
          <w:footnotePr>
            <w:numRestart w:val="eachSect"/>
          </w:footnotePr>
          <w:endnotePr>
            <w:numFmt w:val="decimal"/>
            <w:numRestart w:val="eachSect"/>
          </w:endnotePr>
          <w:pgSz w:w="11906" w:h="16838"/>
          <w:pgMar w:top="1440" w:right="1797" w:bottom="1440" w:left="1797" w:header="851" w:footer="992" w:gutter="0"/>
          <w:cols w:space="425"/>
          <w:docGrid w:linePitch="360"/>
        </w:sectPr>
      </w:pPr>
    </w:p>
    <w:p w14:paraId="18BDB28C" w14:textId="77777777" w:rsidR="00FC32F0" w:rsidRDefault="00FC32F0" w:rsidP="00FC32F0">
      <w:pPr>
        <w:pStyle w:val="1"/>
        <w:rPr>
          <w:sz w:val="28"/>
          <w:szCs w:val="28"/>
        </w:rPr>
      </w:pPr>
      <w:bookmarkStart w:id="40" w:name="_Toc431072729"/>
      <w:r w:rsidRPr="005E758A">
        <w:lastRenderedPageBreak/>
        <w:t>第</w:t>
      </w:r>
      <w:r w:rsidRPr="005E758A">
        <w:t>13</w:t>
      </w:r>
      <w:r w:rsidRPr="005E758A">
        <w:t>條</w:t>
      </w:r>
      <w:r>
        <w:rPr>
          <w:rFonts w:hint="eastAsia"/>
        </w:rPr>
        <w:t xml:space="preserve">　表意權</w:t>
      </w:r>
      <w:bookmarkEnd w:id="40"/>
    </w:p>
    <w:tbl>
      <w:tblPr>
        <w:tblW w:w="82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8220"/>
      </w:tblGrid>
      <w:tr w:rsidR="00FC32F0" w:rsidRPr="005E758A" w14:paraId="42B3FA86" w14:textId="77777777" w:rsidTr="00FC32F0">
        <w:trPr>
          <w:jc w:val="center"/>
        </w:trPr>
        <w:tc>
          <w:tcPr>
            <w:tcW w:w="8220" w:type="dxa"/>
          </w:tcPr>
          <w:p w14:paraId="4077532A" w14:textId="77777777" w:rsidR="00FC32F0" w:rsidRPr="005E758A" w:rsidRDefault="00FC32F0" w:rsidP="002B035C">
            <w:pPr>
              <w:pStyle w:val="a0"/>
              <w:numPr>
                <w:ilvl w:val="0"/>
                <w:numId w:val="25"/>
              </w:numPr>
              <w:snapToGrid w:val="0"/>
              <w:spacing w:before="100" w:beforeAutospacing="1" w:after="100" w:afterAutospacing="1" w:line="0" w:lineRule="atLeast"/>
              <w:ind w:leftChars="0" w:left="357" w:hanging="357"/>
              <w:jc w:val="both"/>
              <w:rPr>
                <w:rFonts w:ascii="Times New Roman" w:eastAsia="標楷體" w:hAnsi="Times New Roman"/>
                <w:sz w:val="28"/>
                <w:szCs w:val="28"/>
              </w:rPr>
            </w:pPr>
            <w:bookmarkStart w:id="41" w:name="_Toc427238531"/>
            <w:r w:rsidRPr="005E758A">
              <w:rPr>
                <w:rFonts w:ascii="Times New Roman" w:eastAsia="標楷體" w:hAnsi="Times New Roman"/>
                <w:sz w:val="28"/>
                <w:szCs w:val="28"/>
              </w:rPr>
              <w:t>兒童應有自由表示意見之權利；此項權利應包括以言詞、書面或印刷、藝術形式或透過兒童所選擇之其他媒介，不受國境限制地尋求、接收與傳達各種資訊與思想之自由。</w:t>
            </w:r>
          </w:p>
          <w:p w14:paraId="3CBE55D7" w14:textId="77777777" w:rsidR="00FC32F0" w:rsidRPr="005E758A" w:rsidRDefault="00FC32F0" w:rsidP="002B035C">
            <w:pPr>
              <w:pStyle w:val="a0"/>
              <w:numPr>
                <w:ilvl w:val="0"/>
                <w:numId w:val="25"/>
              </w:numPr>
              <w:snapToGrid w:val="0"/>
              <w:spacing w:before="100" w:beforeAutospacing="1" w:after="100" w:afterAutospacing="1" w:line="0" w:lineRule="atLeast"/>
              <w:ind w:leftChars="0" w:left="357" w:hanging="357"/>
              <w:jc w:val="both"/>
              <w:rPr>
                <w:rFonts w:ascii="Times New Roman" w:eastAsia="標楷體" w:hAnsi="Times New Roman"/>
                <w:sz w:val="28"/>
                <w:szCs w:val="28"/>
              </w:rPr>
            </w:pPr>
            <w:r w:rsidRPr="005E758A">
              <w:rPr>
                <w:rFonts w:ascii="Times New Roman" w:eastAsia="標楷體" w:hAnsi="Times New Roman"/>
                <w:sz w:val="28"/>
                <w:szCs w:val="28"/>
              </w:rPr>
              <w:t>該項權利之行使得予以限制，惟應以法律規定且以達到下列目的所必要者為限：</w:t>
            </w:r>
            <w:r w:rsidRPr="005E758A">
              <w:rPr>
                <w:rFonts w:ascii="Times New Roman" w:eastAsia="標楷體" w:hAnsi="Times New Roman"/>
                <w:sz w:val="28"/>
                <w:szCs w:val="28"/>
              </w:rPr>
              <w:t xml:space="preserve"> </w:t>
            </w:r>
          </w:p>
          <w:p w14:paraId="6CEFDBF0" w14:textId="77777777" w:rsidR="00FC32F0" w:rsidRPr="005E758A" w:rsidRDefault="00FC32F0" w:rsidP="002B035C">
            <w:pPr>
              <w:pStyle w:val="a0"/>
              <w:numPr>
                <w:ilvl w:val="0"/>
                <w:numId w:val="26"/>
              </w:numPr>
              <w:snapToGrid w:val="0"/>
              <w:spacing w:before="100" w:beforeAutospacing="1" w:after="100" w:afterAutospacing="1" w:line="0" w:lineRule="atLeast"/>
              <w:ind w:leftChars="0" w:left="714" w:right="454" w:hanging="357"/>
              <w:jc w:val="both"/>
              <w:rPr>
                <w:rFonts w:ascii="Times New Roman" w:eastAsia="標楷體" w:hAnsi="Times New Roman"/>
                <w:sz w:val="28"/>
                <w:szCs w:val="28"/>
              </w:rPr>
            </w:pPr>
            <w:r w:rsidRPr="005E758A">
              <w:rPr>
                <w:rFonts w:ascii="Times New Roman" w:eastAsia="標楷體" w:hAnsi="Times New Roman"/>
                <w:sz w:val="28"/>
                <w:szCs w:val="28"/>
              </w:rPr>
              <w:t>為尊重他人之權利與名譽；或</w:t>
            </w:r>
          </w:p>
          <w:p w14:paraId="48D5874A" w14:textId="77777777" w:rsidR="00FC32F0" w:rsidRPr="005E758A" w:rsidRDefault="00FC32F0" w:rsidP="002B035C">
            <w:pPr>
              <w:pStyle w:val="a0"/>
              <w:numPr>
                <w:ilvl w:val="0"/>
                <w:numId w:val="26"/>
              </w:numPr>
              <w:snapToGrid w:val="0"/>
              <w:spacing w:before="100" w:beforeAutospacing="1" w:after="100" w:afterAutospacing="1" w:line="0" w:lineRule="atLeast"/>
              <w:ind w:leftChars="0" w:left="714" w:right="454" w:hanging="357"/>
              <w:jc w:val="both"/>
              <w:rPr>
                <w:rFonts w:ascii="Times New Roman" w:eastAsia="標楷體" w:hAnsi="Times New Roman"/>
                <w:sz w:val="28"/>
                <w:szCs w:val="28"/>
              </w:rPr>
            </w:pPr>
            <w:r w:rsidRPr="005E758A">
              <w:rPr>
                <w:rFonts w:ascii="Times New Roman" w:eastAsia="標楷體" w:hAnsi="Times New Roman"/>
                <w:sz w:val="28"/>
                <w:szCs w:val="28"/>
              </w:rPr>
              <w:t>為保障國家安全、公共秩序、公共衛生與道德。</w:t>
            </w:r>
          </w:p>
        </w:tc>
      </w:tr>
      <w:bookmarkEnd w:id="41"/>
    </w:tbl>
    <w:p w14:paraId="0D9EBBF4" w14:textId="77777777" w:rsidR="00FC32F0" w:rsidRPr="00FC32F0" w:rsidRDefault="00FC32F0" w:rsidP="00FC32F0">
      <w:pPr>
        <w:snapToGrid w:val="0"/>
        <w:spacing w:before="100" w:beforeAutospacing="1" w:after="100" w:afterAutospacing="1" w:line="0" w:lineRule="atLeast"/>
        <w:jc w:val="both"/>
        <w:rPr>
          <w:sz w:val="28"/>
          <w:szCs w:val="28"/>
        </w:rPr>
      </w:pPr>
    </w:p>
    <w:p w14:paraId="1D9D27E1" w14:textId="77777777" w:rsidR="000424AB" w:rsidRPr="005E758A" w:rsidRDefault="000424AB" w:rsidP="00490C95">
      <w:pPr>
        <w:pStyle w:val="2"/>
        <w:numPr>
          <w:ilvl w:val="0"/>
          <w:numId w:val="9"/>
        </w:numPr>
        <w:spacing w:line="0" w:lineRule="atLeast"/>
        <w:rPr>
          <w:szCs w:val="28"/>
        </w:rPr>
      </w:pPr>
      <w:r w:rsidRPr="005E758A">
        <w:rPr>
          <w:szCs w:val="28"/>
        </w:rPr>
        <w:t>規範宗旨</w:t>
      </w:r>
    </w:p>
    <w:p w14:paraId="310FAAF8" w14:textId="77777777" w:rsidR="000424AB" w:rsidRPr="005E758A" w:rsidRDefault="000424AB" w:rsidP="00490C95">
      <w:pPr>
        <w:snapToGrid w:val="0"/>
        <w:spacing w:before="100" w:beforeAutospacing="1" w:after="100" w:afterAutospacing="1" w:line="0" w:lineRule="atLeast"/>
        <w:ind w:firstLineChars="200" w:firstLine="560"/>
        <w:jc w:val="both"/>
        <w:rPr>
          <w:sz w:val="28"/>
          <w:szCs w:val="28"/>
        </w:rPr>
      </w:pPr>
      <w:r w:rsidRPr="005E758A">
        <w:rPr>
          <w:sz w:val="28"/>
          <w:szCs w:val="28"/>
        </w:rPr>
        <w:t>本條保障兒童普遍的表意權，其中包括表達意見以及獲取資訊的不同面向，表意權的保障於世界人權宣言</w:t>
      </w:r>
      <w:r w:rsidRPr="005E758A">
        <w:rPr>
          <w:rStyle w:val="af3"/>
          <w:sz w:val="28"/>
          <w:szCs w:val="28"/>
        </w:rPr>
        <w:endnoteReference w:id="163"/>
      </w:r>
      <w:r w:rsidRPr="005E758A">
        <w:rPr>
          <w:sz w:val="28"/>
          <w:szCs w:val="28"/>
        </w:rPr>
        <w:t>以及</w:t>
      </w:r>
      <w:r w:rsidR="00352716" w:rsidRPr="005E758A">
        <w:rPr>
          <w:sz w:val="28"/>
          <w:szCs w:val="28"/>
        </w:rPr>
        <w:t>公民與政治權利國際公約</w:t>
      </w:r>
      <w:r w:rsidRPr="005E758A">
        <w:rPr>
          <w:rStyle w:val="af3"/>
          <w:sz w:val="28"/>
          <w:szCs w:val="28"/>
        </w:rPr>
        <w:endnoteReference w:id="164"/>
      </w:r>
      <w:proofErr w:type="gramStart"/>
      <w:r w:rsidRPr="005E758A">
        <w:rPr>
          <w:sz w:val="28"/>
          <w:szCs w:val="28"/>
        </w:rPr>
        <w:t>中均有規範</w:t>
      </w:r>
      <w:proofErr w:type="gramEnd"/>
      <w:r w:rsidRPr="005E758A">
        <w:rPr>
          <w:sz w:val="28"/>
          <w:szCs w:val="28"/>
        </w:rPr>
        <w:t>。此項權利雖非絕對權，但締約國所</w:t>
      </w:r>
      <w:proofErr w:type="gramStart"/>
      <w:r w:rsidRPr="005E758A">
        <w:rPr>
          <w:sz w:val="28"/>
          <w:szCs w:val="28"/>
        </w:rPr>
        <w:t>採</w:t>
      </w:r>
      <w:proofErr w:type="gramEnd"/>
      <w:r w:rsidR="009574F1" w:rsidRPr="005E758A">
        <w:rPr>
          <w:sz w:val="28"/>
          <w:szCs w:val="28"/>
        </w:rPr>
        <w:t>限制此項權利之措施應符合</w:t>
      </w:r>
      <w:r w:rsidRPr="005E758A">
        <w:rPr>
          <w:sz w:val="28"/>
          <w:szCs w:val="28"/>
        </w:rPr>
        <w:t>本條第</w:t>
      </w:r>
      <w:r w:rsidRPr="005E758A">
        <w:rPr>
          <w:sz w:val="28"/>
          <w:szCs w:val="28"/>
        </w:rPr>
        <w:t>2</w:t>
      </w:r>
      <w:r w:rsidRPr="005E758A">
        <w:rPr>
          <w:sz w:val="28"/>
          <w:szCs w:val="28"/>
        </w:rPr>
        <w:t>項規定的要件。</w:t>
      </w:r>
    </w:p>
    <w:p w14:paraId="411EC9D4" w14:textId="77777777" w:rsidR="000424AB" w:rsidRPr="005E758A" w:rsidRDefault="000424AB" w:rsidP="00490C95">
      <w:pPr>
        <w:snapToGrid w:val="0"/>
        <w:spacing w:before="100" w:beforeAutospacing="1" w:after="100" w:afterAutospacing="1" w:line="0" w:lineRule="atLeast"/>
        <w:ind w:firstLineChars="200" w:firstLine="560"/>
        <w:jc w:val="both"/>
        <w:rPr>
          <w:sz w:val="28"/>
          <w:szCs w:val="28"/>
        </w:rPr>
      </w:pPr>
      <w:r w:rsidRPr="005E758A">
        <w:rPr>
          <w:sz w:val="28"/>
          <w:szCs w:val="28"/>
        </w:rPr>
        <w:t>本條文字與</w:t>
      </w:r>
      <w:r w:rsidR="00352716" w:rsidRPr="005E758A">
        <w:rPr>
          <w:sz w:val="28"/>
          <w:szCs w:val="28"/>
        </w:rPr>
        <w:t>公民與政治權利國際公約</w:t>
      </w:r>
      <w:r w:rsidRPr="005E758A">
        <w:rPr>
          <w:sz w:val="28"/>
          <w:szCs w:val="28"/>
        </w:rPr>
        <w:t>第</w:t>
      </w:r>
      <w:r w:rsidRPr="005E758A">
        <w:rPr>
          <w:sz w:val="28"/>
          <w:szCs w:val="28"/>
        </w:rPr>
        <w:t>19</w:t>
      </w:r>
      <w:r w:rsidR="009574F1" w:rsidRPr="005E758A">
        <w:rPr>
          <w:sz w:val="28"/>
          <w:szCs w:val="28"/>
        </w:rPr>
        <w:t>條幾乎完全相同，最大的不同之處，除了本條保護主體限於兒童（</w:t>
      </w:r>
      <w:r w:rsidR="00352716" w:rsidRPr="005E758A">
        <w:rPr>
          <w:sz w:val="28"/>
          <w:szCs w:val="28"/>
        </w:rPr>
        <w:t>公民與政治權利國際公約</w:t>
      </w:r>
      <w:r w:rsidRPr="005E758A">
        <w:rPr>
          <w:sz w:val="28"/>
          <w:szCs w:val="28"/>
        </w:rPr>
        <w:t>第</w:t>
      </w:r>
      <w:r w:rsidRPr="005E758A">
        <w:rPr>
          <w:sz w:val="28"/>
          <w:szCs w:val="28"/>
        </w:rPr>
        <w:t>19</w:t>
      </w:r>
      <w:r w:rsidRPr="005E758A">
        <w:rPr>
          <w:sz w:val="28"/>
          <w:szCs w:val="28"/>
        </w:rPr>
        <w:t>條</w:t>
      </w:r>
      <w:r w:rsidR="009574F1" w:rsidRPr="005E758A">
        <w:rPr>
          <w:sz w:val="28"/>
          <w:szCs w:val="28"/>
        </w:rPr>
        <w:t>保護所有個人）之外，即是本條欠缺「保持意見不受干預之權利」</w:t>
      </w:r>
      <w:proofErr w:type="gramStart"/>
      <w:r w:rsidR="009574F1" w:rsidRPr="005E758A">
        <w:rPr>
          <w:sz w:val="28"/>
          <w:szCs w:val="28"/>
        </w:rPr>
        <w:t>一</w:t>
      </w:r>
      <w:proofErr w:type="gramEnd"/>
      <w:r w:rsidR="009574F1" w:rsidRPr="005E758A">
        <w:rPr>
          <w:sz w:val="28"/>
          <w:szCs w:val="28"/>
        </w:rPr>
        <w:t>語</w:t>
      </w:r>
      <w:r w:rsidRPr="005E758A">
        <w:rPr>
          <w:sz w:val="28"/>
          <w:szCs w:val="28"/>
        </w:rPr>
        <w:t>，但這並不表示兒童不享有這項權利，聯合國增進和保護見解和言論自由權問題特別報告員</w:t>
      </w:r>
      <w:r w:rsidRPr="005E758A">
        <w:rPr>
          <w:sz w:val="28"/>
          <w:szCs w:val="28"/>
        </w:rPr>
        <w:t>(Special Rapporteur on the Promotion and Protection of the Right to Freedom of Opinion and Expression)</w:t>
      </w:r>
      <w:r w:rsidR="009574F1" w:rsidRPr="005E758A">
        <w:rPr>
          <w:sz w:val="28"/>
          <w:szCs w:val="28"/>
        </w:rPr>
        <w:t>表示這項權利解釋上得</w:t>
      </w:r>
      <w:r w:rsidRPr="005E758A">
        <w:rPr>
          <w:sz w:val="28"/>
          <w:szCs w:val="28"/>
        </w:rPr>
        <w:t>屬於第</w:t>
      </w:r>
      <w:r w:rsidRPr="005E758A">
        <w:rPr>
          <w:sz w:val="28"/>
          <w:szCs w:val="28"/>
        </w:rPr>
        <w:t>13</w:t>
      </w:r>
      <w:r w:rsidRPr="005E758A">
        <w:rPr>
          <w:sz w:val="28"/>
          <w:szCs w:val="28"/>
        </w:rPr>
        <w:t>條第</w:t>
      </w:r>
      <w:r w:rsidRPr="005E758A">
        <w:rPr>
          <w:sz w:val="28"/>
          <w:szCs w:val="28"/>
        </w:rPr>
        <w:t>1</w:t>
      </w:r>
      <w:r w:rsidRPr="005E758A">
        <w:rPr>
          <w:sz w:val="28"/>
          <w:szCs w:val="28"/>
        </w:rPr>
        <w:t>項規定，或涵蓋於公約第</w:t>
      </w:r>
      <w:r w:rsidRPr="005E758A">
        <w:rPr>
          <w:sz w:val="28"/>
          <w:szCs w:val="28"/>
        </w:rPr>
        <w:t>12</w:t>
      </w:r>
      <w:r w:rsidRPr="005E758A">
        <w:rPr>
          <w:sz w:val="28"/>
          <w:szCs w:val="28"/>
        </w:rPr>
        <w:t>條或第</w:t>
      </w:r>
      <w:r w:rsidRPr="005E758A">
        <w:rPr>
          <w:sz w:val="28"/>
          <w:szCs w:val="28"/>
        </w:rPr>
        <w:t>14</w:t>
      </w:r>
      <w:r w:rsidRPr="005E758A">
        <w:rPr>
          <w:sz w:val="28"/>
          <w:szCs w:val="28"/>
        </w:rPr>
        <w:t>條的範圍</w:t>
      </w:r>
      <w:bookmarkStart w:id="42" w:name="_Ref422476532"/>
      <w:r w:rsidRPr="005E758A">
        <w:rPr>
          <w:rStyle w:val="af3"/>
          <w:sz w:val="28"/>
          <w:szCs w:val="28"/>
        </w:rPr>
        <w:endnoteReference w:id="165"/>
      </w:r>
      <w:bookmarkEnd w:id="42"/>
      <w:r w:rsidRPr="005E758A">
        <w:rPr>
          <w:sz w:val="28"/>
          <w:szCs w:val="28"/>
        </w:rPr>
        <w:t>。本條應被視為輔助</w:t>
      </w:r>
      <w:r w:rsidR="00CE2B9A" w:rsidRPr="005E758A">
        <w:rPr>
          <w:sz w:val="28"/>
          <w:szCs w:val="28"/>
        </w:rPr>
        <w:t>公民與政治權利國際公約</w:t>
      </w:r>
      <w:r w:rsidRPr="005E758A">
        <w:rPr>
          <w:sz w:val="28"/>
          <w:szCs w:val="28"/>
        </w:rPr>
        <w:t>第</w:t>
      </w:r>
      <w:r w:rsidRPr="005E758A">
        <w:rPr>
          <w:sz w:val="28"/>
          <w:szCs w:val="28"/>
        </w:rPr>
        <w:t>19</w:t>
      </w:r>
      <w:r w:rsidR="009574F1" w:rsidRPr="005E758A">
        <w:rPr>
          <w:sz w:val="28"/>
          <w:szCs w:val="28"/>
        </w:rPr>
        <w:t>條的加強規定，而非取代該條的規範</w:t>
      </w:r>
      <w:r w:rsidRPr="005E758A">
        <w:rPr>
          <w:rStyle w:val="af3"/>
          <w:sz w:val="28"/>
          <w:szCs w:val="28"/>
        </w:rPr>
        <w:endnoteReference w:id="166"/>
      </w:r>
      <w:r w:rsidRPr="005E758A">
        <w:rPr>
          <w:sz w:val="28"/>
          <w:szCs w:val="28"/>
        </w:rPr>
        <w:t>。</w:t>
      </w:r>
    </w:p>
    <w:p w14:paraId="5531ACC5" w14:textId="77777777" w:rsidR="000424AB" w:rsidRPr="005E758A" w:rsidRDefault="000424AB" w:rsidP="00490C95">
      <w:pPr>
        <w:pStyle w:val="2"/>
        <w:spacing w:line="0" w:lineRule="atLeast"/>
        <w:rPr>
          <w:szCs w:val="28"/>
        </w:rPr>
      </w:pPr>
      <w:r w:rsidRPr="005E758A">
        <w:rPr>
          <w:szCs w:val="28"/>
        </w:rPr>
        <w:t>條文</w:t>
      </w:r>
      <w:r w:rsidR="00745DE3" w:rsidRPr="005E758A">
        <w:rPr>
          <w:szCs w:val="28"/>
        </w:rPr>
        <w:t>要</w:t>
      </w:r>
      <w:r w:rsidRPr="005E758A">
        <w:rPr>
          <w:szCs w:val="28"/>
        </w:rPr>
        <w:t>義</w:t>
      </w:r>
    </w:p>
    <w:p w14:paraId="6DBDEAD7" w14:textId="77777777" w:rsidR="000424AB" w:rsidRPr="005E758A" w:rsidRDefault="000424AB" w:rsidP="00490C95">
      <w:pPr>
        <w:pStyle w:val="3"/>
        <w:numPr>
          <w:ilvl w:val="0"/>
          <w:numId w:val="10"/>
        </w:numPr>
        <w:spacing w:line="0" w:lineRule="atLeast"/>
        <w:rPr>
          <w:szCs w:val="28"/>
        </w:rPr>
      </w:pPr>
      <w:r w:rsidRPr="005E758A">
        <w:rPr>
          <w:szCs w:val="28"/>
        </w:rPr>
        <w:t>第</w:t>
      </w:r>
      <w:r w:rsidRPr="005E758A">
        <w:rPr>
          <w:szCs w:val="28"/>
        </w:rPr>
        <w:t>13</w:t>
      </w:r>
      <w:r w:rsidRPr="005E758A">
        <w:rPr>
          <w:szCs w:val="28"/>
        </w:rPr>
        <w:t>條第</w:t>
      </w:r>
      <w:r w:rsidRPr="005E758A">
        <w:rPr>
          <w:szCs w:val="28"/>
        </w:rPr>
        <w:t>1</w:t>
      </w:r>
      <w:r w:rsidRPr="005E758A">
        <w:rPr>
          <w:szCs w:val="28"/>
        </w:rPr>
        <w:t>項</w:t>
      </w:r>
    </w:p>
    <w:p w14:paraId="29E71BD0" w14:textId="77777777" w:rsidR="000424AB" w:rsidRPr="005E758A" w:rsidRDefault="000424AB" w:rsidP="00490C95">
      <w:pPr>
        <w:snapToGrid w:val="0"/>
        <w:spacing w:before="100" w:beforeAutospacing="1" w:after="100" w:afterAutospacing="1" w:line="0" w:lineRule="atLeast"/>
        <w:ind w:firstLineChars="200" w:firstLine="560"/>
        <w:jc w:val="both"/>
        <w:rPr>
          <w:sz w:val="28"/>
          <w:szCs w:val="28"/>
        </w:rPr>
      </w:pPr>
      <w:proofErr w:type="gramStart"/>
      <w:r w:rsidRPr="005E758A">
        <w:rPr>
          <w:sz w:val="28"/>
          <w:szCs w:val="28"/>
        </w:rPr>
        <w:t>本條表意</w:t>
      </w:r>
      <w:proofErr w:type="gramEnd"/>
      <w:r w:rsidRPr="005E758A">
        <w:rPr>
          <w:sz w:val="28"/>
          <w:szCs w:val="28"/>
        </w:rPr>
        <w:t>權的內涵包括積極取得資訊的面向、相對而言較被動的接收資訊面向，以及主動傳達意見的面向。資訊的取得為促進表意權落實的重要一環，透過資訊的取得</w:t>
      </w:r>
      <w:r w:rsidR="00776DBF" w:rsidRPr="005E758A">
        <w:rPr>
          <w:sz w:val="28"/>
          <w:szCs w:val="28"/>
        </w:rPr>
        <w:t>兒童始得對各項事物</w:t>
      </w:r>
      <w:r w:rsidRPr="005E758A">
        <w:rPr>
          <w:sz w:val="28"/>
          <w:szCs w:val="28"/>
        </w:rPr>
        <w:t>形成意見，聯合國人權事務委員會強調締約國有義務提供管道讓民眾（包括兒童）取得國家掌握的資訊</w:t>
      </w:r>
      <w:bookmarkStart w:id="43" w:name="_Ref422488020"/>
      <w:r w:rsidRPr="005E758A">
        <w:rPr>
          <w:rStyle w:val="af3"/>
          <w:sz w:val="28"/>
          <w:szCs w:val="28"/>
        </w:rPr>
        <w:endnoteReference w:id="167"/>
      </w:r>
      <w:bookmarkEnd w:id="43"/>
      <w:r w:rsidR="00776DBF" w:rsidRPr="005E758A">
        <w:rPr>
          <w:sz w:val="28"/>
          <w:szCs w:val="28"/>
        </w:rPr>
        <w:t>，兒童權利委員會</w:t>
      </w:r>
      <w:r w:rsidRPr="005E758A">
        <w:rPr>
          <w:sz w:val="28"/>
          <w:szCs w:val="28"/>
        </w:rPr>
        <w:t>採取同樣的見解，尤其在涉及</w:t>
      </w:r>
      <w:r w:rsidRPr="005E758A">
        <w:rPr>
          <w:sz w:val="28"/>
          <w:szCs w:val="28"/>
        </w:rPr>
        <w:lastRenderedPageBreak/>
        <w:t>兒童出身及背景相關的資訊時，締約國更應提供兒童取得資訊的機會</w:t>
      </w:r>
      <w:r w:rsidRPr="005E758A">
        <w:rPr>
          <w:rStyle w:val="af3"/>
          <w:sz w:val="28"/>
          <w:szCs w:val="28"/>
        </w:rPr>
        <w:endnoteReference w:id="168"/>
      </w:r>
      <w:r w:rsidRPr="005E758A">
        <w:rPr>
          <w:sz w:val="28"/>
          <w:szCs w:val="28"/>
        </w:rPr>
        <w:t>，並應特別確保偏遠地區兒童等擁有較少資源的兒童，亦得享有這項權利</w:t>
      </w:r>
      <w:r w:rsidRPr="005E758A">
        <w:rPr>
          <w:rStyle w:val="af3"/>
          <w:sz w:val="28"/>
          <w:szCs w:val="28"/>
        </w:rPr>
        <w:endnoteReference w:id="169"/>
      </w:r>
      <w:r w:rsidRPr="005E758A">
        <w:rPr>
          <w:sz w:val="28"/>
          <w:szCs w:val="28"/>
        </w:rPr>
        <w:t>。</w:t>
      </w:r>
    </w:p>
    <w:p w14:paraId="2222CF02" w14:textId="77777777" w:rsidR="000424AB" w:rsidRPr="005E758A" w:rsidRDefault="000424AB" w:rsidP="00490C95">
      <w:pPr>
        <w:snapToGrid w:val="0"/>
        <w:spacing w:before="100" w:beforeAutospacing="1" w:after="100" w:afterAutospacing="1" w:line="0" w:lineRule="atLeast"/>
        <w:ind w:firstLineChars="200" w:firstLine="560"/>
        <w:jc w:val="both"/>
        <w:rPr>
          <w:sz w:val="28"/>
          <w:szCs w:val="28"/>
        </w:rPr>
      </w:pPr>
      <w:r w:rsidRPr="005E758A">
        <w:rPr>
          <w:sz w:val="28"/>
          <w:szCs w:val="28"/>
        </w:rPr>
        <w:t>表意權的第二</w:t>
      </w:r>
      <w:proofErr w:type="gramStart"/>
      <w:r w:rsidRPr="005E758A">
        <w:rPr>
          <w:sz w:val="28"/>
          <w:szCs w:val="28"/>
        </w:rPr>
        <w:t>個</w:t>
      </w:r>
      <w:proofErr w:type="gramEnd"/>
      <w:r w:rsidRPr="005E758A">
        <w:rPr>
          <w:sz w:val="28"/>
          <w:szCs w:val="28"/>
        </w:rPr>
        <w:t>層面為接收各種資訊與思想的權利，這項權利與兒童的受教權息息相關，兒童權利委員會於這方面所作的解釋雖有限，但委員會曾表示締約國有義務讓兒童知悉各種不同的文化</w:t>
      </w:r>
      <w:r w:rsidRPr="005E758A">
        <w:rPr>
          <w:rStyle w:val="af3"/>
          <w:sz w:val="28"/>
          <w:szCs w:val="28"/>
        </w:rPr>
        <w:endnoteReference w:id="170"/>
      </w:r>
      <w:r w:rsidRPr="005E758A">
        <w:rPr>
          <w:sz w:val="28"/>
          <w:szCs w:val="28"/>
        </w:rPr>
        <w:t>。雖然兒童享有取得及接收資訊的權利，締約國應盡力避免兒童接觸到有害的資訊</w:t>
      </w:r>
      <w:bookmarkStart w:id="44" w:name="_Ref422479905"/>
      <w:r w:rsidRPr="005E758A">
        <w:rPr>
          <w:rStyle w:val="af3"/>
          <w:sz w:val="28"/>
          <w:szCs w:val="28"/>
        </w:rPr>
        <w:endnoteReference w:id="171"/>
      </w:r>
      <w:bookmarkEnd w:id="44"/>
      <w:r w:rsidR="00776DBF" w:rsidRPr="005E758A">
        <w:rPr>
          <w:sz w:val="28"/>
          <w:szCs w:val="28"/>
        </w:rPr>
        <w:t>，兒童權利委員會曾</w:t>
      </w:r>
      <w:r w:rsidRPr="005E758A">
        <w:rPr>
          <w:sz w:val="28"/>
          <w:szCs w:val="28"/>
        </w:rPr>
        <w:t>多次強調締約國有義務管制各類媒體及訊息管道，以避免提供兒童含有暴力或色情等有害資訊</w:t>
      </w:r>
      <w:r w:rsidRPr="005E758A">
        <w:rPr>
          <w:rStyle w:val="af3"/>
          <w:sz w:val="28"/>
          <w:szCs w:val="28"/>
        </w:rPr>
        <w:endnoteReference w:id="172"/>
      </w:r>
      <w:r w:rsidRPr="005E758A">
        <w:rPr>
          <w:sz w:val="28"/>
          <w:szCs w:val="28"/>
        </w:rPr>
        <w:t>。</w:t>
      </w:r>
    </w:p>
    <w:p w14:paraId="2C6C4E67" w14:textId="77777777" w:rsidR="000424AB" w:rsidRPr="005E758A" w:rsidRDefault="000424AB" w:rsidP="00490C95">
      <w:pPr>
        <w:snapToGrid w:val="0"/>
        <w:spacing w:before="100" w:beforeAutospacing="1" w:after="100" w:afterAutospacing="1" w:line="0" w:lineRule="atLeast"/>
        <w:ind w:firstLineChars="200" w:firstLine="560"/>
        <w:jc w:val="both"/>
        <w:rPr>
          <w:sz w:val="28"/>
          <w:szCs w:val="28"/>
        </w:rPr>
      </w:pPr>
      <w:r w:rsidRPr="005E758A">
        <w:rPr>
          <w:sz w:val="28"/>
          <w:szCs w:val="28"/>
        </w:rPr>
        <w:t>最後一個層面為傳達各種資訊與思想的權利，由於傳統家庭與社會的觀念以及對兒童角色的解讀，</w:t>
      </w:r>
      <w:r w:rsidR="00CE2B9A" w:rsidRPr="005E758A">
        <w:rPr>
          <w:sz w:val="28"/>
          <w:szCs w:val="28"/>
        </w:rPr>
        <w:t>使得兒童在表達意見的過程中遭到侷限及困</w:t>
      </w:r>
      <w:proofErr w:type="gramStart"/>
      <w:r w:rsidR="00CE2B9A" w:rsidRPr="005E758A">
        <w:rPr>
          <w:sz w:val="28"/>
          <w:szCs w:val="28"/>
        </w:rPr>
        <w:t>難</w:t>
      </w:r>
      <w:proofErr w:type="gramEnd"/>
      <w:r w:rsidRPr="005E758A">
        <w:rPr>
          <w:rStyle w:val="af3"/>
          <w:sz w:val="28"/>
          <w:szCs w:val="28"/>
        </w:rPr>
        <w:endnoteReference w:id="173"/>
      </w:r>
      <w:r w:rsidRPr="005E758A">
        <w:rPr>
          <w:sz w:val="28"/>
          <w:szCs w:val="28"/>
        </w:rPr>
        <w:t>，兒童權利委員會除要求締約國提倡兒童表達意見的權利外，並要求採取一切措施確保包括父母親、老師、維安人員等各方均尊重兒童表意權的行使</w:t>
      </w:r>
      <w:r w:rsidRPr="005E758A">
        <w:rPr>
          <w:rStyle w:val="af3"/>
          <w:sz w:val="28"/>
          <w:szCs w:val="28"/>
        </w:rPr>
        <w:endnoteReference w:id="174"/>
      </w:r>
      <w:r w:rsidRPr="005E758A">
        <w:rPr>
          <w:sz w:val="28"/>
          <w:szCs w:val="28"/>
        </w:rPr>
        <w:t>，更曾明確建議締約國增加預算分配，提升兒童表達意見的權利及鼓勵其與各類媒體的互動，以強化其身為權利主體的地位</w:t>
      </w:r>
      <w:r w:rsidRPr="005E758A">
        <w:rPr>
          <w:rStyle w:val="af3"/>
          <w:sz w:val="28"/>
          <w:szCs w:val="28"/>
        </w:rPr>
        <w:endnoteReference w:id="175"/>
      </w:r>
      <w:r w:rsidRPr="005E758A">
        <w:rPr>
          <w:sz w:val="28"/>
          <w:szCs w:val="28"/>
        </w:rPr>
        <w:t>。</w:t>
      </w:r>
    </w:p>
    <w:p w14:paraId="5208949E" w14:textId="77777777" w:rsidR="000424AB" w:rsidRPr="005E758A" w:rsidRDefault="000424AB" w:rsidP="00490C95">
      <w:pPr>
        <w:pStyle w:val="3"/>
        <w:spacing w:line="0" w:lineRule="atLeast"/>
        <w:rPr>
          <w:szCs w:val="28"/>
        </w:rPr>
      </w:pPr>
      <w:r w:rsidRPr="005E758A">
        <w:rPr>
          <w:szCs w:val="28"/>
        </w:rPr>
        <w:t>第</w:t>
      </w:r>
      <w:r w:rsidRPr="005E758A">
        <w:rPr>
          <w:szCs w:val="28"/>
        </w:rPr>
        <w:t>13</w:t>
      </w:r>
      <w:r w:rsidRPr="005E758A">
        <w:rPr>
          <w:szCs w:val="28"/>
        </w:rPr>
        <w:t>條第</w:t>
      </w:r>
      <w:r w:rsidRPr="005E758A">
        <w:rPr>
          <w:szCs w:val="28"/>
        </w:rPr>
        <w:t>2</w:t>
      </w:r>
      <w:r w:rsidRPr="005E758A">
        <w:rPr>
          <w:szCs w:val="28"/>
        </w:rPr>
        <w:t>項</w:t>
      </w:r>
    </w:p>
    <w:p w14:paraId="2E3A4B04" w14:textId="77777777" w:rsidR="000424AB" w:rsidRPr="005E758A" w:rsidRDefault="00776DBF" w:rsidP="00490C95">
      <w:pPr>
        <w:snapToGrid w:val="0"/>
        <w:spacing w:before="100" w:beforeAutospacing="1" w:after="100" w:afterAutospacing="1" w:line="0" w:lineRule="atLeast"/>
        <w:ind w:firstLineChars="200" w:firstLine="560"/>
        <w:jc w:val="both"/>
        <w:rPr>
          <w:sz w:val="28"/>
          <w:szCs w:val="28"/>
        </w:rPr>
      </w:pPr>
      <w:r w:rsidRPr="005E758A">
        <w:rPr>
          <w:sz w:val="28"/>
          <w:szCs w:val="28"/>
        </w:rPr>
        <w:t>根據本項，締約國若欲對</w:t>
      </w:r>
      <w:r w:rsidR="000424AB" w:rsidRPr="005E758A">
        <w:rPr>
          <w:sz w:val="28"/>
          <w:szCs w:val="28"/>
        </w:rPr>
        <w:t>兒童表意權的行使設限，應以法律規定之，且該限制目的僅限於條文明列之目的</w:t>
      </w:r>
      <w:r w:rsidRPr="005E758A">
        <w:rPr>
          <w:sz w:val="28"/>
          <w:szCs w:val="28"/>
        </w:rPr>
        <w:t>，但</w:t>
      </w:r>
      <w:r w:rsidR="000424AB" w:rsidRPr="005E758A">
        <w:rPr>
          <w:sz w:val="28"/>
          <w:szCs w:val="28"/>
        </w:rPr>
        <w:t>兒童權利委員會並未對上</w:t>
      </w:r>
      <w:r w:rsidRPr="005E758A">
        <w:rPr>
          <w:sz w:val="28"/>
          <w:szCs w:val="28"/>
        </w:rPr>
        <w:t>揭要件多做著墨。</w:t>
      </w:r>
      <w:r w:rsidR="000424AB" w:rsidRPr="005E758A">
        <w:rPr>
          <w:sz w:val="28"/>
          <w:szCs w:val="28"/>
        </w:rPr>
        <w:t>有</w:t>
      </w:r>
      <w:proofErr w:type="gramStart"/>
      <w:r w:rsidR="000424AB" w:rsidRPr="005E758A">
        <w:rPr>
          <w:sz w:val="28"/>
          <w:szCs w:val="28"/>
        </w:rPr>
        <w:t>鑑</w:t>
      </w:r>
      <w:proofErr w:type="gramEnd"/>
      <w:r w:rsidR="000424AB" w:rsidRPr="005E758A">
        <w:rPr>
          <w:sz w:val="28"/>
          <w:szCs w:val="28"/>
        </w:rPr>
        <w:t>於本條與</w:t>
      </w:r>
      <w:r w:rsidR="00CE2B9A" w:rsidRPr="005E758A">
        <w:rPr>
          <w:sz w:val="28"/>
          <w:szCs w:val="28"/>
        </w:rPr>
        <w:t>公民與政治權利國際公約</w:t>
      </w:r>
      <w:r w:rsidR="000424AB" w:rsidRPr="005E758A">
        <w:rPr>
          <w:sz w:val="28"/>
          <w:szCs w:val="28"/>
        </w:rPr>
        <w:t>第</w:t>
      </w:r>
      <w:r w:rsidR="000424AB" w:rsidRPr="005E758A">
        <w:rPr>
          <w:sz w:val="28"/>
          <w:szCs w:val="28"/>
        </w:rPr>
        <w:t>19</w:t>
      </w:r>
      <w:r w:rsidR="000424AB" w:rsidRPr="005E758A">
        <w:rPr>
          <w:sz w:val="28"/>
          <w:szCs w:val="28"/>
        </w:rPr>
        <w:t>條之密切關係，</w:t>
      </w:r>
      <w:r w:rsidRPr="005E758A">
        <w:rPr>
          <w:sz w:val="28"/>
          <w:szCs w:val="28"/>
        </w:rPr>
        <w:t>聯合國</w:t>
      </w:r>
      <w:r w:rsidR="000424AB" w:rsidRPr="005E758A">
        <w:rPr>
          <w:sz w:val="28"/>
          <w:szCs w:val="28"/>
        </w:rPr>
        <w:t>人權委員會對該條所做出的解釋應可參考</w:t>
      </w:r>
      <w:r w:rsidR="000424AB" w:rsidRPr="005E758A">
        <w:rPr>
          <w:rStyle w:val="af3"/>
          <w:sz w:val="28"/>
          <w:szCs w:val="28"/>
        </w:rPr>
        <w:endnoteReference w:id="176"/>
      </w:r>
      <w:r w:rsidR="000424AB" w:rsidRPr="005E758A">
        <w:rPr>
          <w:sz w:val="28"/>
          <w:szCs w:val="28"/>
        </w:rPr>
        <w:t>。</w:t>
      </w:r>
    </w:p>
    <w:p w14:paraId="0D5C9539" w14:textId="77777777" w:rsidR="00CE2B9A" w:rsidRPr="005E758A" w:rsidRDefault="00776DBF" w:rsidP="00490C95">
      <w:pPr>
        <w:snapToGrid w:val="0"/>
        <w:spacing w:before="100" w:beforeAutospacing="1" w:after="100" w:afterAutospacing="1" w:line="0" w:lineRule="atLeast"/>
        <w:ind w:firstLineChars="200" w:firstLine="560"/>
        <w:jc w:val="both"/>
        <w:rPr>
          <w:sz w:val="28"/>
          <w:szCs w:val="28"/>
        </w:rPr>
      </w:pPr>
      <w:r w:rsidRPr="005E758A">
        <w:rPr>
          <w:sz w:val="28"/>
          <w:szCs w:val="28"/>
        </w:rPr>
        <w:t>首先，締約國有義務將表意權的限制明定</w:t>
      </w:r>
      <w:r w:rsidR="000424AB" w:rsidRPr="005E758A">
        <w:rPr>
          <w:sz w:val="28"/>
          <w:szCs w:val="28"/>
        </w:rPr>
        <w:t>於法律中，雖然本條與</w:t>
      </w:r>
      <w:r w:rsidR="00CE2B9A" w:rsidRPr="005E758A">
        <w:rPr>
          <w:sz w:val="28"/>
          <w:szCs w:val="28"/>
        </w:rPr>
        <w:t>公民與政治權利國際公約</w:t>
      </w:r>
      <w:r w:rsidR="000424AB" w:rsidRPr="005E758A">
        <w:rPr>
          <w:sz w:val="28"/>
          <w:szCs w:val="28"/>
        </w:rPr>
        <w:t>第</w:t>
      </w:r>
      <w:r w:rsidR="000424AB" w:rsidRPr="005E758A">
        <w:rPr>
          <w:sz w:val="28"/>
          <w:szCs w:val="28"/>
        </w:rPr>
        <w:t>19</w:t>
      </w:r>
      <w:r w:rsidR="000424AB" w:rsidRPr="005E758A">
        <w:rPr>
          <w:sz w:val="28"/>
          <w:szCs w:val="28"/>
        </w:rPr>
        <w:t>條</w:t>
      </w:r>
      <w:proofErr w:type="gramStart"/>
      <w:r w:rsidR="000424AB" w:rsidRPr="005E758A">
        <w:rPr>
          <w:sz w:val="28"/>
          <w:szCs w:val="28"/>
        </w:rPr>
        <w:t>第</w:t>
      </w:r>
      <w:r w:rsidR="000424AB" w:rsidRPr="005E758A">
        <w:rPr>
          <w:sz w:val="28"/>
          <w:szCs w:val="28"/>
        </w:rPr>
        <w:t>3</w:t>
      </w:r>
      <w:r w:rsidR="000424AB" w:rsidRPr="005E758A">
        <w:rPr>
          <w:sz w:val="28"/>
          <w:szCs w:val="28"/>
        </w:rPr>
        <w:t>項</w:t>
      </w:r>
      <w:r w:rsidRPr="005E758A">
        <w:rPr>
          <w:sz w:val="28"/>
          <w:szCs w:val="28"/>
        </w:rPr>
        <w:t>均未就此</w:t>
      </w:r>
      <w:proofErr w:type="gramEnd"/>
      <w:r w:rsidRPr="005E758A">
        <w:rPr>
          <w:sz w:val="28"/>
          <w:szCs w:val="28"/>
        </w:rPr>
        <w:t>「法律」之位階及形式有所要求，實踐上認為此類法律的訂定必須精</w:t>
      </w:r>
      <w:proofErr w:type="gramStart"/>
      <w:r w:rsidRPr="005E758A">
        <w:rPr>
          <w:sz w:val="28"/>
          <w:szCs w:val="28"/>
        </w:rPr>
        <w:t>準</w:t>
      </w:r>
      <w:proofErr w:type="gramEnd"/>
      <w:r w:rsidRPr="005E758A">
        <w:rPr>
          <w:sz w:val="28"/>
          <w:szCs w:val="28"/>
        </w:rPr>
        <w:t>，以使個人能夠瞭</w:t>
      </w:r>
      <w:r w:rsidR="000424AB" w:rsidRPr="005E758A">
        <w:rPr>
          <w:sz w:val="28"/>
          <w:szCs w:val="28"/>
        </w:rPr>
        <w:t>解如何約束自己的行為</w:t>
      </w:r>
      <w:r w:rsidR="000424AB" w:rsidRPr="005E758A">
        <w:rPr>
          <w:rStyle w:val="af3"/>
          <w:sz w:val="28"/>
          <w:szCs w:val="28"/>
        </w:rPr>
        <w:endnoteReference w:id="177"/>
      </w:r>
      <w:r w:rsidR="000424AB" w:rsidRPr="005E758A">
        <w:rPr>
          <w:sz w:val="28"/>
          <w:szCs w:val="28"/>
        </w:rPr>
        <w:t>，兒童權利委員會亦曾表示限制表意權的法律不應使用模糊不清的用語，而應設下明確的要件</w:t>
      </w:r>
      <w:r w:rsidR="000424AB" w:rsidRPr="005E758A">
        <w:rPr>
          <w:rStyle w:val="af3"/>
          <w:sz w:val="28"/>
          <w:szCs w:val="28"/>
        </w:rPr>
        <w:endnoteReference w:id="178"/>
      </w:r>
      <w:r w:rsidR="000424AB" w:rsidRPr="005E758A">
        <w:rPr>
          <w:sz w:val="28"/>
          <w:szCs w:val="28"/>
        </w:rPr>
        <w:t>。</w:t>
      </w:r>
    </w:p>
    <w:p w14:paraId="33D56B19" w14:textId="77777777" w:rsidR="00CE2B9A" w:rsidRPr="005E758A" w:rsidRDefault="000424AB" w:rsidP="00490C95">
      <w:pPr>
        <w:snapToGrid w:val="0"/>
        <w:spacing w:before="100" w:beforeAutospacing="1" w:after="100" w:afterAutospacing="1" w:line="0" w:lineRule="atLeast"/>
        <w:ind w:firstLineChars="200" w:firstLine="560"/>
        <w:jc w:val="both"/>
        <w:rPr>
          <w:sz w:val="28"/>
          <w:szCs w:val="28"/>
        </w:rPr>
      </w:pPr>
      <w:r w:rsidRPr="005E758A">
        <w:rPr>
          <w:sz w:val="28"/>
          <w:szCs w:val="28"/>
        </w:rPr>
        <w:t>第二，表意權的限制應符合第</w:t>
      </w:r>
      <w:r w:rsidRPr="005E758A">
        <w:rPr>
          <w:sz w:val="28"/>
          <w:szCs w:val="28"/>
        </w:rPr>
        <w:t>13</w:t>
      </w:r>
      <w:r w:rsidRPr="005E758A">
        <w:rPr>
          <w:sz w:val="28"/>
          <w:szCs w:val="28"/>
        </w:rPr>
        <w:t>條第</w:t>
      </w:r>
      <w:r w:rsidRPr="005E758A">
        <w:rPr>
          <w:sz w:val="28"/>
          <w:szCs w:val="28"/>
        </w:rPr>
        <w:t>2</w:t>
      </w:r>
      <w:r w:rsidRPr="005E758A">
        <w:rPr>
          <w:sz w:val="28"/>
          <w:szCs w:val="28"/>
        </w:rPr>
        <w:t>項</w:t>
      </w:r>
      <w:r w:rsidRPr="005E758A">
        <w:rPr>
          <w:sz w:val="28"/>
          <w:szCs w:val="28"/>
        </w:rPr>
        <w:t>(a)</w:t>
      </w:r>
      <w:r w:rsidRPr="005E758A">
        <w:rPr>
          <w:sz w:val="28"/>
          <w:szCs w:val="28"/>
        </w:rPr>
        <w:t>及</w:t>
      </w:r>
      <w:r w:rsidRPr="005E758A">
        <w:rPr>
          <w:sz w:val="28"/>
          <w:szCs w:val="28"/>
        </w:rPr>
        <w:t>(b)</w:t>
      </w:r>
      <w:r w:rsidRPr="005E758A">
        <w:rPr>
          <w:sz w:val="28"/>
          <w:szCs w:val="28"/>
        </w:rPr>
        <w:t>款明列的目的之一，</w:t>
      </w:r>
      <w:r w:rsidRPr="005E758A">
        <w:rPr>
          <w:sz w:val="28"/>
          <w:szCs w:val="28"/>
        </w:rPr>
        <w:t>(a)</w:t>
      </w:r>
      <w:r w:rsidRPr="005E758A">
        <w:rPr>
          <w:sz w:val="28"/>
          <w:szCs w:val="28"/>
        </w:rPr>
        <w:t>款中「為尊重他人之權利與名譽」所指的「他人」包括個人以及社區（例如有共同宗教信仰或族裔的團體）中的成員，而「權利」範圍並不僅限於公約規範的權利，而應包括所有國際人權法下的權利</w:t>
      </w:r>
      <w:r w:rsidRPr="005E758A">
        <w:rPr>
          <w:rStyle w:val="af3"/>
          <w:sz w:val="28"/>
          <w:szCs w:val="28"/>
        </w:rPr>
        <w:endnoteReference w:id="179"/>
      </w:r>
      <w:r w:rsidRPr="005E758A">
        <w:rPr>
          <w:sz w:val="28"/>
          <w:szCs w:val="28"/>
        </w:rPr>
        <w:t>；</w:t>
      </w:r>
      <w:r w:rsidRPr="005E758A">
        <w:rPr>
          <w:sz w:val="28"/>
          <w:szCs w:val="28"/>
        </w:rPr>
        <w:t>(b)</w:t>
      </w:r>
      <w:r w:rsidRPr="005E758A">
        <w:rPr>
          <w:sz w:val="28"/>
          <w:szCs w:val="28"/>
        </w:rPr>
        <w:t>款中明列的限制目的則包括「國家安全、公共秩序、公共衛生與道德」，這些目的並沒有普遍接受的定義，人權委員會在做成與</w:t>
      </w:r>
      <w:r w:rsidR="00CE2B9A" w:rsidRPr="005E758A">
        <w:rPr>
          <w:sz w:val="28"/>
          <w:szCs w:val="28"/>
        </w:rPr>
        <w:t>公民與政治權利國際公約</w:t>
      </w:r>
      <w:r w:rsidRPr="005E758A">
        <w:rPr>
          <w:sz w:val="28"/>
          <w:szCs w:val="28"/>
        </w:rPr>
        <w:t>第</w:t>
      </w:r>
      <w:r w:rsidRPr="005E758A">
        <w:rPr>
          <w:sz w:val="28"/>
          <w:szCs w:val="28"/>
        </w:rPr>
        <w:t>19</w:t>
      </w:r>
      <w:r w:rsidRPr="005E758A">
        <w:rPr>
          <w:sz w:val="28"/>
          <w:szCs w:val="28"/>
        </w:rPr>
        <w:t>條相關的第</w:t>
      </w:r>
      <w:r w:rsidRPr="005E758A">
        <w:rPr>
          <w:sz w:val="28"/>
          <w:szCs w:val="28"/>
        </w:rPr>
        <w:t>34</w:t>
      </w:r>
      <w:r w:rsidRPr="005E758A">
        <w:rPr>
          <w:sz w:val="28"/>
          <w:szCs w:val="28"/>
        </w:rPr>
        <w:t>號一般性意見時，亦選擇</w:t>
      </w:r>
      <w:r w:rsidRPr="005E758A">
        <w:rPr>
          <w:sz w:val="28"/>
          <w:szCs w:val="28"/>
        </w:rPr>
        <w:lastRenderedPageBreak/>
        <w:t>不做明確定義</w:t>
      </w:r>
      <w:r w:rsidRPr="005E758A">
        <w:rPr>
          <w:rStyle w:val="af3"/>
          <w:sz w:val="28"/>
          <w:szCs w:val="28"/>
        </w:rPr>
        <w:endnoteReference w:id="180"/>
      </w:r>
      <w:r w:rsidR="00776DBF" w:rsidRPr="005E758A">
        <w:rPr>
          <w:sz w:val="28"/>
          <w:szCs w:val="28"/>
        </w:rPr>
        <w:t>，應依照個案狀況判斷是否符合本款。</w:t>
      </w:r>
    </w:p>
    <w:p w14:paraId="1D7A6B30" w14:textId="77777777" w:rsidR="000424AB" w:rsidRPr="005E758A" w:rsidRDefault="00776DBF" w:rsidP="00490C95">
      <w:pPr>
        <w:snapToGrid w:val="0"/>
        <w:spacing w:before="100" w:beforeAutospacing="1" w:after="100" w:afterAutospacing="1" w:line="0" w:lineRule="atLeast"/>
        <w:ind w:firstLineChars="200" w:firstLine="560"/>
        <w:jc w:val="both"/>
        <w:rPr>
          <w:sz w:val="28"/>
          <w:szCs w:val="28"/>
        </w:rPr>
      </w:pPr>
      <w:r w:rsidRPr="005E758A">
        <w:rPr>
          <w:sz w:val="28"/>
          <w:szCs w:val="28"/>
        </w:rPr>
        <w:t>最後，對表意權的限制必須通過嚴格的必要性及比例原則的檢驗。換</w:t>
      </w:r>
      <w:r w:rsidR="000424AB" w:rsidRPr="005E758A">
        <w:rPr>
          <w:sz w:val="28"/>
          <w:szCs w:val="28"/>
        </w:rPr>
        <w:t>言之，即使有合法的目的，對表意權的限制不能無限上綱，而是應以為實現保護功能的必要範圍為限</w:t>
      </w:r>
      <w:r w:rsidR="000424AB" w:rsidRPr="005E758A">
        <w:rPr>
          <w:rStyle w:val="af3"/>
          <w:sz w:val="28"/>
          <w:szCs w:val="28"/>
        </w:rPr>
        <w:endnoteReference w:id="181"/>
      </w:r>
      <w:r w:rsidR="000424AB" w:rsidRPr="005E758A">
        <w:rPr>
          <w:sz w:val="28"/>
          <w:szCs w:val="28"/>
        </w:rPr>
        <w:t>。</w:t>
      </w:r>
    </w:p>
    <w:p w14:paraId="7C6EC063" w14:textId="77777777" w:rsidR="000424AB" w:rsidRPr="005E758A" w:rsidRDefault="000424AB" w:rsidP="00490C95">
      <w:pPr>
        <w:pStyle w:val="2"/>
        <w:spacing w:line="0" w:lineRule="atLeast"/>
        <w:rPr>
          <w:szCs w:val="28"/>
        </w:rPr>
      </w:pPr>
      <w:r w:rsidRPr="005E758A">
        <w:rPr>
          <w:szCs w:val="28"/>
        </w:rPr>
        <w:t>案例介紹</w:t>
      </w:r>
    </w:p>
    <w:p w14:paraId="3FD79FC2" w14:textId="77777777" w:rsidR="000424AB" w:rsidRPr="005E758A" w:rsidRDefault="000424AB" w:rsidP="00490C95">
      <w:pPr>
        <w:pStyle w:val="3"/>
        <w:numPr>
          <w:ilvl w:val="0"/>
          <w:numId w:val="11"/>
        </w:numPr>
        <w:spacing w:line="0" w:lineRule="atLeast"/>
        <w:rPr>
          <w:szCs w:val="28"/>
        </w:rPr>
      </w:pPr>
      <w:r w:rsidRPr="005E758A">
        <w:rPr>
          <w:szCs w:val="28"/>
        </w:rPr>
        <w:t>1969</w:t>
      </w:r>
      <w:r w:rsidRPr="005E758A">
        <w:rPr>
          <w:szCs w:val="28"/>
        </w:rPr>
        <w:t>年美國</w:t>
      </w:r>
      <w:r w:rsidR="00776DBF" w:rsidRPr="005E758A">
        <w:rPr>
          <w:szCs w:val="28"/>
        </w:rPr>
        <w:t>聯邦</w:t>
      </w:r>
      <w:r w:rsidRPr="005E758A">
        <w:rPr>
          <w:szCs w:val="28"/>
        </w:rPr>
        <w:t>最高法院抗議臂章案：</w:t>
      </w:r>
      <w:r w:rsidRPr="005E758A">
        <w:rPr>
          <w:szCs w:val="28"/>
        </w:rPr>
        <w:t>Tinker v. Des Moines Independent Community School Dist.</w:t>
      </w:r>
      <w:r w:rsidRPr="005E758A">
        <w:rPr>
          <w:rStyle w:val="af3"/>
          <w:szCs w:val="28"/>
        </w:rPr>
        <w:endnoteReference w:id="182"/>
      </w:r>
    </w:p>
    <w:p w14:paraId="4E18B0D0" w14:textId="77777777" w:rsidR="000424AB" w:rsidRPr="005E758A" w:rsidRDefault="000424AB" w:rsidP="00490C95">
      <w:pPr>
        <w:snapToGrid w:val="0"/>
        <w:spacing w:before="100" w:beforeAutospacing="1" w:after="100" w:afterAutospacing="1" w:line="0" w:lineRule="atLeast"/>
        <w:ind w:firstLineChars="200" w:firstLine="560"/>
        <w:jc w:val="both"/>
        <w:rPr>
          <w:sz w:val="28"/>
          <w:szCs w:val="28"/>
        </w:rPr>
      </w:pPr>
      <w:r w:rsidRPr="005E758A">
        <w:rPr>
          <w:sz w:val="28"/>
          <w:szCs w:val="28"/>
        </w:rPr>
        <w:t>五名於愛荷華州就讀公立學校的兒童（分別為</w:t>
      </w:r>
      <w:r w:rsidRPr="005E758A">
        <w:rPr>
          <w:sz w:val="28"/>
          <w:szCs w:val="28"/>
        </w:rPr>
        <w:t>8</w:t>
      </w:r>
      <w:r w:rsidRPr="005E758A">
        <w:rPr>
          <w:sz w:val="28"/>
          <w:szCs w:val="28"/>
        </w:rPr>
        <w:t>歲、</w:t>
      </w:r>
      <w:r w:rsidRPr="005E758A">
        <w:rPr>
          <w:sz w:val="28"/>
          <w:szCs w:val="28"/>
        </w:rPr>
        <w:t>11</w:t>
      </w:r>
      <w:r w:rsidRPr="005E758A">
        <w:rPr>
          <w:sz w:val="28"/>
          <w:szCs w:val="28"/>
        </w:rPr>
        <w:t>歲、</w:t>
      </w:r>
      <w:r w:rsidRPr="005E758A">
        <w:rPr>
          <w:sz w:val="28"/>
          <w:szCs w:val="28"/>
        </w:rPr>
        <w:t>13</w:t>
      </w:r>
      <w:r w:rsidRPr="005E758A">
        <w:rPr>
          <w:sz w:val="28"/>
          <w:szCs w:val="28"/>
        </w:rPr>
        <w:t>歲、</w:t>
      </w:r>
      <w:r w:rsidRPr="005E758A">
        <w:rPr>
          <w:sz w:val="28"/>
          <w:szCs w:val="28"/>
        </w:rPr>
        <w:t>15</w:t>
      </w:r>
      <w:r w:rsidRPr="005E758A">
        <w:rPr>
          <w:sz w:val="28"/>
          <w:szCs w:val="28"/>
        </w:rPr>
        <w:t>歲、</w:t>
      </w:r>
      <w:r w:rsidRPr="005E758A">
        <w:rPr>
          <w:sz w:val="28"/>
          <w:szCs w:val="28"/>
        </w:rPr>
        <w:t>16</w:t>
      </w:r>
      <w:r w:rsidRPr="005E758A">
        <w:rPr>
          <w:sz w:val="28"/>
          <w:szCs w:val="28"/>
        </w:rPr>
        <w:t>歲）由於不滿政府對越南的政策，決定穿戴黑色臂章上學以示抗議，這些兒童就讀學校的校長得知此情形後，開會決定通過新的政策禁止學童穿戴臂章，若有違反情事則會要求學童立即脫下臂章，另外</w:t>
      </w:r>
      <w:r w:rsidR="00776DBF" w:rsidRPr="005E758A">
        <w:rPr>
          <w:sz w:val="28"/>
          <w:szCs w:val="28"/>
        </w:rPr>
        <w:t>並</w:t>
      </w:r>
      <w:r w:rsidRPr="005E758A">
        <w:rPr>
          <w:sz w:val="28"/>
          <w:szCs w:val="28"/>
        </w:rPr>
        <w:t>處以休學的懲罰</w:t>
      </w:r>
      <w:r w:rsidR="00776DBF" w:rsidRPr="005E758A">
        <w:rPr>
          <w:sz w:val="28"/>
          <w:szCs w:val="28"/>
        </w:rPr>
        <w:t>，</w:t>
      </w:r>
      <w:r w:rsidRPr="005E758A">
        <w:rPr>
          <w:sz w:val="28"/>
          <w:szCs w:val="28"/>
        </w:rPr>
        <w:t>且</w:t>
      </w:r>
      <w:r w:rsidR="00776DBF" w:rsidRPr="005E758A">
        <w:rPr>
          <w:sz w:val="28"/>
          <w:szCs w:val="28"/>
        </w:rPr>
        <w:t>須待其同意遵守規定後始可復學。</w:t>
      </w:r>
      <w:r w:rsidRPr="005E758A">
        <w:rPr>
          <w:sz w:val="28"/>
          <w:szCs w:val="28"/>
        </w:rPr>
        <w:t>上述五名兒童中較年長的三位遭到教育委員會的處罰，這些兒童的父母於其後控訴教育委員會，要求象徵性的損害賠償金並要求法院禁止教育委員會的此項禁令。地方法院認為教育委員會此項禁止臂章的禁令並不逾越其職權，上訴法院亦維持原判。</w:t>
      </w:r>
    </w:p>
    <w:p w14:paraId="24440583" w14:textId="77777777" w:rsidR="000424AB" w:rsidRPr="005E758A" w:rsidRDefault="00776DBF" w:rsidP="00490C95">
      <w:pPr>
        <w:snapToGrid w:val="0"/>
        <w:spacing w:before="100" w:beforeAutospacing="1" w:after="100" w:afterAutospacing="1" w:line="0" w:lineRule="atLeast"/>
        <w:ind w:firstLineChars="200" w:firstLine="560"/>
        <w:jc w:val="both"/>
        <w:rPr>
          <w:sz w:val="28"/>
          <w:szCs w:val="28"/>
        </w:rPr>
      </w:pPr>
      <w:r w:rsidRPr="005E758A">
        <w:rPr>
          <w:sz w:val="28"/>
          <w:szCs w:val="28"/>
        </w:rPr>
        <w:t>聯邦</w:t>
      </w:r>
      <w:r w:rsidR="000424AB" w:rsidRPr="005E758A">
        <w:rPr>
          <w:sz w:val="28"/>
          <w:szCs w:val="28"/>
        </w:rPr>
        <w:t>最高法院與前兩審法院意見相左，</w:t>
      </w:r>
      <w:r w:rsidRPr="005E758A">
        <w:rPr>
          <w:sz w:val="28"/>
          <w:szCs w:val="28"/>
        </w:rPr>
        <w:t>聯邦</w:t>
      </w:r>
      <w:r w:rsidR="000424AB" w:rsidRPr="005E758A">
        <w:rPr>
          <w:sz w:val="28"/>
          <w:szCs w:val="28"/>
        </w:rPr>
        <w:t>最高法院認為教育委員會為了避免抗議行為帶來的爭議，處罰穿戴臂章的學童，但受處罰的學童僅靜默並被動的表達其意見，並沒有從事任何擾亂學校秩</w:t>
      </w:r>
      <w:r w:rsidRPr="005E758A">
        <w:rPr>
          <w:sz w:val="28"/>
          <w:szCs w:val="28"/>
        </w:rPr>
        <w:t>序或是侵害其他兒童權利的行為。聯邦</w:t>
      </w:r>
      <w:r w:rsidR="000424AB" w:rsidRPr="005E758A">
        <w:rPr>
          <w:sz w:val="28"/>
          <w:szCs w:val="28"/>
        </w:rPr>
        <w:t>最高法院認為此項臂章禁令不具合法性。地方法院認為教育委員會的行為乃是為了避免穿戴臂章靜默抗議所可能引發的秩序危害，但是這樣的疑慮並不足以作為限制兒童表意權的合法基礎，亦無證據顯示這些兒童的行為嚴重危害到維持學校運作所需之適當紀律。在這樣的狀況下，這些兒童的表意權應被尊重。</w:t>
      </w:r>
    </w:p>
    <w:p w14:paraId="60944648" w14:textId="77777777" w:rsidR="000424AB" w:rsidRPr="005E758A" w:rsidRDefault="00776DBF" w:rsidP="00CE2B9A">
      <w:pPr>
        <w:snapToGrid w:val="0"/>
        <w:spacing w:before="100" w:beforeAutospacing="1" w:after="100" w:afterAutospacing="1" w:line="0" w:lineRule="atLeast"/>
        <w:ind w:firstLineChars="200" w:firstLine="560"/>
        <w:jc w:val="both"/>
        <w:rPr>
          <w:sz w:val="28"/>
          <w:szCs w:val="28"/>
        </w:rPr>
      </w:pPr>
      <w:r w:rsidRPr="005E758A">
        <w:rPr>
          <w:sz w:val="28"/>
          <w:szCs w:val="28"/>
        </w:rPr>
        <w:t>本案</w:t>
      </w:r>
      <w:r w:rsidR="000424AB" w:rsidRPr="005E758A">
        <w:rPr>
          <w:sz w:val="28"/>
          <w:szCs w:val="28"/>
        </w:rPr>
        <w:t>判決做成</w:t>
      </w:r>
      <w:r w:rsidRPr="005E758A">
        <w:rPr>
          <w:sz w:val="28"/>
          <w:szCs w:val="28"/>
        </w:rPr>
        <w:t>後，後續判決逐漸發展出針對兒童表意權限制更詳細的要件及判斷標準。由於本案</w:t>
      </w:r>
      <w:r w:rsidR="000424AB" w:rsidRPr="005E758A">
        <w:rPr>
          <w:sz w:val="28"/>
          <w:szCs w:val="28"/>
        </w:rPr>
        <w:t>為早期保護兒童表意權的重要案件，至今仍屬有效</w:t>
      </w:r>
      <w:r w:rsidRPr="005E758A">
        <w:rPr>
          <w:sz w:val="28"/>
          <w:szCs w:val="28"/>
        </w:rPr>
        <w:t>，</w:t>
      </w:r>
      <w:r w:rsidR="000424AB" w:rsidRPr="005E758A">
        <w:rPr>
          <w:sz w:val="28"/>
          <w:szCs w:val="28"/>
        </w:rPr>
        <w:t>且經常被引用</w:t>
      </w:r>
      <w:r w:rsidRPr="005E758A">
        <w:rPr>
          <w:sz w:val="28"/>
          <w:szCs w:val="28"/>
        </w:rPr>
        <w:t>，極具代表性</w:t>
      </w:r>
      <w:r w:rsidR="000424AB" w:rsidRPr="005E758A">
        <w:rPr>
          <w:sz w:val="28"/>
          <w:szCs w:val="28"/>
        </w:rPr>
        <w:t>。</w:t>
      </w:r>
    </w:p>
    <w:p w14:paraId="3359343D" w14:textId="77777777" w:rsidR="000424AB" w:rsidRPr="005E758A" w:rsidRDefault="000424AB" w:rsidP="00B2769C">
      <w:pPr>
        <w:pStyle w:val="3"/>
        <w:numPr>
          <w:ilvl w:val="0"/>
          <w:numId w:val="11"/>
        </w:numPr>
        <w:spacing w:line="0" w:lineRule="atLeast"/>
        <w:rPr>
          <w:szCs w:val="28"/>
        </w:rPr>
      </w:pPr>
      <w:r w:rsidRPr="005E758A">
        <w:rPr>
          <w:szCs w:val="28"/>
        </w:rPr>
        <w:t>1987</w:t>
      </w:r>
      <w:r w:rsidRPr="005E758A">
        <w:rPr>
          <w:szCs w:val="28"/>
        </w:rPr>
        <w:t>年印度最高法院學童拒唱國歌案：</w:t>
      </w:r>
      <w:proofErr w:type="spellStart"/>
      <w:r w:rsidRPr="005E758A">
        <w:rPr>
          <w:szCs w:val="28"/>
        </w:rPr>
        <w:t>Bijoe</w:t>
      </w:r>
      <w:proofErr w:type="spellEnd"/>
      <w:r w:rsidRPr="005E758A">
        <w:rPr>
          <w:szCs w:val="28"/>
        </w:rPr>
        <w:t xml:space="preserve"> Emmanuel v. State of Kerala</w:t>
      </w:r>
      <w:r w:rsidRPr="005E758A">
        <w:rPr>
          <w:rStyle w:val="af3"/>
          <w:szCs w:val="28"/>
        </w:rPr>
        <w:endnoteReference w:id="183"/>
      </w:r>
    </w:p>
    <w:p w14:paraId="0035DA36" w14:textId="77777777" w:rsidR="000424AB" w:rsidRPr="005E758A" w:rsidRDefault="000424AB" w:rsidP="00490C95">
      <w:pPr>
        <w:snapToGrid w:val="0"/>
        <w:spacing w:before="100" w:beforeAutospacing="1" w:after="100" w:afterAutospacing="1" w:line="0" w:lineRule="atLeast"/>
        <w:ind w:firstLineChars="200" w:firstLine="560"/>
        <w:jc w:val="both"/>
        <w:rPr>
          <w:sz w:val="28"/>
          <w:szCs w:val="28"/>
        </w:rPr>
      </w:pPr>
      <w:r w:rsidRPr="005E758A">
        <w:rPr>
          <w:sz w:val="28"/>
          <w:szCs w:val="28"/>
        </w:rPr>
        <w:t>本案涉及三名於印度西南部</w:t>
      </w:r>
      <w:proofErr w:type="gramStart"/>
      <w:r w:rsidRPr="005E758A">
        <w:rPr>
          <w:sz w:val="28"/>
          <w:szCs w:val="28"/>
        </w:rPr>
        <w:t>喀</w:t>
      </w:r>
      <w:proofErr w:type="gramEnd"/>
      <w:r w:rsidRPr="005E758A">
        <w:rPr>
          <w:sz w:val="28"/>
          <w:szCs w:val="28"/>
        </w:rPr>
        <w:t>拉拉</w:t>
      </w:r>
      <w:proofErr w:type="gramStart"/>
      <w:r w:rsidRPr="005E758A">
        <w:rPr>
          <w:sz w:val="28"/>
          <w:szCs w:val="28"/>
        </w:rPr>
        <w:t>邦</w:t>
      </w:r>
      <w:proofErr w:type="gramEnd"/>
      <w:r w:rsidRPr="005E758A">
        <w:rPr>
          <w:sz w:val="28"/>
          <w:szCs w:val="28"/>
        </w:rPr>
        <w:t>內小鎮的學童（分別為</w:t>
      </w:r>
      <w:r w:rsidRPr="005E758A">
        <w:rPr>
          <w:sz w:val="28"/>
          <w:szCs w:val="28"/>
        </w:rPr>
        <w:t>15</w:t>
      </w:r>
      <w:r w:rsidRPr="005E758A">
        <w:rPr>
          <w:sz w:val="28"/>
          <w:szCs w:val="28"/>
        </w:rPr>
        <w:t>、</w:t>
      </w:r>
      <w:r w:rsidRPr="005E758A">
        <w:rPr>
          <w:sz w:val="28"/>
          <w:szCs w:val="28"/>
        </w:rPr>
        <w:t>13</w:t>
      </w:r>
      <w:r w:rsidRPr="005E758A">
        <w:rPr>
          <w:sz w:val="28"/>
          <w:szCs w:val="28"/>
        </w:rPr>
        <w:t>、</w:t>
      </w:r>
      <w:r w:rsidRPr="005E758A">
        <w:rPr>
          <w:sz w:val="28"/>
          <w:szCs w:val="28"/>
        </w:rPr>
        <w:t>10</w:t>
      </w:r>
      <w:r w:rsidR="00890B63" w:rsidRPr="005E758A">
        <w:rPr>
          <w:sz w:val="28"/>
          <w:szCs w:val="28"/>
        </w:rPr>
        <w:t>歲）。</w:t>
      </w:r>
      <w:r w:rsidRPr="005E758A">
        <w:rPr>
          <w:sz w:val="28"/>
          <w:szCs w:val="28"/>
        </w:rPr>
        <w:t>1985</w:t>
      </w:r>
      <w:r w:rsidRPr="005E758A">
        <w:rPr>
          <w:sz w:val="28"/>
          <w:szCs w:val="28"/>
        </w:rPr>
        <w:t>年</w:t>
      </w:r>
      <w:r w:rsidRPr="005E758A">
        <w:rPr>
          <w:sz w:val="28"/>
          <w:szCs w:val="28"/>
        </w:rPr>
        <w:t>7</w:t>
      </w:r>
      <w:r w:rsidRPr="005E758A">
        <w:rPr>
          <w:sz w:val="28"/>
          <w:szCs w:val="28"/>
        </w:rPr>
        <w:t>月</w:t>
      </w:r>
      <w:r w:rsidRPr="005E758A">
        <w:rPr>
          <w:sz w:val="28"/>
          <w:szCs w:val="28"/>
        </w:rPr>
        <w:t>8</w:t>
      </w:r>
      <w:r w:rsidR="00890B63" w:rsidRPr="005E758A">
        <w:rPr>
          <w:sz w:val="28"/>
          <w:szCs w:val="28"/>
        </w:rPr>
        <w:t>日，三名學童所屬學校的校長開始要求所有學童起立唱國歌。</w:t>
      </w:r>
      <w:r w:rsidRPr="005E758A">
        <w:rPr>
          <w:sz w:val="28"/>
          <w:szCs w:val="28"/>
        </w:rPr>
        <w:t>這三名兒童為耶和華見證人</w:t>
      </w:r>
      <w:r w:rsidR="00890B63" w:rsidRPr="005E758A">
        <w:rPr>
          <w:sz w:val="28"/>
          <w:szCs w:val="28"/>
        </w:rPr>
        <w:t>(Jehovah</w:t>
      </w:r>
      <w:proofErr w:type="gramStart"/>
      <w:r w:rsidR="00890B63" w:rsidRPr="005E758A">
        <w:rPr>
          <w:sz w:val="28"/>
          <w:szCs w:val="28"/>
        </w:rPr>
        <w:t>’</w:t>
      </w:r>
      <w:proofErr w:type="gramEnd"/>
      <w:r w:rsidR="00890B63" w:rsidRPr="005E758A">
        <w:rPr>
          <w:sz w:val="28"/>
          <w:szCs w:val="28"/>
        </w:rPr>
        <w:t>s Witness)</w:t>
      </w:r>
      <w:r w:rsidR="00890B63" w:rsidRPr="005E758A">
        <w:rPr>
          <w:sz w:val="28"/>
          <w:szCs w:val="28"/>
        </w:rPr>
        <w:t>之</w:t>
      </w:r>
      <w:r w:rsidR="00890B63" w:rsidRPr="005E758A">
        <w:rPr>
          <w:sz w:val="28"/>
          <w:szCs w:val="28"/>
        </w:rPr>
        <w:lastRenderedPageBreak/>
        <w:t>信徒，他們相信唱國歌</w:t>
      </w:r>
      <w:r w:rsidRPr="005E758A">
        <w:rPr>
          <w:sz w:val="28"/>
          <w:szCs w:val="28"/>
        </w:rPr>
        <w:t>為崇拜偶像</w:t>
      </w:r>
      <w:r w:rsidR="00890B63" w:rsidRPr="005E758A">
        <w:rPr>
          <w:sz w:val="28"/>
          <w:szCs w:val="28"/>
        </w:rPr>
        <w:t>的</w:t>
      </w:r>
      <w:r w:rsidRPr="005E758A">
        <w:rPr>
          <w:sz w:val="28"/>
          <w:szCs w:val="28"/>
        </w:rPr>
        <w:t>行為，屬對其所信仰的上帝不忠的行為，因此拒絕唱國歌。雖然兒</w:t>
      </w:r>
      <w:r w:rsidR="00890B63" w:rsidRPr="005E758A">
        <w:rPr>
          <w:sz w:val="28"/>
          <w:szCs w:val="28"/>
        </w:rPr>
        <w:t>童的父親、老師及校長均同意這幾位學童可以不唱國歌，但後來此問題被</w:t>
      </w:r>
      <w:r w:rsidRPr="005E758A">
        <w:rPr>
          <w:sz w:val="28"/>
          <w:szCs w:val="28"/>
        </w:rPr>
        <w:t>一</w:t>
      </w:r>
      <w:r w:rsidR="00890B63" w:rsidRPr="005E758A">
        <w:rPr>
          <w:sz w:val="28"/>
          <w:szCs w:val="28"/>
        </w:rPr>
        <w:t>名</w:t>
      </w:r>
      <w:r w:rsidRPr="005E758A">
        <w:rPr>
          <w:sz w:val="28"/>
          <w:szCs w:val="28"/>
        </w:rPr>
        <w:t>議員關注，該名議員認為這些學童拒絕唱國歌乃不愛國的行為，並將此爭議提交議</w:t>
      </w:r>
      <w:r w:rsidR="00890B63" w:rsidRPr="005E758A">
        <w:rPr>
          <w:sz w:val="28"/>
          <w:szCs w:val="28"/>
        </w:rPr>
        <w:t>會，之後一位資深學區督導要求校方將不願意唱國歌的學生退學。這三名</w:t>
      </w:r>
      <w:r w:rsidRPr="005E758A">
        <w:rPr>
          <w:sz w:val="28"/>
          <w:szCs w:val="28"/>
        </w:rPr>
        <w:t>學童的父親向管理學校的機構以及法院申訴</w:t>
      </w:r>
      <w:r w:rsidR="00890B63" w:rsidRPr="005E758A">
        <w:rPr>
          <w:sz w:val="28"/>
          <w:szCs w:val="28"/>
        </w:rPr>
        <w:t>，</w:t>
      </w:r>
      <w:r w:rsidRPr="005E758A">
        <w:rPr>
          <w:sz w:val="28"/>
          <w:szCs w:val="28"/>
        </w:rPr>
        <w:t>但</w:t>
      </w:r>
      <w:r w:rsidR="00890B63" w:rsidRPr="005E758A">
        <w:rPr>
          <w:sz w:val="28"/>
          <w:szCs w:val="28"/>
        </w:rPr>
        <w:t>皆</w:t>
      </w:r>
      <w:r w:rsidRPr="005E758A">
        <w:rPr>
          <w:sz w:val="28"/>
          <w:szCs w:val="28"/>
        </w:rPr>
        <w:t>未成功，最後上訴送到了印度最高法院。</w:t>
      </w:r>
    </w:p>
    <w:p w14:paraId="2D00F920" w14:textId="77777777" w:rsidR="000424AB" w:rsidRPr="005E758A" w:rsidRDefault="000424AB" w:rsidP="00490C95">
      <w:pPr>
        <w:snapToGrid w:val="0"/>
        <w:spacing w:before="100" w:beforeAutospacing="1" w:after="100" w:afterAutospacing="1" w:line="0" w:lineRule="atLeast"/>
        <w:ind w:firstLineChars="200" w:firstLine="560"/>
        <w:jc w:val="both"/>
        <w:rPr>
          <w:sz w:val="28"/>
          <w:szCs w:val="28"/>
        </w:rPr>
      </w:pPr>
      <w:r w:rsidRPr="005E758A">
        <w:rPr>
          <w:sz w:val="28"/>
          <w:szCs w:val="28"/>
        </w:rPr>
        <w:t>最高法院指出印度憲法中有表意自由及宗教信仰自由相關規定，雖然憲法同時允許國家為特定目的（例如國家安全、公共秩序等）透過立法限制表意自由，法院檢驗了憲法、教育法</w:t>
      </w:r>
      <w:r w:rsidR="00890B63" w:rsidRPr="005E758A">
        <w:rPr>
          <w:sz w:val="28"/>
          <w:szCs w:val="28"/>
        </w:rPr>
        <w:t>等規定後認為，要求學童吟唱國歌否則退學的規定沒有合法的規範基礎。</w:t>
      </w:r>
      <w:r w:rsidRPr="005E758A">
        <w:rPr>
          <w:sz w:val="28"/>
          <w:szCs w:val="28"/>
        </w:rPr>
        <w:t>本案中的兒</w:t>
      </w:r>
      <w:r w:rsidR="00890B63" w:rsidRPr="005E758A">
        <w:rPr>
          <w:sz w:val="28"/>
          <w:szCs w:val="28"/>
        </w:rPr>
        <w:t>童雖拒絕唱國歌，但同意起立，且並無干擾秩序的行為，因此並沒有違反</w:t>
      </w:r>
      <w:r w:rsidRPr="005E758A">
        <w:rPr>
          <w:sz w:val="28"/>
          <w:szCs w:val="28"/>
        </w:rPr>
        <w:t>與國家尊嚴相關的法律（</w:t>
      </w:r>
      <w:r w:rsidRPr="005E758A">
        <w:rPr>
          <w:sz w:val="28"/>
          <w:szCs w:val="28"/>
        </w:rPr>
        <w:t>1971</w:t>
      </w:r>
      <w:r w:rsidRPr="005E758A">
        <w:rPr>
          <w:sz w:val="28"/>
          <w:szCs w:val="28"/>
        </w:rPr>
        <w:t>年</w:t>
      </w:r>
      <w:r w:rsidRPr="005E758A">
        <w:rPr>
          <w:sz w:val="28"/>
          <w:szCs w:val="28"/>
        </w:rPr>
        <w:t xml:space="preserve">Prevention of Insults to National </w:t>
      </w:r>
      <w:proofErr w:type="spellStart"/>
      <w:r w:rsidRPr="005E758A">
        <w:rPr>
          <w:sz w:val="28"/>
          <w:szCs w:val="28"/>
        </w:rPr>
        <w:t>Honour</w:t>
      </w:r>
      <w:proofErr w:type="spellEnd"/>
      <w:r w:rsidRPr="005E758A">
        <w:rPr>
          <w:sz w:val="28"/>
          <w:szCs w:val="28"/>
        </w:rPr>
        <w:t xml:space="preserve"> Act</w:t>
      </w:r>
      <w:r w:rsidR="00890B63" w:rsidRPr="005E758A">
        <w:rPr>
          <w:sz w:val="28"/>
          <w:szCs w:val="28"/>
        </w:rPr>
        <w:t>），學童應享有表意自由選擇是否唱國歌的權利。</w:t>
      </w:r>
      <w:r w:rsidRPr="005E758A">
        <w:rPr>
          <w:sz w:val="28"/>
          <w:szCs w:val="28"/>
        </w:rPr>
        <w:t>本案</w:t>
      </w:r>
      <w:r w:rsidR="00890B63" w:rsidRPr="005E758A">
        <w:rPr>
          <w:sz w:val="28"/>
          <w:szCs w:val="28"/>
        </w:rPr>
        <w:t>中無合法及必要理由要求學童一定要唱國歌，勒令退學，</w:t>
      </w:r>
      <w:r w:rsidRPr="005E758A">
        <w:rPr>
          <w:sz w:val="28"/>
          <w:szCs w:val="28"/>
        </w:rPr>
        <w:t>違反了學童的表意自由及宗教信仰自由。</w:t>
      </w:r>
    </w:p>
    <w:p w14:paraId="1961FA40" w14:textId="77777777" w:rsidR="000424AB" w:rsidRPr="005E758A" w:rsidRDefault="000424AB" w:rsidP="00490C95">
      <w:pPr>
        <w:pStyle w:val="2"/>
        <w:spacing w:line="0" w:lineRule="atLeast"/>
        <w:rPr>
          <w:szCs w:val="28"/>
        </w:rPr>
      </w:pPr>
      <w:r w:rsidRPr="005E758A">
        <w:rPr>
          <w:szCs w:val="28"/>
        </w:rPr>
        <w:t>綜合分析</w:t>
      </w:r>
    </w:p>
    <w:p w14:paraId="5ECA1EE6" w14:textId="77777777" w:rsidR="000424AB" w:rsidRPr="005E758A" w:rsidRDefault="000424AB" w:rsidP="00490C95">
      <w:pPr>
        <w:snapToGrid w:val="0"/>
        <w:spacing w:before="100" w:beforeAutospacing="1" w:after="100" w:afterAutospacing="1" w:line="0" w:lineRule="atLeast"/>
        <w:ind w:firstLineChars="200" w:firstLine="560"/>
        <w:jc w:val="both"/>
        <w:rPr>
          <w:sz w:val="28"/>
          <w:szCs w:val="28"/>
        </w:rPr>
      </w:pPr>
      <w:r w:rsidRPr="005E758A">
        <w:rPr>
          <w:sz w:val="28"/>
          <w:szCs w:val="28"/>
        </w:rPr>
        <w:t>公約第</w:t>
      </w:r>
      <w:r w:rsidRPr="005E758A">
        <w:rPr>
          <w:sz w:val="28"/>
          <w:szCs w:val="28"/>
        </w:rPr>
        <w:t>12</w:t>
      </w:r>
      <w:r w:rsidRPr="005E758A">
        <w:rPr>
          <w:sz w:val="28"/>
          <w:szCs w:val="28"/>
        </w:rPr>
        <w:t>條及第</w:t>
      </w:r>
      <w:r w:rsidRPr="005E758A">
        <w:rPr>
          <w:sz w:val="28"/>
          <w:szCs w:val="28"/>
        </w:rPr>
        <w:t>13</w:t>
      </w:r>
      <w:r w:rsidRPr="005E758A">
        <w:rPr>
          <w:sz w:val="28"/>
          <w:szCs w:val="28"/>
        </w:rPr>
        <w:t>條雖均規範兒童的表意權，其實兩條文所</w:t>
      </w:r>
      <w:r w:rsidR="00890B63" w:rsidRPr="005E758A">
        <w:rPr>
          <w:sz w:val="28"/>
          <w:szCs w:val="28"/>
        </w:rPr>
        <w:t>規定的範圍及義務的內容有所不同。</w:t>
      </w:r>
      <w:r w:rsidRPr="005E758A">
        <w:rPr>
          <w:sz w:val="28"/>
          <w:szCs w:val="28"/>
        </w:rPr>
        <w:t>就兒童表意內容範圍而言，第</w:t>
      </w:r>
      <w:r w:rsidRPr="005E758A">
        <w:rPr>
          <w:sz w:val="28"/>
          <w:szCs w:val="28"/>
        </w:rPr>
        <w:t>12</w:t>
      </w:r>
      <w:r w:rsidRPr="005E758A">
        <w:rPr>
          <w:sz w:val="28"/>
          <w:szCs w:val="28"/>
        </w:rPr>
        <w:t>條保障的是兒童就與影響其本身之事</w:t>
      </w:r>
      <w:r w:rsidR="009133F8" w:rsidRPr="005E758A">
        <w:rPr>
          <w:sz w:val="28"/>
          <w:szCs w:val="28"/>
        </w:rPr>
        <w:t>物</w:t>
      </w:r>
      <w:r w:rsidRPr="005E758A">
        <w:rPr>
          <w:sz w:val="28"/>
          <w:szCs w:val="28"/>
        </w:rPr>
        <w:t>的表意權，而第</w:t>
      </w:r>
      <w:r w:rsidRPr="005E758A">
        <w:rPr>
          <w:sz w:val="28"/>
          <w:szCs w:val="28"/>
        </w:rPr>
        <w:t>13</w:t>
      </w:r>
      <w:r w:rsidRPr="005E758A">
        <w:rPr>
          <w:sz w:val="28"/>
          <w:szCs w:val="28"/>
        </w:rPr>
        <w:t>條保障的則是兒童擁有及表達對任何事物的意見以及透過所有媒介尋求及接收資訊的權利；就會員國義務內涵而言，第</w:t>
      </w:r>
      <w:r w:rsidRPr="005E758A">
        <w:rPr>
          <w:sz w:val="28"/>
          <w:szCs w:val="28"/>
        </w:rPr>
        <w:t>13</w:t>
      </w:r>
      <w:r w:rsidRPr="005E758A">
        <w:rPr>
          <w:sz w:val="28"/>
          <w:szCs w:val="28"/>
        </w:rPr>
        <w:t>條禁止國家介入兒童行使條文規範的權利，而第</w:t>
      </w:r>
      <w:r w:rsidRPr="005E758A">
        <w:rPr>
          <w:sz w:val="28"/>
          <w:szCs w:val="28"/>
        </w:rPr>
        <w:t>12</w:t>
      </w:r>
      <w:r w:rsidRPr="005E758A">
        <w:rPr>
          <w:sz w:val="28"/>
          <w:szCs w:val="28"/>
        </w:rPr>
        <w:t>條則</w:t>
      </w:r>
      <w:proofErr w:type="gramStart"/>
      <w:r w:rsidRPr="005E758A">
        <w:rPr>
          <w:sz w:val="28"/>
          <w:szCs w:val="28"/>
        </w:rPr>
        <w:t>明確課</w:t>
      </w:r>
      <w:proofErr w:type="gramEnd"/>
      <w:r w:rsidR="009133F8" w:rsidRPr="005E758A">
        <w:rPr>
          <w:sz w:val="28"/>
          <w:szCs w:val="28"/>
        </w:rPr>
        <w:t>予締約</w:t>
      </w:r>
      <w:r w:rsidRPr="005E758A">
        <w:rPr>
          <w:sz w:val="28"/>
          <w:szCs w:val="28"/>
        </w:rPr>
        <w:t>國較積極的義務，也就是透過法律架構等機制建立並維持促成落實條文規範權利的</w:t>
      </w:r>
      <w:r w:rsidR="005863FB" w:rsidRPr="005E758A">
        <w:rPr>
          <w:sz w:val="28"/>
          <w:szCs w:val="28"/>
        </w:rPr>
        <w:t>制度</w:t>
      </w:r>
      <w:r w:rsidRPr="005E758A">
        <w:rPr>
          <w:sz w:val="28"/>
          <w:szCs w:val="28"/>
        </w:rPr>
        <w:t>，並要求會員國在採取影</w:t>
      </w:r>
      <w:r w:rsidR="00890B63" w:rsidRPr="005E758A">
        <w:rPr>
          <w:sz w:val="28"/>
          <w:szCs w:val="28"/>
        </w:rPr>
        <w:t>響兒童的措施或政策前酌情考量兒童表達的意見。當然這兩項條文在實踐</w:t>
      </w:r>
      <w:r w:rsidRPr="005E758A">
        <w:rPr>
          <w:sz w:val="28"/>
          <w:szCs w:val="28"/>
        </w:rPr>
        <w:t>上相輔相成，第</w:t>
      </w:r>
      <w:r w:rsidRPr="005E758A">
        <w:rPr>
          <w:sz w:val="28"/>
          <w:szCs w:val="28"/>
        </w:rPr>
        <w:t>12</w:t>
      </w:r>
      <w:r w:rsidRPr="005E758A">
        <w:rPr>
          <w:sz w:val="28"/>
          <w:szCs w:val="28"/>
        </w:rPr>
        <w:t>條義務的落實更是協助培養兒童行使第</w:t>
      </w:r>
      <w:r w:rsidRPr="005E758A">
        <w:rPr>
          <w:sz w:val="28"/>
          <w:szCs w:val="28"/>
        </w:rPr>
        <w:t>13</w:t>
      </w:r>
      <w:r w:rsidRPr="005E758A">
        <w:rPr>
          <w:sz w:val="28"/>
          <w:szCs w:val="28"/>
        </w:rPr>
        <w:t>條權利的能力</w:t>
      </w:r>
      <w:r w:rsidRPr="005E758A">
        <w:rPr>
          <w:rStyle w:val="af3"/>
          <w:sz w:val="28"/>
          <w:szCs w:val="28"/>
        </w:rPr>
        <w:endnoteReference w:id="184"/>
      </w:r>
      <w:r w:rsidRPr="005E758A">
        <w:rPr>
          <w:sz w:val="28"/>
          <w:szCs w:val="28"/>
        </w:rPr>
        <w:t>。</w:t>
      </w:r>
    </w:p>
    <w:p w14:paraId="0B10397F" w14:textId="77777777" w:rsidR="00BB6849" w:rsidRPr="005E758A" w:rsidRDefault="00BB6849" w:rsidP="00952099">
      <w:pPr>
        <w:pStyle w:val="2"/>
      </w:pPr>
      <w:r w:rsidRPr="005E758A">
        <w:t>參考資料</w:t>
      </w:r>
    </w:p>
    <w:p w14:paraId="087A6BBF" w14:textId="77777777" w:rsidR="00B2769C" w:rsidRPr="005E758A" w:rsidRDefault="00B2769C" w:rsidP="00B2769C">
      <w:pPr>
        <w:pStyle w:val="a0"/>
        <w:numPr>
          <w:ilvl w:val="0"/>
          <w:numId w:val="74"/>
        </w:numPr>
        <w:snapToGrid w:val="0"/>
        <w:spacing w:before="100" w:beforeAutospacing="1" w:after="100" w:afterAutospacing="1"/>
        <w:ind w:leftChars="0"/>
        <w:jc w:val="both"/>
        <w:rPr>
          <w:rFonts w:ascii="Times New Roman" w:eastAsia="標楷體" w:hAnsi="Times New Roman"/>
          <w:sz w:val="28"/>
          <w:szCs w:val="28"/>
        </w:rPr>
      </w:pPr>
      <w:proofErr w:type="spellStart"/>
      <w:r w:rsidRPr="005E758A">
        <w:rPr>
          <w:rFonts w:ascii="Times New Roman" w:eastAsia="標楷體" w:hAnsi="Times New Roman"/>
          <w:smallCaps/>
          <w:sz w:val="28"/>
          <w:szCs w:val="28"/>
        </w:rPr>
        <w:t>Herdís</w:t>
      </w:r>
      <w:proofErr w:type="spellEnd"/>
      <w:r w:rsidRPr="005E758A">
        <w:rPr>
          <w:rFonts w:ascii="Times New Roman" w:eastAsia="標楷體" w:hAnsi="Times New Roman"/>
          <w:smallCaps/>
          <w:sz w:val="28"/>
          <w:szCs w:val="28"/>
        </w:rPr>
        <w:t xml:space="preserve"> </w:t>
      </w:r>
      <w:proofErr w:type="spellStart"/>
      <w:r w:rsidRPr="005E758A">
        <w:rPr>
          <w:rFonts w:ascii="Times New Roman" w:eastAsia="標楷體" w:hAnsi="Times New Roman"/>
          <w:smallCaps/>
          <w:sz w:val="28"/>
          <w:szCs w:val="28"/>
        </w:rPr>
        <w:t>Thorgeirsdóttir</w:t>
      </w:r>
      <w:proofErr w:type="spellEnd"/>
      <w:r w:rsidRPr="005E758A">
        <w:rPr>
          <w:rFonts w:ascii="Times New Roman" w:eastAsia="標楷體" w:hAnsi="Times New Roman"/>
          <w:smallCaps/>
          <w:sz w:val="28"/>
          <w:szCs w:val="28"/>
        </w:rPr>
        <w:t>, A Commentary on the United Nations Convention on the Rights of the Child: Article 13. The Right to Freedom of Expression</w:t>
      </w:r>
      <w:r w:rsidRPr="005E758A">
        <w:rPr>
          <w:rFonts w:ascii="Times New Roman" w:eastAsia="標楷體" w:hAnsi="Times New Roman"/>
          <w:sz w:val="28"/>
          <w:szCs w:val="28"/>
        </w:rPr>
        <w:t xml:space="preserve"> (André Alen et al. eds., 2006).</w:t>
      </w:r>
    </w:p>
    <w:p w14:paraId="5B84311D" w14:textId="77777777" w:rsidR="00BB6849" w:rsidRPr="005E758A" w:rsidRDefault="00B2769C" w:rsidP="00B2769C">
      <w:pPr>
        <w:pStyle w:val="a0"/>
        <w:numPr>
          <w:ilvl w:val="0"/>
          <w:numId w:val="74"/>
        </w:numPr>
        <w:snapToGrid w:val="0"/>
        <w:spacing w:before="100" w:beforeAutospacing="1" w:after="100" w:afterAutospacing="1"/>
        <w:ind w:leftChars="0"/>
        <w:jc w:val="both"/>
        <w:rPr>
          <w:rFonts w:ascii="Times New Roman" w:eastAsia="標楷體" w:hAnsi="Times New Roman"/>
          <w:sz w:val="28"/>
          <w:szCs w:val="28"/>
        </w:rPr>
      </w:pPr>
      <w:r w:rsidRPr="005E758A">
        <w:rPr>
          <w:rFonts w:ascii="Times New Roman" w:eastAsia="標楷體" w:hAnsi="Times New Roman"/>
          <w:sz w:val="28"/>
          <w:szCs w:val="28"/>
        </w:rPr>
        <w:t>人權事務委員會，</w:t>
      </w:r>
      <w:r w:rsidR="00BB6849" w:rsidRPr="005E758A">
        <w:rPr>
          <w:rFonts w:ascii="Times New Roman" w:eastAsia="標楷體" w:hAnsi="Times New Roman"/>
          <w:sz w:val="28"/>
          <w:szCs w:val="28"/>
        </w:rPr>
        <w:t>第</w:t>
      </w:r>
      <w:r w:rsidR="00BB6849" w:rsidRPr="005E758A">
        <w:rPr>
          <w:rFonts w:ascii="Times New Roman" w:eastAsia="標楷體" w:hAnsi="Times New Roman"/>
          <w:sz w:val="28"/>
          <w:szCs w:val="28"/>
        </w:rPr>
        <w:t>34</w:t>
      </w:r>
      <w:r w:rsidR="00BB6849" w:rsidRPr="005E758A">
        <w:rPr>
          <w:rFonts w:ascii="Times New Roman" w:eastAsia="標楷體" w:hAnsi="Times New Roman"/>
          <w:sz w:val="28"/>
          <w:szCs w:val="28"/>
        </w:rPr>
        <w:t>號一般性意見</w:t>
      </w:r>
      <w:r w:rsidR="00D73A22" w:rsidRPr="005E758A">
        <w:rPr>
          <w:rFonts w:ascii="Times New Roman" w:eastAsia="標楷體" w:hAnsi="Times New Roman"/>
          <w:sz w:val="28"/>
          <w:szCs w:val="28"/>
        </w:rPr>
        <w:t>「</w:t>
      </w:r>
      <w:r w:rsidR="00BB6849" w:rsidRPr="005E758A">
        <w:rPr>
          <w:rFonts w:ascii="Times New Roman" w:eastAsia="標楷體" w:hAnsi="Times New Roman"/>
          <w:sz w:val="28"/>
          <w:szCs w:val="28"/>
        </w:rPr>
        <w:t>第十九條：保持意見自由和言論自由</w:t>
      </w:r>
      <w:r w:rsidR="00D73A22" w:rsidRPr="005E758A">
        <w:rPr>
          <w:rFonts w:ascii="Times New Roman" w:eastAsia="標楷體" w:hAnsi="Times New Roman"/>
          <w:sz w:val="28"/>
          <w:szCs w:val="28"/>
        </w:rPr>
        <w:t>」</w:t>
      </w:r>
      <w:r w:rsidR="00BB6849" w:rsidRPr="005E758A">
        <w:rPr>
          <w:rFonts w:ascii="Times New Roman" w:eastAsia="標楷體" w:hAnsi="Times New Roman"/>
          <w:sz w:val="28"/>
          <w:szCs w:val="28"/>
        </w:rPr>
        <w:t>。</w:t>
      </w:r>
      <w:r w:rsidR="00BB6849" w:rsidRPr="005E758A">
        <w:rPr>
          <w:rFonts w:ascii="Times New Roman" w:eastAsia="標楷體" w:hAnsi="Times New Roman"/>
          <w:sz w:val="28"/>
          <w:szCs w:val="28"/>
        </w:rPr>
        <w:t>(Human Rights Committee, General Comment No. 34: Article 19: Freedoms of Opinion and Expression, U.N. Doc. CCPR/C/GC/34 (Sept. 12, 2011).)</w:t>
      </w:r>
    </w:p>
    <w:p w14:paraId="795CFE3F" w14:textId="77777777" w:rsidR="00BB6849" w:rsidRPr="005E758A" w:rsidRDefault="00BB6849" w:rsidP="00BB6849">
      <w:pPr>
        <w:pStyle w:val="a0"/>
        <w:numPr>
          <w:ilvl w:val="0"/>
          <w:numId w:val="74"/>
        </w:numPr>
        <w:snapToGrid w:val="0"/>
        <w:spacing w:before="100" w:beforeAutospacing="1" w:after="100" w:afterAutospacing="1"/>
        <w:ind w:leftChars="0"/>
        <w:jc w:val="both"/>
        <w:rPr>
          <w:rFonts w:ascii="Times New Roman" w:eastAsia="標楷體" w:hAnsi="Times New Roman"/>
          <w:sz w:val="28"/>
          <w:szCs w:val="28"/>
        </w:rPr>
      </w:pPr>
      <w:r w:rsidRPr="005E758A">
        <w:rPr>
          <w:rFonts w:ascii="Times New Roman" w:eastAsia="標楷體" w:hAnsi="Times New Roman"/>
          <w:sz w:val="28"/>
          <w:szCs w:val="28"/>
        </w:rPr>
        <w:lastRenderedPageBreak/>
        <w:t>兒童權利委員會，第</w:t>
      </w:r>
      <w:r w:rsidRPr="005E758A">
        <w:rPr>
          <w:rFonts w:ascii="Times New Roman" w:eastAsia="標楷體" w:hAnsi="Times New Roman"/>
          <w:sz w:val="28"/>
          <w:szCs w:val="28"/>
        </w:rPr>
        <w:t>12</w:t>
      </w:r>
      <w:r w:rsidRPr="005E758A">
        <w:rPr>
          <w:rFonts w:ascii="Times New Roman" w:eastAsia="標楷體" w:hAnsi="Times New Roman"/>
          <w:sz w:val="28"/>
          <w:szCs w:val="28"/>
        </w:rPr>
        <w:t>號一般性意見</w:t>
      </w:r>
      <w:r w:rsidR="00D73A22" w:rsidRPr="005E758A">
        <w:rPr>
          <w:rFonts w:ascii="Times New Roman" w:eastAsia="標楷體" w:hAnsi="Times New Roman"/>
          <w:sz w:val="28"/>
          <w:szCs w:val="28"/>
        </w:rPr>
        <w:t>「</w:t>
      </w:r>
      <w:r w:rsidRPr="005E758A">
        <w:rPr>
          <w:rFonts w:ascii="Times New Roman" w:eastAsia="標楷體" w:hAnsi="Times New Roman"/>
          <w:sz w:val="28"/>
          <w:szCs w:val="28"/>
        </w:rPr>
        <w:t>兒童表達意見的權利</w:t>
      </w:r>
      <w:r w:rsidR="00D73A22" w:rsidRPr="005E758A">
        <w:rPr>
          <w:rFonts w:ascii="Times New Roman" w:eastAsia="標楷體" w:hAnsi="Times New Roman"/>
          <w:sz w:val="28"/>
          <w:szCs w:val="28"/>
        </w:rPr>
        <w:t>」</w:t>
      </w:r>
      <w:r w:rsidRPr="005E758A">
        <w:rPr>
          <w:rFonts w:ascii="Times New Roman" w:eastAsia="標楷體" w:hAnsi="Times New Roman"/>
          <w:sz w:val="28"/>
          <w:szCs w:val="28"/>
        </w:rPr>
        <w:t>。</w:t>
      </w:r>
      <w:r w:rsidRPr="005E758A">
        <w:rPr>
          <w:rFonts w:ascii="Times New Roman" w:eastAsia="標楷體" w:hAnsi="Times New Roman"/>
          <w:sz w:val="28"/>
          <w:szCs w:val="28"/>
        </w:rPr>
        <w:t>(Committee on the Rights of the Child, General Comment No. 12: The Right of the Child to Be Heard, U.N. Doc. CRC/C/GC/12 (July 20, 2009)).</w:t>
      </w:r>
    </w:p>
    <w:p w14:paraId="7F92B97C" w14:textId="77777777" w:rsidR="00BB6849" w:rsidRPr="005E758A" w:rsidRDefault="00BB6849" w:rsidP="00BB6849">
      <w:pPr>
        <w:pStyle w:val="a0"/>
        <w:numPr>
          <w:ilvl w:val="0"/>
          <w:numId w:val="74"/>
        </w:numPr>
        <w:snapToGrid w:val="0"/>
        <w:spacing w:before="100" w:beforeAutospacing="1" w:after="100" w:afterAutospacing="1"/>
        <w:ind w:leftChars="0"/>
        <w:jc w:val="both"/>
        <w:rPr>
          <w:rFonts w:ascii="Times New Roman" w:eastAsia="標楷體" w:hAnsi="Times New Roman"/>
          <w:sz w:val="28"/>
          <w:szCs w:val="28"/>
        </w:rPr>
      </w:pPr>
      <w:r w:rsidRPr="005E758A">
        <w:rPr>
          <w:rFonts w:ascii="Times New Roman" w:eastAsia="標楷體" w:hAnsi="Times New Roman"/>
          <w:sz w:val="28"/>
          <w:szCs w:val="28"/>
        </w:rPr>
        <w:t>聯合國</w:t>
      </w:r>
      <w:r w:rsidR="00CE2B9A" w:rsidRPr="005E758A">
        <w:rPr>
          <w:rFonts w:ascii="Times New Roman" w:eastAsia="標楷體" w:hAnsi="Times New Roman"/>
          <w:sz w:val="28"/>
          <w:szCs w:val="28"/>
        </w:rPr>
        <w:t>增進和</w:t>
      </w:r>
      <w:r w:rsidRPr="005E758A">
        <w:rPr>
          <w:rFonts w:ascii="Times New Roman" w:eastAsia="標楷體" w:hAnsi="Times New Roman"/>
          <w:sz w:val="28"/>
          <w:szCs w:val="28"/>
        </w:rPr>
        <w:t>保護</w:t>
      </w:r>
      <w:r w:rsidR="00CE2B9A" w:rsidRPr="005E758A">
        <w:rPr>
          <w:rFonts w:ascii="Times New Roman" w:eastAsia="標楷體" w:hAnsi="Times New Roman"/>
          <w:sz w:val="28"/>
          <w:szCs w:val="28"/>
        </w:rPr>
        <w:t>見解和言論</w:t>
      </w:r>
      <w:r w:rsidRPr="005E758A">
        <w:rPr>
          <w:rFonts w:ascii="Times New Roman" w:eastAsia="標楷體" w:hAnsi="Times New Roman"/>
          <w:sz w:val="28"/>
          <w:szCs w:val="28"/>
        </w:rPr>
        <w:t>自由特別報告員</w:t>
      </w:r>
      <w:r w:rsidRPr="005E758A">
        <w:rPr>
          <w:rFonts w:ascii="Times New Roman" w:eastAsia="標楷體" w:hAnsi="Times New Roman"/>
          <w:sz w:val="28"/>
          <w:szCs w:val="28"/>
        </w:rPr>
        <w:t>A/69/335</w:t>
      </w:r>
      <w:r w:rsidRPr="005E758A">
        <w:rPr>
          <w:rFonts w:ascii="Times New Roman" w:eastAsia="標楷體" w:hAnsi="Times New Roman"/>
          <w:sz w:val="28"/>
          <w:szCs w:val="28"/>
        </w:rPr>
        <w:t>號報告。</w:t>
      </w:r>
      <w:r w:rsidRPr="005E758A">
        <w:rPr>
          <w:rFonts w:ascii="Times New Roman" w:eastAsia="標楷體" w:hAnsi="Times New Roman"/>
          <w:sz w:val="28"/>
          <w:szCs w:val="28"/>
        </w:rPr>
        <w:t>(Frank La Rue, Report of the Special Rapporteur on the Promotion and Protection of the Right to Freedom of Opinion and Expression, U.N. Doc. A/69/335 (Aug. 21, 2014).)</w:t>
      </w:r>
    </w:p>
    <w:p w14:paraId="3AE2BAF7" w14:textId="77777777" w:rsidR="00BB6849" w:rsidRPr="005E758A" w:rsidRDefault="00BB6849" w:rsidP="00BB6849"/>
    <w:p w14:paraId="272B6562" w14:textId="77777777" w:rsidR="000424AB" w:rsidRPr="005E758A" w:rsidRDefault="00622C37" w:rsidP="00490C95">
      <w:pPr>
        <w:snapToGrid w:val="0"/>
        <w:spacing w:before="100" w:beforeAutospacing="1" w:after="100" w:afterAutospacing="1" w:line="0" w:lineRule="atLeast"/>
        <w:jc w:val="both"/>
        <w:rPr>
          <w:sz w:val="28"/>
          <w:szCs w:val="28"/>
        </w:rPr>
      </w:pPr>
      <w:r w:rsidRPr="005E758A">
        <w:rPr>
          <w:sz w:val="28"/>
          <w:szCs w:val="28"/>
        </w:rPr>
        <w:t>關鍵詞：表意自由、</w:t>
      </w:r>
      <w:r w:rsidR="00890B63" w:rsidRPr="005E758A">
        <w:rPr>
          <w:sz w:val="28"/>
          <w:szCs w:val="28"/>
        </w:rPr>
        <w:t>國家安全、公共秩序、宗教與信仰自由</w:t>
      </w:r>
    </w:p>
    <w:p w14:paraId="46DD174D" w14:textId="77777777" w:rsidR="000424AB" w:rsidRPr="005E758A" w:rsidRDefault="000424AB" w:rsidP="00490C95">
      <w:pPr>
        <w:snapToGrid w:val="0"/>
        <w:spacing w:before="100" w:beforeAutospacing="1" w:after="100" w:afterAutospacing="1" w:line="0" w:lineRule="atLeast"/>
        <w:ind w:firstLineChars="200" w:firstLine="560"/>
        <w:jc w:val="both"/>
        <w:rPr>
          <w:sz w:val="28"/>
          <w:szCs w:val="28"/>
        </w:rPr>
        <w:sectPr w:rsidR="000424AB" w:rsidRPr="005E758A" w:rsidSect="00135FC9">
          <w:footerReference w:type="default" r:id="rId14"/>
          <w:footnotePr>
            <w:numRestart w:val="eachSect"/>
          </w:footnotePr>
          <w:endnotePr>
            <w:numFmt w:val="decimal"/>
            <w:numRestart w:val="eachSect"/>
          </w:endnotePr>
          <w:pgSz w:w="11906" w:h="16838"/>
          <w:pgMar w:top="1440" w:right="1797" w:bottom="1440" w:left="1797" w:header="851" w:footer="992" w:gutter="0"/>
          <w:cols w:space="425"/>
          <w:docGrid w:linePitch="360"/>
        </w:sectPr>
      </w:pPr>
    </w:p>
    <w:p w14:paraId="2AD3AF61" w14:textId="77777777" w:rsidR="00FC32F0" w:rsidRDefault="00FC32F0" w:rsidP="00FC32F0">
      <w:pPr>
        <w:pStyle w:val="1"/>
        <w:rPr>
          <w:szCs w:val="28"/>
        </w:rPr>
      </w:pPr>
      <w:bookmarkStart w:id="45" w:name="_Toc431072730"/>
      <w:r w:rsidRPr="005E758A">
        <w:lastRenderedPageBreak/>
        <w:t>第</w:t>
      </w:r>
      <w:r w:rsidRPr="005E758A">
        <w:t>14</w:t>
      </w:r>
      <w:r w:rsidRPr="005E758A">
        <w:t>條</w:t>
      </w:r>
      <w:r>
        <w:rPr>
          <w:rFonts w:hint="eastAsia"/>
        </w:rPr>
        <w:t xml:space="preserve">　</w:t>
      </w:r>
      <w:r w:rsidRPr="00FC32F0">
        <w:rPr>
          <w:rFonts w:hint="eastAsia"/>
        </w:rPr>
        <w:t>思想、自我意識與宗教自由</w:t>
      </w:r>
      <w:bookmarkEnd w:id="45"/>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8220"/>
      </w:tblGrid>
      <w:tr w:rsidR="00FC32F0" w:rsidRPr="005E758A" w14:paraId="358B78A6" w14:textId="77777777" w:rsidTr="00FC32F0">
        <w:trPr>
          <w:jc w:val="center"/>
        </w:trPr>
        <w:tc>
          <w:tcPr>
            <w:tcW w:w="8220" w:type="dxa"/>
          </w:tcPr>
          <w:p w14:paraId="15FBDDE1" w14:textId="77777777" w:rsidR="00FC32F0" w:rsidRPr="005E758A" w:rsidRDefault="00FC32F0" w:rsidP="002B035C">
            <w:pPr>
              <w:pStyle w:val="a0"/>
              <w:numPr>
                <w:ilvl w:val="1"/>
                <w:numId w:val="26"/>
              </w:numPr>
              <w:snapToGrid w:val="0"/>
              <w:spacing w:line="0" w:lineRule="atLeast"/>
              <w:ind w:leftChars="0" w:left="357" w:hanging="357"/>
              <w:jc w:val="both"/>
              <w:rPr>
                <w:rFonts w:ascii="Times New Roman" w:eastAsia="標楷體" w:hAnsi="Times New Roman"/>
                <w:sz w:val="28"/>
                <w:szCs w:val="28"/>
              </w:rPr>
            </w:pPr>
            <w:bookmarkStart w:id="46" w:name="_Toc427238532"/>
            <w:r w:rsidRPr="005E758A">
              <w:rPr>
                <w:rFonts w:ascii="Times New Roman" w:eastAsia="標楷體" w:hAnsi="Times New Roman"/>
                <w:sz w:val="28"/>
                <w:szCs w:val="28"/>
              </w:rPr>
              <w:t>締約國應尊重兒童思想、自我意識與宗教自由之權利。</w:t>
            </w:r>
          </w:p>
          <w:p w14:paraId="7A7BB8B5" w14:textId="77777777" w:rsidR="00FC32F0" w:rsidRPr="005E758A" w:rsidRDefault="00FC32F0" w:rsidP="002B035C">
            <w:pPr>
              <w:pStyle w:val="a0"/>
              <w:numPr>
                <w:ilvl w:val="1"/>
                <w:numId w:val="26"/>
              </w:numPr>
              <w:snapToGrid w:val="0"/>
              <w:spacing w:line="0" w:lineRule="atLeast"/>
              <w:ind w:leftChars="0" w:left="357" w:hanging="357"/>
              <w:jc w:val="both"/>
              <w:rPr>
                <w:rFonts w:ascii="Times New Roman" w:eastAsia="標楷體" w:hAnsi="Times New Roman"/>
                <w:sz w:val="28"/>
                <w:szCs w:val="28"/>
              </w:rPr>
            </w:pPr>
            <w:r w:rsidRPr="005E758A">
              <w:rPr>
                <w:rFonts w:ascii="Times New Roman" w:eastAsia="標楷體" w:hAnsi="Times New Roman"/>
                <w:sz w:val="28"/>
                <w:szCs w:val="28"/>
              </w:rPr>
              <w:t>締約國應尊重父母及於其他適用情形下之法定監護人之權利與義務，以符合兒童各發展階段能力的方式指導兒童行使其權利。</w:t>
            </w:r>
          </w:p>
          <w:p w14:paraId="7769EBE4" w14:textId="77777777" w:rsidR="00FC32F0" w:rsidRPr="005E758A" w:rsidRDefault="00FC32F0" w:rsidP="002B035C">
            <w:pPr>
              <w:pStyle w:val="a0"/>
              <w:numPr>
                <w:ilvl w:val="1"/>
                <w:numId w:val="26"/>
              </w:numPr>
              <w:snapToGrid w:val="0"/>
              <w:spacing w:line="0" w:lineRule="atLeast"/>
              <w:ind w:leftChars="0" w:left="357" w:hanging="357"/>
              <w:jc w:val="both"/>
              <w:rPr>
                <w:rFonts w:ascii="Times New Roman" w:eastAsia="標楷體" w:hAnsi="Times New Roman"/>
                <w:sz w:val="28"/>
                <w:szCs w:val="28"/>
              </w:rPr>
            </w:pPr>
            <w:r w:rsidRPr="005E758A">
              <w:rPr>
                <w:rFonts w:ascii="Times New Roman" w:eastAsia="標楷體" w:hAnsi="Times New Roman"/>
                <w:sz w:val="28"/>
                <w:szCs w:val="28"/>
              </w:rPr>
              <w:t>個人表明其宗教或信仰之自由，僅受法律規定之限制且該等規定係為保護公共安全、秩序、衛生或道德，或他人之基本權利與自由所必要者。</w:t>
            </w:r>
          </w:p>
        </w:tc>
      </w:tr>
      <w:bookmarkEnd w:id="46"/>
    </w:tbl>
    <w:p w14:paraId="42A044A8" w14:textId="77777777" w:rsidR="00FC32F0" w:rsidRPr="00FC32F0" w:rsidRDefault="00FC32F0" w:rsidP="00FC32F0">
      <w:pPr>
        <w:snapToGrid w:val="0"/>
        <w:spacing w:before="100" w:beforeAutospacing="1" w:after="100" w:afterAutospacing="1" w:line="0" w:lineRule="atLeast"/>
        <w:jc w:val="both"/>
        <w:rPr>
          <w:sz w:val="28"/>
          <w:szCs w:val="28"/>
        </w:rPr>
      </w:pPr>
    </w:p>
    <w:p w14:paraId="1976BE65" w14:textId="77777777" w:rsidR="000424AB" w:rsidRPr="005E758A" w:rsidRDefault="000424AB" w:rsidP="00490C95">
      <w:pPr>
        <w:pStyle w:val="2"/>
        <w:numPr>
          <w:ilvl w:val="0"/>
          <w:numId w:val="12"/>
        </w:numPr>
        <w:spacing w:line="0" w:lineRule="atLeast"/>
        <w:rPr>
          <w:szCs w:val="28"/>
        </w:rPr>
      </w:pPr>
      <w:r w:rsidRPr="005E758A">
        <w:rPr>
          <w:szCs w:val="28"/>
        </w:rPr>
        <w:t>規範宗旨</w:t>
      </w:r>
      <w:r w:rsidR="00F3341B" w:rsidRPr="005E758A">
        <w:rPr>
          <w:szCs w:val="28"/>
        </w:rPr>
        <w:t xml:space="preserve"> </w:t>
      </w:r>
    </w:p>
    <w:p w14:paraId="7B72E89A" w14:textId="77777777" w:rsidR="000424AB" w:rsidRPr="005E758A" w:rsidRDefault="009B4338" w:rsidP="00490C95">
      <w:pPr>
        <w:snapToGrid w:val="0"/>
        <w:spacing w:before="100" w:beforeAutospacing="1" w:after="100" w:afterAutospacing="1" w:line="0" w:lineRule="atLeast"/>
        <w:ind w:firstLineChars="200" w:firstLine="560"/>
        <w:jc w:val="both"/>
        <w:rPr>
          <w:sz w:val="28"/>
          <w:szCs w:val="28"/>
        </w:rPr>
      </w:pPr>
      <w:r w:rsidRPr="005E758A">
        <w:rPr>
          <w:sz w:val="28"/>
          <w:szCs w:val="28"/>
        </w:rPr>
        <w:t>長久以來許多國際</w:t>
      </w:r>
      <w:proofErr w:type="gramStart"/>
      <w:r w:rsidRPr="005E758A">
        <w:rPr>
          <w:sz w:val="28"/>
          <w:szCs w:val="28"/>
        </w:rPr>
        <w:t>文件皆肯認</w:t>
      </w:r>
      <w:proofErr w:type="gramEnd"/>
      <w:r w:rsidRPr="005E758A">
        <w:rPr>
          <w:sz w:val="28"/>
          <w:szCs w:val="28"/>
        </w:rPr>
        <w:t>思想信仰自由為基本人權之</w:t>
      </w:r>
      <w:proofErr w:type="gramStart"/>
      <w:r w:rsidRPr="005E758A">
        <w:rPr>
          <w:sz w:val="28"/>
          <w:szCs w:val="28"/>
        </w:rPr>
        <w:t>一</w:t>
      </w:r>
      <w:proofErr w:type="gramEnd"/>
      <w:r w:rsidRPr="005E758A">
        <w:rPr>
          <w:sz w:val="28"/>
          <w:szCs w:val="28"/>
        </w:rPr>
        <w:t>。</w:t>
      </w:r>
      <w:r w:rsidR="000424AB" w:rsidRPr="005E758A">
        <w:rPr>
          <w:sz w:val="28"/>
          <w:szCs w:val="28"/>
        </w:rPr>
        <w:t>有關兒童的思想信仰，部分文件特別規範父母或法定代理人的權利，兒童本身是否為享有這項權利的主體在過去不無疑義，而兒童權利公約第</w:t>
      </w:r>
      <w:r w:rsidR="000424AB" w:rsidRPr="005E758A">
        <w:rPr>
          <w:sz w:val="28"/>
          <w:szCs w:val="28"/>
        </w:rPr>
        <w:t>14</w:t>
      </w:r>
      <w:r w:rsidR="000424AB" w:rsidRPr="005E758A">
        <w:rPr>
          <w:sz w:val="28"/>
          <w:szCs w:val="28"/>
        </w:rPr>
        <w:t>條則是正面地肯定兒童的主體地位，認為兒童有思想、自我意識與宗教自由之權利，惟兒童父母的權利並未被完全忽視，同條第</w:t>
      </w:r>
      <w:r w:rsidR="000424AB" w:rsidRPr="005E758A">
        <w:rPr>
          <w:sz w:val="28"/>
          <w:szCs w:val="28"/>
        </w:rPr>
        <w:t>2</w:t>
      </w:r>
      <w:r w:rsidR="000424AB" w:rsidRPr="005E758A">
        <w:rPr>
          <w:sz w:val="28"/>
          <w:szCs w:val="28"/>
        </w:rPr>
        <w:t>項要求締約國應尊重之，而兒童思想信仰自由的落實與公約中其他條文</w:t>
      </w:r>
      <w:proofErr w:type="gramStart"/>
      <w:r w:rsidR="000424AB" w:rsidRPr="005E758A">
        <w:rPr>
          <w:sz w:val="28"/>
          <w:szCs w:val="28"/>
        </w:rPr>
        <w:t>（</w:t>
      </w:r>
      <w:proofErr w:type="gramEnd"/>
      <w:r w:rsidR="000424AB" w:rsidRPr="005E758A">
        <w:rPr>
          <w:sz w:val="28"/>
          <w:szCs w:val="28"/>
        </w:rPr>
        <w:t>例如：第</w:t>
      </w:r>
      <w:r w:rsidR="000424AB" w:rsidRPr="005E758A">
        <w:rPr>
          <w:sz w:val="28"/>
          <w:szCs w:val="28"/>
        </w:rPr>
        <w:t>16</w:t>
      </w:r>
      <w:r w:rsidR="000424AB" w:rsidRPr="005E758A">
        <w:rPr>
          <w:sz w:val="28"/>
          <w:szCs w:val="28"/>
        </w:rPr>
        <w:t>條隱私權、第</w:t>
      </w:r>
      <w:r w:rsidR="000424AB" w:rsidRPr="005E758A">
        <w:rPr>
          <w:sz w:val="28"/>
          <w:szCs w:val="28"/>
        </w:rPr>
        <w:t>28</w:t>
      </w:r>
      <w:r w:rsidR="000424AB" w:rsidRPr="005E758A">
        <w:rPr>
          <w:sz w:val="28"/>
          <w:szCs w:val="28"/>
        </w:rPr>
        <w:t>及</w:t>
      </w:r>
      <w:r w:rsidR="000424AB" w:rsidRPr="005E758A">
        <w:rPr>
          <w:sz w:val="28"/>
          <w:szCs w:val="28"/>
        </w:rPr>
        <w:t>29</w:t>
      </w:r>
      <w:r w:rsidR="000424AB" w:rsidRPr="005E758A">
        <w:rPr>
          <w:sz w:val="28"/>
          <w:szCs w:val="28"/>
        </w:rPr>
        <w:t>條的受教權以及第</w:t>
      </w:r>
      <w:r w:rsidR="000424AB" w:rsidRPr="005E758A">
        <w:rPr>
          <w:sz w:val="28"/>
          <w:szCs w:val="28"/>
        </w:rPr>
        <w:t>30</w:t>
      </w:r>
      <w:r w:rsidR="000424AB" w:rsidRPr="005E758A">
        <w:rPr>
          <w:sz w:val="28"/>
          <w:szCs w:val="28"/>
        </w:rPr>
        <w:t>條對少數民族兒童的保障等</w:t>
      </w:r>
      <w:proofErr w:type="gramStart"/>
      <w:r w:rsidR="000424AB" w:rsidRPr="005E758A">
        <w:rPr>
          <w:sz w:val="28"/>
          <w:szCs w:val="28"/>
        </w:rPr>
        <w:t>）</w:t>
      </w:r>
      <w:proofErr w:type="gramEnd"/>
      <w:r w:rsidR="000424AB" w:rsidRPr="005E758A">
        <w:rPr>
          <w:sz w:val="28"/>
          <w:szCs w:val="28"/>
        </w:rPr>
        <w:t>息息相關，兒童權利委員會</w:t>
      </w:r>
      <w:r w:rsidR="00890B63" w:rsidRPr="005E758A">
        <w:rPr>
          <w:sz w:val="28"/>
          <w:szCs w:val="28"/>
        </w:rPr>
        <w:t>並指出兒童的此項權利的實踐與其父母及社會大眾思想信仰自由的落實同屬</w:t>
      </w:r>
      <w:r w:rsidR="000424AB" w:rsidRPr="005E758A">
        <w:rPr>
          <w:sz w:val="28"/>
          <w:szCs w:val="28"/>
        </w:rPr>
        <w:t>不可分割</w:t>
      </w:r>
      <w:r w:rsidR="000424AB" w:rsidRPr="005E758A">
        <w:rPr>
          <w:rStyle w:val="af3"/>
          <w:sz w:val="28"/>
          <w:szCs w:val="28"/>
        </w:rPr>
        <w:endnoteReference w:id="185"/>
      </w:r>
      <w:r w:rsidR="000424AB" w:rsidRPr="005E758A">
        <w:rPr>
          <w:sz w:val="28"/>
          <w:szCs w:val="28"/>
        </w:rPr>
        <w:t>。</w:t>
      </w:r>
    </w:p>
    <w:p w14:paraId="025259D4" w14:textId="77777777" w:rsidR="000424AB" w:rsidRPr="005E758A" w:rsidRDefault="00371A18" w:rsidP="00490C95">
      <w:pPr>
        <w:pStyle w:val="2"/>
        <w:spacing w:line="0" w:lineRule="atLeast"/>
        <w:rPr>
          <w:szCs w:val="28"/>
        </w:rPr>
      </w:pPr>
      <w:r w:rsidRPr="005E758A">
        <w:rPr>
          <w:szCs w:val="28"/>
        </w:rPr>
        <w:t>條文要</w:t>
      </w:r>
      <w:r w:rsidR="000424AB" w:rsidRPr="005E758A">
        <w:rPr>
          <w:szCs w:val="28"/>
        </w:rPr>
        <w:t>義</w:t>
      </w:r>
    </w:p>
    <w:p w14:paraId="2C4CD37D" w14:textId="77777777" w:rsidR="000424AB" w:rsidRPr="005E758A" w:rsidRDefault="000424AB" w:rsidP="00490C95">
      <w:pPr>
        <w:pStyle w:val="3"/>
        <w:numPr>
          <w:ilvl w:val="0"/>
          <w:numId w:val="13"/>
        </w:numPr>
        <w:spacing w:line="0" w:lineRule="atLeast"/>
        <w:rPr>
          <w:szCs w:val="28"/>
        </w:rPr>
      </w:pPr>
      <w:r w:rsidRPr="005E758A">
        <w:rPr>
          <w:szCs w:val="28"/>
        </w:rPr>
        <w:t>第</w:t>
      </w:r>
      <w:r w:rsidRPr="005E758A">
        <w:rPr>
          <w:szCs w:val="28"/>
        </w:rPr>
        <w:t>14</w:t>
      </w:r>
      <w:r w:rsidRPr="005E758A">
        <w:rPr>
          <w:szCs w:val="28"/>
        </w:rPr>
        <w:t>條第</w:t>
      </w:r>
      <w:r w:rsidRPr="005E758A">
        <w:rPr>
          <w:szCs w:val="28"/>
        </w:rPr>
        <w:t>1</w:t>
      </w:r>
      <w:r w:rsidRPr="005E758A">
        <w:rPr>
          <w:szCs w:val="28"/>
        </w:rPr>
        <w:t>項</w:t>
      </w:r>
    </w:p>
    <w:p w14:paraId="1A5A221B" w14:textId="77777777" w:rsidR="000424AB" w:rsidRPr="005E758A" w:rsidRDefault="000424AB" w:rsidP="00490C95">
      <w:pPr>
        <w:snapToGrid w:val="0"/>
        <w:spacing w:before="100" w:beforeAutospacing="1" w:after="100" w:afterAutospacing="1" w:line="0" w:lineRule="atLeast"/>
        <w:ind w:firstLineChars="200" w:firstLine="560"/>
        <w:jc w:val="both"/>
        <w:rPr>
          <w:sz w:val="28"/>
          <w:szCs w:val="28"/>
        </w:rPr>
      </w:pPr>
      <w:r w:rsidRPr="005E758A">
        <w:rPr>
          <w:sz w:val="28"/>
          <w:szCs w:val="28"/>
        </w:rPr>
        <w:t>本項要求締約國應尊重兒童思想、自我意識</w:t>
      </w:r>
      <w:r w:rsidR="00890B63" w:rsidRPr="005E758A">
        <w:rPr>
          <w:sz w:val="28"/>
          <w:szCs w:val="28"/>
        </w:rPr>
        <w:t>與宗教自由之權利，其中「應尊重」是否暗示締約國僅有消極義務？在本條</w:t>
      </w:r>
      <w:r w:rsidRPr="005E758A">
        <w:rPr>
          <w:sz w:val="28"/>
          <w:szCs w:val="28"/>
        </w:rPr>
        <w:t>起草的過程中，的確有些國家不願意使用太強的義務性用</w:t>
      </w:r>
      <w:r w:rsidR="00890B63" w:rsidRPr="005E758A">
        <w:rPr>
          <w:sz w:val="28"/>
          <w:szCs w:val="28"/>
        </w:rPr>
        <w:t>語，但是公約準備文件無法證明公約締約國僅有狹隘的消極義務，而不須</w:t>
      </w:r>
      <w:r w:rsidRPr="005E758A">
        <w:rPr>
          <w:sz w:val="28"/>
          <w:szCs w:val="28"/>
        </w:rPr>
        <w:t>防止第三者對個人思想信仰自由的侵害</w:t>
      </w:r>
      <w:bookmarkStart w:id="47" w:name="_Ref425330821"/>
      <w:r w:rsidRPr="005E758A">
        <w:rPr>
          <w:rStyle w:val="af3"/>
          <w:sz w:val="28"/>
          <w:szCs w:val="28"/>
        </w:rPr>
        <w:endnoteReference w:id="186"/>
      </w:r>
      <w:bookmarkEnd w:id="47"/>
      <w:r w:rsidR="00890B63" w:rsidRPr="005E758A">
        <w:rPr>
          <w:sz w:val="28"/>
          <w:szCs w:val="28"/>
        </w:rPr>
        <w:t>。以下分述思想、自我意識與宗教自由。</w:t>
      </w:r>
    </w:p>
    <w:p w14:paraId="0EDB1910" w14:textId="77777777" w:rsidR="000424AB" w:rsidRPr="005E758A" w:rsidRDefault="000424AB" w:rsidP="00490C95">
      <w:pPr>
        <w:snapToGrid w:val="0"/>
        <w:spacing w:before="100" w:beforeAutospacing="1" w:after="100" w:afterAutospacing="1" w:line="0" w:lineRule="atLeast"/>
        <w:ind w:firstLineChars="200" w:firstLine="560"/>
        <w:jc w:val="both"/>
        <w:rPr>
          <w:sz w:val="28"/>
          <w:szCs w:val="28"/>
        </w:rPr>
      </w:pPr>
      <w:r w:rsidRPr="005E758A">
        <w:rPr>
          <w:sz w:val="28"/>
          <w:szCs w:val="28"/>
        </w:rPr>
        <w:t>思想自由保障的範圍並不受限，任何主題相</w:t>
      </w:r>
      <w:r w:rsidR="00CE2B9A" w:rsidRPr="005E758A">
        <w:rPr>
          <w:sz w:val="28"/>
          <w:szCs w:val="28"/>
        </w:rPr>
        <w:t>關的思想均應受保護，</w:t>
      </w:r>
      <w:proofErr w:type="gramStart"/>
      <w:r w:rsidR="00CE2B9A" w:rsidRPr="005E758A">
        <w:rPr>
          <w:sz w:val="28"/>
          <w:szCs w:val="28"/>
        </w:rPr>
        <w:t>不同於需連結</w:t>
      </w:r>
      <w:proofErr w:type="gramEnd"/>
      <w:r w:rsidR="00CE2B9A" w:rsidRPr="005E758A">
        <w:rPr>
          <w:sz w:val="28"/>
          <w:szCs w:val="28"/>
        </w:rPr>
        <w:t>某項道德信念的自我意識或需連結</w:t>
      </w:r>
      <w:r w:rsidRPr="005E758A">
        <w:rPr>
          <w:sz w:val="28"/>
          <w:szCs w:val="28"/>
        </w:rPr>
        <w:t>某種信仰的宗教自由。思想自由受絕對的保障，不得有任何例外限制，惟根據同條第</w:t>
      </w:r>
      <w:r w:rsidR="00985C6A" w:rsidRPr="005E758A">
        <w:rPr>
          <w:sz w:val="28"/>
          <w:szCs w:val="28"/>
        </w:rPr>
        <w:t>2</w:t>
      </w:r>
      <w:r w:rsidRPr="005E758A">
        <w:rPr>
          <w:sz w:val="28"/>
          <w:szCs w:val="28"/>
        </w:rPr>
        <w:t>項，在這方面國家仍有義務尊重父母或監護人的權利與指導。</w:t>
      </w:r>
    </w:p>
    <w:p w14:paraId="065D3795" w14:textId="77777777" w:rsidR="000424AB" w:rsidRPr="005E758A" w:rsidRDefault="00890B63" w:rsidP="00490C95">
      <w:pPr>
        <w:snapToGrid w:val="0"/>
        <w:spacing w:before="100" w:beforeAutospacing="1" w:after="100" w:afterAutospacing="1" w:line="0" w:lineRule="atLeast"/>
        <w:ind w:firstLineChars="200" w:firstLine="560"/>
        <w:jc w:val="both"/>
        <w:rPr>
          <w:sz w:val="28"/>
          <w:szCs w:val="28"/>
        </w:rPr>
      </w:pPr>
      <w:r w:rsidRPr="005E758A">
        <w:rPr>
          <w:sz w:val="28"/>
          <w:szCs w:val="28"/>
        </w:rPr>
        <w:t>如上述，自我意識</w:t>
      </w:r>
      <w:r w:rsidR="000424AB" w:rsidRPr="005E758A">
        <w:rPr>
          <w:sz w:val="28"/>
          <w:szCs w:val="28"/>
        </w:rPr>
        <w:t>需與某</w:t>
      </w:r>
      <w:r w:rsidRPr="005E758A">
        <w:rPr>
          <w:sz w:val="28"/>
          <w:szCs w:val="28"/>
        </w:rPr>
        <w:t>種道德或哲學信念做連結，自我意識不見得長期持續不變，且不必符合客觀上的真實情況。</w:t>
      </w:r>
      <w:r w:rsidR="000424AB" w:rsidRPr="005E758A">
        <w:rPr>
          <w:sz w:val="28"/>
          <w:szCs w:val="28"/>
        </w:rPr>
        <w:t>和平主義</w:t>
      </w:r>
      <w:r w:rsidR="000424AB" w:rsidRPr="005E758A">
        <w:rPr>
          <w:rStyle w:val="af3"/>
          <w:sz w:val="28"/>
          <w:szCs w:val="28"/>
        </w:rPr>
        <w:endnoteReference w:id="187"/>
      </w:r>
      <w:r w:rsidR="000424AB" w:rsidRPr="005E758A">
        <w:rPr>
          <w:sz w:val="28"/>
          <w:szCs w:val="28"/>
        </w:rPr>
        <w:t>和素食</w:t>
      </w:r>
      <w:r w:rsidR="000424AB" w:rsidRPr="005E758A">
        <w:rPr>
          <w:sz w:val="28"/>
          <w:szCs w:val="28"/>
        </w:rPr>
        <w:lastRenderedPageBreak/>
        <w:t>主義</w:t>
      </w:r>
      <w:r w:rsidR="000424AB" w:rsidRPr="005E758A">
        <w:rPr>
          <w:rStyle w:val="af3"/>
          <w:sz w:val="28"/>
          <w:szCs w:val="28"/>
        </w:rPr>
        <w:endnoteReference w:id="188"/>
      </w:r>
      <w:proofErr w:type="gramStart"/>
      <w:r w:rsidR="000424AB" w:rsidRPr="005E758A">
        <w:rPr>
          <w:sz w:val="28"/>
          <w:szCs w:val="28"/>
        </w:rPr>
        <w:t>等均屬自我</w:t>
      </w:r>
      <w:proofErr w:type="gramEnd"/>
      <w:r w:rsidR="000424AB" w:rsidRPr="005E758A">
        <w:rPr>
          <w:sz w:val="28"/>
          <w:szCs w:val="28"/>
        </w:rPr>
        <w:t>意識的一種樣態。另一個相關的議題為良心反戰者的爭議，根據公約第</w:t>
      </w:r>
      <w:r w:rsidR="000424AB" w:rsidRPr="005E758A">
        <w:rPr>
          <w:sz w:val="28"/>
          <w:szCs w:val="28"/>
        </w:rPr>
        <w:t>38</w:t>
      </w:r>
      <w:r w:rsidR="000424AB" w:rsidRPr="005E758A">
        <w:rPr>
          <w:sz w:val="28"/>
          <w:szCs w:val="28"/>
        </w:rPr>
        <w:t>條，發生武裝衝突時締約國得招募</w:t>
      </w:r>
      <w:r w:rsidR="000424AB" w:rsidRPr="005E758A">
        <w:rPr>
          <w:sz w:val="28"/>
          <w:szCs w:val="28"/>
        </w:rPr>
        <w:t>15</w:t>
      </w:r>
      <w:r w:rsidR="000424AB" w:rsidRPr="005E758A">
        <w:rPr>
          <w:sz w:val="28"/>
          <w:szCs w:val="28"/>
        </w:rPr>
        <w:t>歲以上未滿</w:t>
      </w:r>
      <w:r w:rsidR="000424AB" w:rsidRPr="005E758A">
        <w:rPr>
          <w:sz w:val="28"/>
          <w:szCs w:val="28"/>
        </w:rPr>
        <w:t>18</w:t>
      </w:r>
      <w:r w:rsidR="000424AB" w:rsidRPr="005E758A">
        <w:rPr>
          <w:sz w:val="28"/>
          <w:szCs w:val="28"/>
        </w:rPr>
        <w:t>歲的兒童，此類兒童究有無依良心拒服兵役的權利？這方面各國立法不一致，但聯合國人權事務委員會認為自我意識自由可衍生出此項權利</w:t>
      </w:r>
      <w:bookmarkStart w:id="48" w:name="_Ref425332807"/>
      <w:r w:rsidR="000424AB" w:rsidRPr="005E758A">
        <w:rPr>
          <w:rStyle w:val="af3"/>
          <w:sz w:val="28"/>
          <w:szCs w:val="28"/>
        </w:rPr>
        <w:endnoteReference w:id="189"/>
      </w:r>
      <w:bookmarkEnd w:id="48"/>
      <w:r w:rsidR="000424AB" w:rsidRPr="005E758A">
        <w:rPr>
          <w:sz w:val="28"/>
          <w:szCs w:val="28"/>
        </w:rPr>
        <w:t>。</w:t>
      </w:r>
    </w:p>
    <w:p w14:paraId="412A0E85" w14:textId="77777777" w:rsidR="000424AB" w:rsidRPr="005E758A" w:rsidRDefault="000424AB" w:rsidP="00490C95">
      <w:pPr>
        <w:snapToGrid w:val="0"/>
        <w:spacing w:before="100" w:beforeAutospacing="1" w:after="100" w:afterAutospacing="1" w:line="0" w:lineRule="atLeast"/>
        <w:ind w:firstLineChars="200" w:firstLine="560"/>
        <w:jc w:val="both"/>
        <w:rPr>
          <w:sz w:val="28"/>
          <w:szCs w:val="28"/>
        </w:rPr>
      </w:pPr>
      <w:r w:rsidRPr="005E758A">
        <w:rPr>
          <w:sz w:val="28"/>
          <w:szCs w:val="28"/>
        </w:rPr>
        <w:t>至於宗教自由的內涵，公約本身僅有在本條第</w:t>
      </w:r>
      <w:r w:rsidRPr="005E758A">
        <w:rPr>
          <w:sz w:val="28"/>
          <w:szCs w:val="28"/>
        </w:rPr>
        <w:t>3</w:t>
      </w:r>
      <w:r w:rsidRPr="005E758A">
        <w:rPr>
          <w:sz w:val="28"/>
          <w:szCs w:val="28"/>
        </w:rPr>
        <w:t>項提及「表明其宗教或信仰之自由」，不同於其它公約有較詳細的說明，例如</w:t>
      </w:r>
      <w:r w:rsidR="00CE2B9A" w:rsidRPr="005E758A">
        <w:rPr>
          <w:sz w:val="28"/>
          <w:szCs w:val="28"/>
        </w:rPr>
        <w:t>公民與政治權利國際公約</w:t>
      </w:r>
      <w:r w:rsidRPr="005E758A">
        <w:rPr>
          <w:sz w:val="28"/>
          <w:szCs w:val="28"/>
        </w:rPr>
        <w:t>第</w:t>
      </w:r>
      <w:r w:rsidRPr="005E758A">
        <w:rPr>
          <w:sz w:val="28"/>
          <w:szCs w:val="28"/>
        </w:rPr>
        <w:t>18</w:t>
      </w:r>
      <w:r w:rsidRPr="005E758A">
        <w:rPr>
          <w:sz w:val="28"/>
          <w:szCs w:val="28"/>
        </w:rPr>
        <w:t>條第</w:t>
      </w:r>
      <w:r w:rsidRPr="005E758A">
        <w:rPr>
          <w:sz w:val="28"/>
          <w:szCs w:val="28"/>
        </w:rPr>
        <w:t>1</w:t>
      </w:r>
      <w:r w:rsidRPr="005E758A">
        <w:rPr>
          <w:sz w:val="28"/>
          <w:szCs w:val="28"/>
        </w:rPr>
        <w:t>項規定，宗教自由包括：「保有或</w:t>
      </w:r>
      <w:proofErr w:type="gramStart"/>
      <w:r w:rsidRPr="005E758A">
        <w:rPr>
          <w:sz w:val="28"/>
          <w:szCs w:val="28"/>
        </w:rPr>
        <w:t>採</w:t>
      </w:r>
      <w:proofErr w:type="gramEnd"/>
      <w:r w:rsidRPr="005E758A">
        <w:rPr>
          <w:sz w:val="28"/>
          <w:szCs w:val="28"/>
        </w:rPr>
        <w:t>奉自擇之宗教或信仰之自由，及單獨或集體、公開或私自以禮拜、戒律、躬行及講授表示其宗教或信仰之自由」，但不應因此認為兒童享有的宗教信仰自由範圍較成</w:t>
      </w:r>
      <w:r w:rsidR="00890B63" w:rsidRPr="005E758A">
        <w:rPr>
          <w:sz w:val="28"/>
          <w:szCs w:val="28"/>
        </w:rPr>
        <w:t>年</w:t>
      </w:r>
      <w:r w:rsidRPr="005E758A">
        <w:rPr>
          <w:sz w:val="28"/>
          <w:szCs w:val="28"/>
        </w:rPr>
        <w:t>人的權利範圍限縮</w:t>
      </w:r>
      <w:r w:rsidRPr="005E758A">
        <w:rPr>
          <w:rStyle w:val="af3"/>
          <w:sz w:val="28"/>
          <w:szCs w:val="28"/>
        </w:rPr>
        <w:endnoteReference w:id="190"/>
      </w:r>
      <w:r w:rsidR="0078523C" w:rsidRPr="005E758A">
        <w:rPr>
          <w:sz w:val="28"/>
          <w:szCs w:val="28"/>
        </w:rPr>
        <w:t>。另外，本</w:t>
      </w:r>
      <w:r w:rsidRPr="005E758A">
        <w:rPr>
          <w:sz w:val="28"/>
          <w:szCs w:val="28"/>
        </w:rPr>
        <w:t>項規定所指的宗教，</w:t>
      </w:r>
      <w:r w:rsidR="0078523C" w:rsidRPr="005E758A">
        <w:rPr>
          <w:sz w:val="28"/>
          <w:szCs w:val="28"/>
        </w:rPr>
        <w:t>應做廣義解釋，不一定要屬於</w:t>
      </w:r>
      <w:r w:rsidRPr="005E758A">
        <w:rPr>
          <w:sz w:val="28"/>
          <w:szCs w:val="28"/>
        </w:rPr>
        <w:t>傳統的宗教派別，也不一定要有固定的組織或體系</w:t>
      </w:r>
      <w:r w:rsidRPr="005E758A">
        <w:rPr>
          <w:rStyle w:val="af3"/>
          <w:sz w:val="28"/>
          <w:szCs w:val="28"/>
        </w:rPr>
        <w:endnoteReference w:id="191"/>
      </w:r>
      <w:r w:rsidRPr="005E758A">
        <w:rPr>
          <w:sz w:val="28"/>
          <w:szCs w:val="28"/>
        </w:rPr>
        <w:t>。兒童的宗教信仰自由也與宗</w:t>
      </w:r>
      <w:r w:rsidR="0078523C" w:rsidRPr="005E758A">
        <w:rPr>
          <w:sz w:val="28"/>
          <w:szCs w:val="28"/>
        </w:rPr>
        <w:t>教教育息息相關，兒童應該有權利拒絕接受國家強制的教條式宗教教育；另一方面國家亦有義務避免阻礙兒童受宗教教育；另外，</w:t>
      </w:r>
      <w:r w:rsidRPr="005E758A">
        <w:rPr>
          <w:sz w:val="28"/>
          <w:szCs w:val="28"/>
        </w:rPr>
        <w:t>可能還有進一步的義務要避免私人阻礙兒童享有此項權利</w:t>
      </w:r>
      <w:r w:rsidRPr="005E758A">
        <w:rPr>
          <w:rStyle w:val="af3"/>
          <w:sz w:val="28"/>
          <w:szCs w:val="28"/>
        </w:rPr>
        <w:endnoteReference w:id="192"/>
      </w:r>
      <w:r w:rsidRPr="005E758A">
        <w:rPr>
          <w:sz w:val="28"/>
          <w:szCs w:val="28"/>
        </w:rPr>
        <w:t>。</w:t>
      </w:r>
    </w:p>
    <w:p w14:paraId="057BD16C" w14:textId="77777777" w:rsidR="000424AB" w:rsidRPr="005E758A" w:rsidRDefault="000424AB" w:rsidP="00490C95">
      <w:pPr>
        <w:pStyle w:val="3"/>
        <w:spacing w:line="0" w:lineRule="atLeast"/>
        <w:rPr>
          <w:szCs w:val="28"/>
        </w:rPr>
      </w:pPr>
      <w:r w:rsidRPr="005E758A">
        <w:rPr>
          <w:szCs w:val="28"/>
        </w:rPr>
        <w:t>第</w:t>
      </w:r>
      <w:r w:rsidRPr="005E758A">
        <w:rPr>
          <w:szCs w:val="28"/>
        </w:rPr>
        <w:t>14</w:t>
      </w:r>
      <w:r w:rsidRPr="005E758A">
        <w:rPr>
          <w:szCs w:val="28"/>
        </w:rPr>
        <w:t>條第</w:t>
      </w:r>
      <w:r w:rsidRPr="005E758A">
        <w:rPr>
          <w:szCs w:val="28"/>
        </w:rPr>
        <w:t>2</w:t>
      </w:r>
      <w:r w:rsidRPr="005E758A">
        <w:rPr>
          <w:szCs w:val="28"/>
        </w:rPr>
        <w:t>項</w:t>
      </w:r>
    </w:p>
    <w:p w14:paraId="7A1DCC2F" w14:textId="77777777" w:rsidR="000424AB" w:rsidRPr="005E758A" w:rsidRDefault="001933B8" w:rsidP="00490C95">
      <w:pPr>
        <w:snapToGrid w:val="0"/>
        <w:spacing w:before="100" w:beforeAutospacing="1" w:after="100" w:afterAutospacing="1" w:line="0" w:lineRule="atLeast"/>
        <w:ind w:firstLineChars="200" w:firstLine="560"/>
        <w:jc w:val="both"/>
        <w:rPr>
          <w:sz w:val="28"/>
          <w:szCs w:val="28"/>
        </w:rPr>
      </w:pPr>
      <w:r w:rsidRPr="005E758A">
        <w:rPr>
          <w:sz w:val="28"/>
          <w:szCs w:val="28"/>
        </w:rPr>
        <w:t>從本項規定</w:t>
      </w:r>
      <w:r w:rsidR="000424AB" w:rsidRPr="005E758A">
        <w:rPr>
          <w:sz w:val="28"/>
          <w:szCs w:val="28"/>
        </w:rPr>
        <w:t>要求國家不干涉父母或監護人對兒童行使本條權利時的指導，</w:t>
      </w:r>
      <w:r w:rsidRPr="005E758A">
        <w:rPr>
          <w:sz w:val="28"/>
          <w:szCs w:val="28"/>
        </w:rPr>
        <w:t>可看出公約對家庭的重視，但這並不表示國家完全不得過問父母或監護人這方面的行為，而是必須</w:t>
      </w:r>
      <w:r w:rsidR="000424AB" w:rsidRPr="005E758A">
        <w:rPr>
          <w:sz w:val="28"/>
          <w:szCs w:val="28"/>
        </w:rPr>
        <w:t>在兒童的權利以及父母的權利之間取得平</w:t>
      </w:r>
      <w:proofErr w:type="gramStart"/>
      <w:r w:rsidR="000424AB" w:rsidRPr="005E758A">
        <w:rPr>
          <w:sz w:val="28"/>
          <w:szCs w:val="28"/>
        </w:rPr>
        <w:t>衡</w:t>
      </w:r>
      <w:bookmarkStart w:id="49" w:name="_Ref425338377"/>
      <w:proofErr w:type="gramEnd"/>
      <w:r w:rsidR="000424AB" w:rsidRPr="005E758A">
        <w:rPr>
          <w:rStyle w:val="af3"/>
          <w:sz w:val="28"/>
          <w:szCs w:val="28"/>
        </w:rPr>
        <w:endnoteReference w:id="193"/>
      </w:r>
      <w:bookmarkEnd w:id="49"/>
      <w:r w:rsidRPr="005E758A">
        <w:rPr>
          <w:sz w:val="28"/>
          <w:szCs w:val="28"/>
        </w:rPr>
        <w:t>，且父母或監護人行使此指導的權利時，應</w:t>
      </w:r>
      <w:r w:rsidR="000424AB" w:rsidRPr="005E758A">
        <w:rPr>
          <w:sz w:val="28"/>
          <w:szCs w:val="28"/>
        </w:rPr>
        <w:t>「以符合兒童各發展階段能力的方式」為之。有關「兒童各發展階段之能力」的涵義，各國解讀不同，也在內國法中訂立不同的年齡的門檻，通過門檻的兒童始被認為具有選擇宗教信仰所需之成熟度，針對這類現象，聯合國宗教或信仰自由問題特別報告員建議不應僅以年齡作為嚴格的判斷依據，而是應依照個案情形判斷，同時呼應兒童權利公約第</w:t>
      </w:r>
      <w:r w:rsidR="000424AB" w:rsidRPr="005E758A">
        <w:rPr>
          <w:sz w:val="28"/>
          <w:szCs w:val="28"/>
        </w:rPr>
        <w:t>12</w:t>
      </w:r>
      <w:r w:rsidR="000424AB" w:rsidRPr="005E758A">
        <w:rPr>
          <w:sz w:val="28"/>
          <w:szCs w:val="28"/>
        </w:rPr>
        <w:t>條第</w:t>
      </w:r>
      <w:r w:rsidR="000424AB" w:rsidRPr="005E758A">
        <w:rPr>
          <w:sz w:val="28"/>
          <w:szCs w:val="28"/>
        </w:rPr>
        <w:t>1</w:t>
      </w:r>
      <w:r w:rsidR="000424AB" w:rsidRPr="005E758A">
        <w:rPr>
          <w:sz w:val="28"/>
          <w:szCs w:val="28"/>
        </w:rPr>
        <w:t>項之規定</w:t>
      </w:r>
      <w:r w:rsidR="000424AB" w:rsidRPr="005E758A">
        <w:rPr>
          <w:rStyle w:val="af3"/>
          <w:sz w:val="28"/>
          <w:szCs w:val="28"/>
        </w:rPr>
        <w:endnoteReference w:id="194"/>
      </w:r>
      <w:r w:rsidR="000424AB" w:rsidRPr="005E758A">
        <w:rPr>
          <w:sz w:val="28"/>
          <w:szCs w:val="28"/>
        </w:rPr>
        <w:t>，且應仔細地考量兒童的最佳利益。</w:t>
      </w:r>
    </w:p>
    <w:p w14:paraId="642F30DE" w14:textId="77777777" w:rsidR="000424AB" w:rsidRPr="005E758A" w:rsidRDefault="000424AB" w:rsidP="00490C95">
      <w:pPr>
        <w:snapToGrid w:val="0"/>
        <w:spacing w:before="100" w:beforeAutospacing="1" w:after="100" w:afterAutospacing="1" w:line="0" w:lineRule="atLeast"/>
        <w:ind w:firstLineChars="200" w:firstLine="560"/>
        <w:jc w:val="both"/>
        <w:rPr>
          <w:sz w:val="28"/>
          <w:szCs w:val="28"/>
        </w:rPr>
      </w:pPr>
      <w:r w:rsidRPr="005E758A">
        <w:rPr>
          <w:sz w:val="28"/>
          <w:szCs w:val="28"/>
        </w:rPr>
        <w:t>然而若兒童與其父母對於宗教信仰的選擇或如何行使相關權利有不同意見時應如何處理？本項雖提到「兒童各發展階段之能力」，但並未指出滿足何種條件或年齡限制的兒童有高於父母決定自己宗教信仰的優先權，雖然公約對此未</w:t>
      </w:r>
      <w:r w:rsidR="001933B8" w:rsidRPr="005E758A">
        <w:rPr>
          <w:sz w:val="28"/>
          <w:szCs w:val="28"/>
        </w:rPr>
        <w:t>有明確規定，但父母或監護人在行使指導的權利時，應全盤考量公約其他的規定與原則，除上述兒童最佳利益原則外，另外應</w:t>
      </w:r>
      <w:r w:rsidRPr="005E758A">
        <w:rPr>
          <w:sz w:val="28"/>
          <w:szCs w:val="28"/>
        </w:rPr>
        <w:t>提供兒童發表意見的機會（第</w:t>
      </w:r>
      <w:r w:rsidRPr="005E758A">
        <w:rPr>
          <w:sz w:val="28"/>
          <w:szCs w:val="28"/>
        </w:rPr>
        <w:t>12</w:t>
      </w:r>
      <w:r w:rsidRPr="005E758A">
        <w:rPr>
          <w:sz w:val="28"/>
          <w:szCs w:val="28"/>
        </w:rPr>
        <w:t>條），且無論如何不應施以心理或身體上的暴力</w:t>
      </w:r>
      <w:r w:rsidRPr="005E758A">
        <w:rPr>
          <w:rStyle w:val="af3"/>
          <w:sz w:val="28"/>
          <w:szCs w:val="28"/>
        </w:rPr>
        <w:endnoteReference w:id="195"/>
      </w:r>
      <w:r w:rsidRPr="005E758A">
        <w:rPr>
          <w:sz w:val="28"/>
          <w:szCs w:val="28"/>
        </w:rPr>
        <w:t>。</w:t>
      </w:r>
    </w:p>
    <w:p w14:paraId="01728FFD" w14:textId="77777777" w:rsidR="000424AB" w:rsidRPr="005E758A" w:rsidRDefault="000424AB" w:rsidP="00490C95">
      <w:pPr>
        <w:pStyle w:val="3"/>
        <w:spacing w:line="0" w:lineRule="atLeast"/>
        <w:rPr>
          <w:szCs w:val="28"/>
        </w:rPr>
      </w:pPr>
      <w:r w:rsidRPr="005E758A">
        <w:rPr>
          <w:szCs w:val="28"/>
        </w:rPr>
        <w:lastRenderedPageBreak/>
        <w:t>第</w:t>
      </w:r>
      <w:r w:rsidRPr="005E758A">
        <w:rPr>
          <w:szCs w:val="28"/>
        </w:rPr>
        <w:t>14</w:t>
      </w:r>
      <w:r w:rsidRPr="005E758A">
        <w:rPr>
          <w:szCs w:val="28"/>
        </w:rPr>
        <w:t>條第</w:t>
      </w:r>
      <w:r w:rsidRPr="005E758A">
        <w:rPr>
          <w:szCs w:val="28"/>
        </w:rPr>
        <w:t>3</w:t>
      </w:r>
      <w:r w:rsidRPr="005E758A">
        <w:rPr>
          <w:szCs w:val="28"/>
        </w:rPr>
        <w:t>項</w:t>
      </w:r>
    </w:p>
    <w:p w14:paraId="230AA07F" w14:textId="77777777" w:rsidR="000424AB" w:rsidRPr="005E758A" w:rsidRDefault="000424AB" w:rsidP="00490C95">
      <w:pPr>
        <w:snapToGrid w:val="0"/>
        <w:spacing w:before="100" w:beforeAutospacing="1" w:after="100" w:afterAutospacing="1" w:line="0" w:lineRule="atLeast"/>
        <w:ind w:firstLineChars="200" w:firstLine="560"/>
        <w:jc w:val="both"/>
        <w:rPr>
          <w:sz w:val="28"/>
          <w:szCs w:val="28"/>
        </w:rPr>
      </w:pPr>
      <w:r w:rsidRPr="005E758A">
        <w:rPr>
          <w:sz w:val="28"/>
          <w:szCs w:val="28"/>
        </w:rPr>
        <w:t>本項要求兒童表明其宗教或信仰之自由，僅受法律規定之限制且該等規定係為保護公共安全、秩序、衛生或道德，或他人之基本權利與自由所必要者。在解釋與本項相當類似的</w:t>
      </w:r>
      <w:r w:rsidR="00CE2B9A" w:rsidRPr="005E758A">
        <w:rPr>
          <w:sz w:val="28"/>
          <w:szCs w:val="28"/>
        </w:rPr>
        <w:t>公民與政治權利國際公約</w:t>
      </w:r>
      <w:r w:rsidRPr="005E758A">
        <w:rPr>
          <w:sz w:val="28"/>
          <w:szCs w:val="28"/>
        </w:rPr>
        <w:t>第</w:t>
      </w:r>
      <w:r w:rsidRPr="005E758A">
        <w:rPr>
          <w:sz w:val="28"/>
          <w:szCs w:val="28"/>
        </w:rPr>
        <w:t>18</w:t>
      </w:r>
      <w:r w:rsidRPr="005E758A">
        <w:rPr>
          <w:sz w:val="28"/>
          <w:szCs w:val="28"/>
        </w:rPr>
        <w:t>條第</w:t>
      </w:r>
      <w:r w:rsidRPr="005E758A">
        <w:rPr>
          <w:sz w:val="28"/>
          <w:szCs w:val="28"/>
        </w:rPr>
        <w:t>3</w:t>
      </w:r>
      <w:r w:rsidRPr="005E758A">
        <w:rPr>
          <w:sz w:val="28"/>
          <w:szCs w:val="28"/>
        </w:rPr>
        <w:t>項時，人權事務委員會表示應做狹義的解釋，締約國不得以未明列的規範目的為由限制宗教信仰自</w:t>
      </w:r>
      <w:proofErr w:type="gramStart"/>
      <w:r w:rsidRPr="005E758A">
        <w:rPr>
          <w:sz w:val="28"/>
          <w:szCs w:val="28"/>
        </w:rPr>
        <w:t>由</w:t>
      </w:r>
      <w:proofErr w:type="gramEnd"/>
      <w:r w:rsidRPr="005E758A">
        <w:rPr>
          <w:rStyle w:val="af3"/>
          <w:sz w:val="28"/>
          <w:szCs w:val="28"/>
        </w:rPr>
        <w:endnoteReference w:id="196"/>
      </w:r>
      <w:r w:rsidR="001933B8" w:rsidRPr="005E758A">
        <w:rPr>
          <w:sz w:val="28"/>
          <w:szCs w:val="28"/>
        </w:rPr>
        <w:t>。換言之，除為</w:t>
      </w:r>
      <w:r w:rsidR="00CE2B9A" w:rsidRPr="005E758A">
        <w:rPr>
          <w:sz w:val="28"/>
          <w:szCs w:val="28"/>
        </w:rPr>
        <w:t>「公共安全、秩序、衛生或道德</w:t>
      </w:r>
      <w:r w:rsidRPr="005E758A">
        <w:rPr>
          <w:sz w:val="28"/>
          <w:szCs w:val="28"/>
        </w:rPr>
        <w:t>或他人之基本權利自由」等目的，締約國不得恣意限制個人信仰自由。</w:t>
      </w:r>
    </w:p>
    <w:p w14:paraId="69BBFBD5" w14:textId="77777777" w:rsidR="000424AB" w:rsidRPr="005E758A" w:rsidRDefault="000424AB" w:rsidP="00490C95">
      <w:pPr>
        <w:snapToGrid w:val="0"/>
        <w:spacing w:before="100" w:beforeAutospacing="1" w:after="100" w:afterAutospacing="1" w:line="0" w:lineRule="atLeast"/>
        <w:ind w:firstLineChars="200" w:firstLine="560"/>
        <w:jc w:val="both"/>
        <w:rPr>
          <w:sz w:val="28"/>
          <w:szCs w:val="28"/>
        </w:rPr>
      </w:pPr>
      <w:r w:rsidRPr="005E758A">
        <w:rPr>
          <w:sz w:val="28"/>
          <w:szCs w:val="28"/>
        </w:rPr>
        <w:t>公約對信仰自由的限制與第</w:t>
      </w:r>
      <w:r w:rsidRPr="005E758A">
        <w:rPr>
          <w:sz w:val="28"/>
          <w:szCs w:val="28"/>
        </w:rPr>
        <w:t>13</w:t>
      </w:r>
      <w:r w:rsidRPr="005E758A">
        <w:rPr>
          <w:sz w:val="28"/>
          <w:szCs w:val="28"/>
        </w:rPr>
        <w:t>條第</w:t>
      </w:r>
      <w:r w:rsidRPr="005E758A">
        <w:rPr>
          <w:sz w:val="28"/>
          <w:szCs w:val="28"/>
        </w:rPr>
        <w:t>2</w:t>
      </w:r>
      <w:r w:rsidRPr="005E758A">
        <w:rPr>
          <w:sz w:val="28"/>
          <w:szCs w:val="28"/>
        </w:rPr>
        <w:t>項對表意權的限制相當類似，但以規範目的而言，表意權的合法限制目的包括「國家安全」，在本項的用語則是「公共安全」，後者在解釋上似較狹隘，另一合法限制表意權的目的為「公共秩序」，而合法限制信仰自由的目的則為「秩序」，亦有論者認為後者較狹隘，指的是避免秩序破壞，而不包括「公共秩序」概念下的抽象社會價值或公共政策的保護</w:t>
      </w:r>
      <w:r w:rsidRPr="005E758A">
        <w:rPr>
          <w:rStyle w:val="af3"/>
          <w:sz w:val="28"/>
          <w:szCs w:val="28"/>
        </w:rPr>
        <w:endnoteReference w:id="197"/>
      </w:r>
      <w:r w:rsidRPr="005E758A">
        <w:rPr>
          <w:sz w:val="28"/>
          <w:szCs w:val="28"/>
        </w:rPr>
        <w:t>。然而何謂「必要」的限制，兒童權利委員會在審查國家報告時似乎沒有一定的判</w:t>
      </w:r>
      <w:r w:rsidR="001933B8" w:rsidRPr="005E758A">
        <w:rPr>
          <w:sz w:val="28"/>
          <w:szCs w:val="28"/>
        </w:rPr>
        <w:t>斷標準，在解釋上或許需要透過</w:t>
      </w:r>
      <w:r w:rsidRPr="005E758A">
        <w:rPr>
          <w:sz w:val="28"/>
          <w:szCs w:val="28"/>
        </w:rPr>
        <w:t>法院或聯合國條約機構的案例分析</w:t>
      </w:r>
      <w:r w:rsidR="001933B8" w:rsidRPr="005E758A">
        <w:rPr>
          <w:sz w:val="28"/>
          <w:szCs w:val="28"/>
        </w:rPr>
        <w:t>，以</w:t>
      </w:r>
      <w:r w:rsidRPr="005E758A">
        <w:rPr>
          <w:sz w:val="28"/>
          <w:szCs w:val="28"/>
        </w:rPr>
        <w:t>協助判斷。</w:t>
      </w:r>
    </w:p>
    <w:p w14:paraId="6BB8FB99" w14:textId="77777777" w:rsidR="00500FF9" w:rsidRPr="005E758A" w:rsidRDefault="000424AB" w:rsidP="00490C95">
      <w:pPr>
        <w:pStyle w:val="2"/>
        <w:spacing w:line="0" w:lineRule="atLeast"/>
        <w:rPr>
          <w:szCs w:val="28"/>
        </w:rPr>
      </w:pPr>
      <w:r w:rsidRPr="005E758A">
        <w:rPr>
          <w:szCs w:val="28"/>
        </w:rPr>
        <w:t>案例介紹</w:t>
      </w:r>
    </w:p>
    <w:p w14:paraId="3298FD3E" w14:textId="77777777" w:rsidR="00500FF9" w:rsidRPr="005E758A" w:rsidRDefault="00500FF9" w:rsidP="00490C95">
      <w:pPr>
        <w:pStyle w:val="3"/>
        <w:numPr>
          <w:ilvl w:val="0"/>
          <w:numId w:val="14"/>
        </w:numPr>
        <w:spacing w:line="0" w:lineRule="atLeast"/>
        <w:rPr>
          <w:szCs w:val="28"/>
        </w:rPr>
      </w:pPr>
      <w:r w:rsidRPr="005E758A">
        <w:rPr>
          <w:szCs w:val="28"/>
        </w:rPr>
        <w:t>2004</w:t>
      </w:r>
      <w:r w:rsidRPr="005E758A">
        <w:rPr>
          <w:szCs w:val="28"/>
        </w:rPr>
        <w:t>年聯合國人權事務委員會宗教課程案：</w:t>
      </w:r>
      <w:proofErr w:type="spellStart"/>
      <w:r w:rsidRPr="005E758A">
        <w:rPr>
          <w:szCs w:val="28"/>
        </w:rPr>
        <w:t>Leirvåg</w:t>
      </w:r>
      <w:proofErr w:type="spellEnd"/>
      <w:r w:rsidRPr="005E758A">
        <w:rPr>
          <w:szCs w:val="28"/>
        </w:rPr>
        <w:t xml:space="preserve"> v</w:t>
      </w:r>
      <w:r w:rsidR="002B54D2">
        <w:rPr>
          <w:szCs w:val="28"/>
        </w:rPr>
        <w:t>.</w:t>
      </w:r>
      <w:r w:rsidRPr="005E758A">
        <w:rPr>
          <w:szCs w:val="28"/>
        </w:rPr>
        <w:t xml:space="preserve"> Norway</w:t>
      </w:r>
      <w:r w:rsidRPr="005E758A">
        <w:rPr>
          <w:rStyle w:val="af3"/>
          <w:szCs w:val="28"/>
        </w:rPr>
        <w:endnoteReference w:id="198"/>
      </w:r>
    </w:p>
    <w:p w14:paraId="3237F34A" w14:textId="77777777" w:rsidR="00500FF9" w:rsidRPr="005E758A" w:rsidRDefault="00817C3B" w:rsidP="00490C95">
      <w:pPr>
        <w:snapToGrid w:val="0"/>
        <w:spacing w:before="100" w:beforeAutospacing="1" w:after="100" w:afterAutospacing="1" w:line="0" w:lineRule="atLeast"/>
        <w:ind w:firstLineChars="200" w:firstLine="560"/>
        <w:jc w:val="both"/>
        <w:rPr>
          <w:sz w:val="28"/>
          <w:szCs w:val="28"/>
        </w:rPr>
      </w:pPr>
      <w:r w:rsidRPr="005E758A">
        <w:rPr>
          <w:sz w:val="28"/>
          <w:szCs w:val="28"/>
        </w:rPr>
        <w:t>挪威憲法第</w:t>
      </w:r>
      <w:r w:rsidRPr="005E758A">
        <w:rPr>
          <w:sz w:val="28"/>
          <w:szCs w:val="28"/>
        </w:rPr>
        <w:t>2</w:t>
      </w:r>
      <w:r w:rsidR="00500FF9" w:rsidRPr="005E758A">
        <w:rPr>
          <w:sz w:val="28"/>
          <w:szCs w:val="28"/>
        </w:rPr>
        <w:t>條規定挪威國教為路德教會</w:t>
      </w:r>
      <w:r w:rsidR="00500FF9" w:rsidRPr="005E758A">
        <w:rPr>
          <w:sz w:val="28"/>
          <w:szCs w:val="28"/>
        </w:rPr>
        <w:t>(Evangelical Lutheran Church)</w:t>
      </w:r>
      <w:r w:rsidRPr="005E758A">
        <w:rPr>
          <w:sz w:val="28"/>
          <w:szCs w:val="28"/>
        </w:rPr>
        <w:t>，而信奉國教者有義務遵循國教扶養兒女。</w:t>
      </w:r>
      <w:r w:rsidR="00500FF9" w:rsidRPr="005E758A">
        <w:rPr>
          <w:sz w:val="28"/>
          <w:szCs w:val="28"/>
        </w:rPr>
        <w:t>基督教雖為義務教育的一部分，但在</w:t>
      </w:r>
      <w:r w:rsidR="00500FF9" w:rsidRPr="005E758A">
        <w:rPr>
          <w:sz w:val="28"/>
          <w:szCs w:val="28"/>
        </w:rPr>
        <w:t>1845</w:t>
      </w:r>
      <w:r w:rsidR="00500FF9" w:rsidRPr="005E758A">
        <w:rPr>
          <w:sz w:val="28"/>
          <w:szCs w:val="28"/>
        </w:rPr>
        <w:t>年</w:t>
      </w:r>
      <w:r w:rsidR="00352716" w:rsidRPr="005E758A">
        <w:rPr>
          <w:sz w:val="28"/>
          <w:szCs w:val="28"/>
        </w:rPr>
        <w:t>反對者或不服從者法</w:t>
      </w:r>
      <w:r w:rsidR="00352716" w:rsidRPr="005E758A">
        <w:rPr>
          <w:sz w:val="28"/>
          <w:szCs w:val="28"/>
        </w:rPr>
        <w:t>(</w:t>
      </w:r>
      <w:r w:rsidR="00500FF9" w:rsidRPr="005E758A">
        <w:rPr>
          <w:sz w:val="28"/>
          <w:szCs w:val="28"/>
        </w:rPr>
        <w:t>Dissenter or Non-conformist Act</w:t>
      </w:r>
      <w:r w:rsidR="00352716" w:rsidRPr="005E758A">
        <w:rPr>
          <w:sz w:val="28"/>
          <w:szCs w:val="28"/>
        </w:rPr>
        <w:t>)</w:t>
      </w:r>
      <w:r w:rsidR="00500FF9" w:rsidRPr="005E758A">
        <w:rPr>
          <w:sz w:val="28"/>
          <w:szCs w:val="28"/>
        </w:rPr>
        <w:t>通過後，信仰其他宗教的兒童可免修習基督教課程，並有權改參與「人生哲學知識</w:t>
      </w:r>
      <w:r w:rsidR="00500FF9" w:rsidRPr="005E758A">
        <w:rPr>
          <w:sz w:val="28"/>
          <w:szCs w:val="28"/>
        </w:rPr>
        <w:t>(life stance knowledge)</w:t>
      </w:r>
      <w:r w:rsidR="00500FF9" w:rsidRPr="005E758A">
        <w:rPr>
          <w:sz w:val="28"/>
          <w:szCs w:val="28"/>
        </w:rPr>
        <w:t>」的課程。</w:t>
      </w:r>
      <w:r w:rsidR="00500FF9" w:rsidRPr="005E758A">
        <w:rPr>
          <w:sz w:val="28"/>
          <w:szCs w:val="28"/>
        </w:rPr>
        <w:t>1997</w:t>
      </w:r>
      <w:r w:rsidR="00500FF9" w:rsidRPr="005E758A">
        <w:rPr>
          <w:sz w:val="28"/>
          <w:szCs w:val="28"/>
        </w:rPr>
        <w:t>年挪威政府以「基督教知識及宗教和道德教育</w:t>
      </w:r>
      <w:r w:rsidR="00500FF9" w:rsidRPr="005E758A">
        <w:rPr>
          <w:sz w:val="28"/>
          <w:szCs w:val="28"/>
        </w:rPr>
        <w:t>(Christian Knowledge and Religious and Ethical Education)</w:t>
      </w:r>
      <w:r w:rsidR="0065794C" w:rsidRPr="005E758A">
        <w:rPr>
          <w:sz w:val="28"/>
          <w:szCs w:val="28"/>
        </w:rPr>
        <w:t>」取代原有的宗教課程以及人生哲學知識課程。</w:t>
      </w:r>
      <w:r w:rsidR="00500FF9" w:rsidRPr="005E758A">
        <w:rPr>
          <w:sz w:val="28"/>
          <w:szCs w:val="28"/>
        </w:rPr>
        <w:t>在經過國會一番辯論後，</w:t>
      </w:r>
      <w:r w:rsidR="00500FF9" w:rsidRPr="005E758A">
        <w:rPr>
          <w:sz w:val="28"/>
          <w:szCs w:val="28"/>
        </w:rPr>
        <w:t>1997</w:t>
      </w:r>
      <w:r w:rsidR="00500FF9" w:rsidRPr="005E758A">
        <w:rPr>
          <w:sz w:val="28"/>
          <w:szCs w:val="28"/>
        </w:rPr>
        <w:t>年頒布的新法案納入了有限的例外條款，非基督教學童雖可申請免參與上述課程中的宗教活動，但仍須學習宗教知識。本案申請人包</w:t>
      </w:r>
      <w:r w:rsidR="0065794C" w:rsidRPr="005E758A">
        <w:rPr>
          <w:sz w:val="28"/>
          <w:szCs w:val="28"/>
        </w:rPr>
        <w:t>括幾位無宗教信仰的父母及其子女，申請人希望非基督教徒能全面免修</w:t>
      </w:r>
      <w:r w:rsidR="00500FF9" w:rsidRPr="005E758A">
        <w:rPr>
          <w:sz w:val="28"/>
          <w:szCs w:val="28"/>
        </w:rPr>
        <w:t>上述課程，向校方提出聲請後多</w:t>
      </w:r>
      <w:r w:rsidR="0065794C" w:rsidRPr="005E758A">
        <w:rPr>
          <w:sz w:val="28"/>
          <w:szCs w:val="28"/>
        </w:rPr>
        <w:t>次被拒絕。拒絕理由</w:t>
      </w:r>
      <w:r w:rsidR="00500FF9" w:rsidRPr="005E758A">
        <w:rPr>
          <w:sz w:val="28"/>
          <w:szCs w:val="28"/>
        </w:rPr>
        <w:t>是</w:t>
      </w:r>
      <w:r w:rsidR="00500FF9" w:rsidRPr="005E758A">
        <w:rPr>
          <w:sz w:val="28"/>
          <w:szCs w:val="28"/>
        </w:rPr>
        <w:t>1997</w:t>
      </w:r>
      <w:r w:rsidR="0065794C" w:rsidRPr="005E758A">
        <w:rPr>
          <w:sz w:val="28"/>
          <w:szCs w:val="28"/>
        </w:rPr>
        <w:t>年的法案並未授權全面免修</w:t>
      </w:r>
      <w:r w:rsidR="00500FF9" w:rsidRPr="005E758A">
        <w:rPr>
          <w:sz w:val="28"/>
          <w:szCs w:val="28"/>
        </w:rPr>
        <w:t>的例外。</w:t>
      </w:r>
    </w:p>
    <w:p w14:paraId="277D2777" w14:textId="77777777" w:rsidR="00500FF9" w:rsidRPr="005E758A" w:rsidRDefault="00500FF9" w:rsidP="00490C95">
      <w:pPr>
        <w:snapToGrid w:val="0"/>
        <w:spacing w:before="100" w:beforeAutospacing="1" w:after="100" w:afterAutospacing="1" w:line="0" w:lineRule="atLeast"/>
        <w:ind w:firstLineChars="200" w:firstLine="560"/>
        <w:jc w:val="both"/>
        <w:rPr>
          <w:sz w:val="28"/>
          <w:szCs w:val="28"/>
        </w:rPr>
      </w:pPr>
      <w:r w:rsidRPr="005E758A">
        <w:rPr>
          <w:sz w:val="28"/>
          <w:szCs w:val="28"/>
        </w:rPr>
        <w:t>挪威將「基督教知識及宗教和道德教育」強制納入課程中</w:t>
      </w:r>
      <w:r w:rsidR="0065794C" w:rsidRPr="005E758A">
        <w:rPr>
          <w:sz w:val="28"/>
          <w:szCs w:val="28"/>
        </w:rPr>
        <w:t>，</w:t>
      </w:r>
      <w:r w:rsidRPr="005E758A">
        <w:rPr>
          <w:sz w:val="28"/>
          <w:szCs w:val="28"/>
        </w:rPr>
        <w:t>且僅</w:t>
      </w:r>
      <w:r w:rsidRPr="005E758A">
        <w:rPr>
          <w:sz w:val="28"/>
          <w:szCs w:val="28"/>
        </w:rPr>
        <w:lastRenderedPageBreak/>
        <w:t>允許有限制的例外是否違反了父母及兒童的信仰自由？委員會認為公立學校可以以中立且客觀的角度教授宗教及道德的一般歷史，如果學校提供以某特定宗教信仰為基礎的課程，為符合宗教信</w:t>
      </w:r>
      <w:r w:rsidR="0065794C" w:rsidRPr="005E758A">
        <w:rPr>
          <w:sz w:val="28"/>
          <w:szCs w:val="28"/>
        </w:rPr>
        <w:t>仰自由相關的規定，學校需要開放選擇免</w:t>
      </w:r>
      <w:proofErr w:type="gramStart"/>
      <w:r w:rsidR="0065794C" w:rsidRPr="005E758A">
        <w:rPr>
          <w:sz w:val="28"/>
          <w:szCs w:val="28"/>
        </w:rPr>
        <w:t>修習此類</w:t>
      </w:r>
      <w:proofErr w:type="gramEnd"/>
      <w:r w:rsidR="0065794C" w:rsidRPr="005E758A">
        <w:rPr>
          <w:sz w:val="28"/>
          <w:szCs w:val="28"/>
        </w:rPr>
        <w:t>課程或提供替代課程。</w:t>
      </w:r>
      <w:r w:rsidRPr="005E758A">
        <w:rPr>
          <w:sz w:val="28"/>
          <w:szCs w:val="28"/>
        </w:rPr>
        <w:t>挪威的宗教課程並非以中立且客觀角度教授，且僅允許有限的例外條款，不符合</w:t>
      </w:r>
      <w:r w:rsidR="00CE2B9A" w:rsidRPr="005E758A">
        <w:rPr>
          <w:sz w:val="28"/>
          <w:szCs w:val="28"/>
        </w:rPr>
        <w:t>公民與政治權利國際公約</w:t>
      </w:r>
      <w:r w:rsidRPr="005E758A">
        <w:rPr>
          <w:sz w:val="28"/>
          <w:szCs w:val="28"/>
        </w:rPr>
        <w:t>第</w:t>
      </w:r>
      <w:r w:rsidRPr="005E758A">
        <w:rPr>
          <w:sz w:val="28"/>
          <w:szCs w:val="28"/>
        </w:rPr>
        <w:t>18</w:t>
      </w:r>
      <w:r w:rsidR="0065794C" w:rsidRPr="005E758A">
        <w:rPr>
          <w:sz w:val="28"/>
          <w:szCs w:val="28"/>
        </w:rPr>
        <w:t>條及包括兒童權利公約在內的其他國際公約的規範</w:t>
      </w:r>
      <w:r w:rsidRPr="005E758A">
        <w:rPr>
          <w:sz w:val="28"/>
          <w:szCs w:val="28"/>
        </w:rPr>
        <w:t>。</w:t>
      </w:r>
    </w:p>
    <w:p w14:paraId="075FC1F2" w14:textId="77777777" w:rsidR="000424AB" w:rsidRPr="005E758A" w:rsidRDefault="00500FF9" w:rsidP="00490C95">
      <w:pPr>
        <w:pStyle w:val="3"/>
        <w:numPr>
          <w:ilvl w:val="0"/>
          <w:numId w:val="14"/>
        </w:numPr>
        <w:spacing w:line="0" w:lineRule="atLeast"/>
        <w:rPr>
          <w:szCs w:val="28"/>
        </w:rPr>
      </w:pPr>
      <w:r w:rsidRPr="005E758A">
        <w:rPr>
          <w:szCs w:val="28"/>
        </w:rPr>
        <w:t>2006</w:t>
      </w:r>
      <w:r w:rsidRPr="005E758A">
        <w:rPr>
          <w:szCs w:val="28"/>
        </w:rPr>
        <w:t>年</w:t>
      </w:r>
      <w:r w:rsidR="000424AB" w:rsidRPr="005E758A">
        <w:rPr>
          <w:szCs w:val="28"/>
        </w:rPr>
        <w:t>加拿大最高法院錫克教</w:t>
      </w:r>
      <w:proofErr w:type="gramStart"/>
      <w:r w:rsidR="000424AB" w:rsidRPr="005E758A">
        <w:rPr>
          <w:szCs w:val="28"/>
        </w:rPr>
        <w:t>聖刀案</w:t>
      </w:r>
      <w:proofErr w:type="gramEnd"/>
      <w:r w:rsidR="000424AB" w:rsidRPr="005E758A">
        <w:rPr>
          <w:szCs w:val="28"/>
        </w:rPr>
        <w:t>：</w:t>
      </w:r>
      <w:r w:rsidR="000424AB" w:rsidRPr="005E758A">
        <w:rPr>
          <w:szCs w:val="28"/>
        </w:rPr>
        <w:t xml:space="preserve">Multani v. Commission </w:t>
      </w:r>
      <w:proofErr w:type="spellStart"/>
      <w:r w:rsidR="000424AB" w:rsidRPr="005E758A">
        <w:rPr>
          <w:szCs w:val="28"/>
        </w:rPr>
        <w:t>scolaire</w:t>
      </w:r>
      <w:proofErr w:type="spellEnd"/>
      <w:r w:rsidR="000424AB" w:rsidRPr="005E758A">
        <w:rPr>
          <w:szCs w:val="28"/>
        </w:rPr>
        <w:t xml:space="preserve"> Marguerite</w:t>
      </w:r>
      <w:r w:rsidR="000424AB" w:rsidRPr="005E758A">
        <w:rPr>
          <w:rFonts w:ascii="MS Mincho" w:eastAsia="MS Mincho" w:hAnsi="MS Mincho" w:cs="MS Mincho" w:hint="eastAsia"/>
          <w:szCs w:val="28"/>
        </w:rPr>
        <w:t>‑</w:t>
      </w:r>
      <w:r w:rsidR="000424AB" w:rsidRPr="005E758A">
        <w:rPr>
          <w:szCs w:val="28"/>
        </w:rPr>
        <w:t xml:space="preserve"> </w:t>
      </w:r>
      <w:proofErr w:type="spellStart"/>
      <w:r w:rsidR="000424AB" w:rsidRPr="005E758A">
        <w:rPr>
          <w:szCs w:val="28"/>
        </w:rPr>
        <w:t>Bourgeoys</w:t>
      </w:r>
      <w:proofErr w:type="spellEnd"/>
      <w:r w:rsidR="000424AB" w:rsidRPr="005E758A">
        <w:rPr>
          <w:rStyle w:val="af3"/>
          <w:szCs w:val="28"/>
        </w:rPr>
        <w:endnoteReference w:id="199"/>
      </w:r>
    </w:p>
    <w:p w14:paraId="7FA01FDA" w14:textId="77777777" w:rsidR="000424AB" w:rsidRPr="005E758A" w:rsidRDefault="000424AB" w:rsidP="00490C95">
      <w:pPr>
        <w:snapToGrid w:val="0"/>
        <w:spacing w:before="100" w:beforeAutospacing="1" w:after="100" w:afterAutospacing="1" w:line="0" w:lineRule="atLeast"/>
        <w:ind w:firstLineChars="200" w:firstLine="560"/>
        <w:jc w:val="both"/>
        <w:rPr>
          <w:sz w:val="28"/>
          <w:szCs w:val="28"/>
        </w:rPr>
      </w:pPr>
      <w:r w:rsidRPr="005E758A">
        <w:rPr>
          <w:sz w:val="28"/>
          <w:szCs w:val="28"/>
        </w:rPr>
        <w:t>一位</w:t>
      </w:r>
      <w:proofErr w:type="gramStart"/>
      <w:r w:rsidRPr="005E758A">
        <w:rPr>
          <w:sz w:val="28"/>
          <w:szCs w:val="28"/>
        </w:rPr>
        <w:t>信仰錫</w:t>
      </w:r>
      <w:proofErr w:type="gramEnd"/>
      <w:r w:rsidRPr="005E758A">
        <w:rPr>
          <w:sz w:val="28"/>
          <w:szCs w:val="28"/>
        </w:rPr>
        <w:t>克教的兒童攜帶金屬製的喀爾潘聖刀</w:t>
      </w:r>
      <w:r w:rsidRPr="005E758A">
        <w:rPr>
          <w:sz w:val="28"/>
          <w:szCs w:val="28"/>
        </w:rPr>
        <w:t>(kirpan)</w:t>
      </w:r>
      <w:r w:rsidRPr="005E758A">
        <w:rPr>
          <w:sz w:val="28"/>
          <w:szCs w:val="28"/>
        </w:rPr>
        <w:t>到學校，校方發現後初步雖未禁止學童配</w:t>
      </w:r>
      <w:proofErr w:type="gramStart"/>
      <w:r w:rsidRPr="005E758A">
        <w:rPr>
          <w:sz w:val="28"/>
          <w:szCs w:val="28"/>
        </w:rPr>
        <w:t>戴聖刀</w:t>
      </w:r>
      <w:proofErr w:type="gramEnd"/>
      <w:r w:rsidRPr="005E758A">
        <w:rPr>
          <w:sz w:val="28"/>
          <w:szCs w:val="28"/>
        </w:rPr>
        <w:t>，但規定配戴時須以衣物</w:t>
      </w:r>
      <w:proofErr w:type="gramStart"/>
      <w:r w:rsidRPr="005E758A">
        <w:rPr>
          <w:sz w:val="28"/>
          <w:szCs w:val="28"/>
        </w:rPr>
        <w:t>覆蓋聖刀</w:t>
      </w:r>
      <w:proofErr w:type="gramEnd"/>
      <w:r w:rsidRPr="005E758A">
        <w:rPr>
          <w:sz w:val="28"/>
          <w:szCs w:val="28"/>
        </w:rPr>
        <w:t>，</w:t>
      </w:r>
      <w:r w:rsidR="0065794C" w:rsidRPr="005E758A">
        <w:rPr>
          <w:sz w:val="28"/>
          <w:szCs w:val="28"/>
        </w:rPr>
        <w:t>且不得顯露。該</w:t>
      </w:r>
      <w:r w:rsidRPr="005E758A">
        <w:rPr>
          <w:sz w:val="28"/>
          <w:szCs w:val="28"/>
        </w:rPr>
        <w:t>名兒童及其父母均同意配合此項規定，然學校董事會認為配</w:t>
      </w:r>
      <w:proofErr w:type="gramStart"/>
      <w:r w:rsidRPr="005E758A">
        <w:rPr>
          <w:sz w:val="28"/>
          <w:szCs w:val="28"/>
        </w:rPr>
        <w:t>戴聖刀</w:t>
      </w:r>
      <w:proofErr w:type="gramEnd"/>
      <w:r w:rsidRPr="005E758A">
        <w:rPr>
          <w:sz w:val="28"/>
          <w:szCs w:val="28"/>
        </w:rPr>
        <w:t>的行為違反了學校禁止攜帶武器的規範，因此下令禁止配</w:t>
      </w:r>
      <w:proofErr w:type="gramStart"/>
      <w:r w:rsidR="0065794C" w:rsidRPr="005E758A">
        <w:rPr>
          <w:sz w:val="28"/>
          <w:szCs w:val="28"/>
        </w:rPr>
        <w:t>戴聖刀</w:t>
      </w:r>
      <w:proofErr w:type="gramEnd"/>
      <w:r w:rsidR="0065794C" w:rsidRPr="005E758A">
        <w:rPr>
          <w:sz w:val="28"/>
          <w:szCs w:val="28"/>
        </w:rPr>
        <w:t>。</w:t>
      </w:r>
      <w:r w:rsidRPr="005E758A">
        <w:rPr>
          <w:sz w:val="28"/>
          <w:szCs w:val="28"/>
        </w:rPr>
        <w:t>此項禁令亦經管理學校的</w:t>
      </w:r>
      <w:r w:rsidR="0065794C" w:rsidRPr="005E758A">
        <w:rPr>
          <w:sz w:val="28"/>
          <w:szCs w:val="28"/>
        </w:rPr>
        <w:t>委員會同意，並要求該名兒童改</w:t>
      </w:r>
      <w:proofErr w:type="gramStart"/>
      <w:r w:rsidR="0065794C" w:rsidRPr="005E758A">
        <w:rPr>
          <w:sz w:val="28"/>
          <w:szCs w:val="28"/>
        </w:rPr>
        <w:t>配戴具象徵</w:t>
      </w:r>
      <w:proofErr w:type="gramEnd"/>
      <w:r w:rsidR="0065794C" w:rsidRPr="005E758A">
        <w:rPr>
          <w:sz w:val="28"/>
          <w:szCs w:val="28"/>
        </w:rPr>
        <w:t>意義的非金屬掛飾</w:t>
      </w:r>
      <w:proofErr w:type="gramStart"/>
      <w:r w:rsidR="0065794C" w:rsidRPr="005E758A">
        <w:rPr>
          <w:sz w:val="28"/>
          <w:szCs w:val="28"/>
        </w:rPr>
        <w:t>代替聖刀</w:t>
      </w:r>
      <w:proofErr w:type="gramEnd"/>
      <w:r w:rsidR="0065794C" w:rsidRPr="005E758A">
        <w:rPr>
          <w:sz w:val="28"/>
          <w:szCs w:val="28"/>
        </w:rPr>
        <w:t>。該名兒童的父親提告要求法院宣告該項禁令無效。</w:t>
      </w:r>
      <w:r w:rsidRPr="005E758A">
        <w:rPr>
          <w:sz w:val="28"/>
          <w:szCs w:val="28"/>
        </w:rPr>
        <w:t>第一審法院裁定該項禁令無效，認為該名兒童在配合幾項限制</w:t>
      </w:r>
      <w:proofErr w:type="gramStart"/>
      <w:r w:rsidRPr="005E758A">
        <w:rPr>
          <w:sz w:val="28"/>
          <w:szCs w:val="28"/>
        </w:rPr>
        <w:t>（</w:t>
      </w:r>
      <w:proofErr w:type="gramEnd"/>
      <w:r w:rsidRPr="005E758A">
        <w:rPr>
          <w:sz w:val="28"/>
          <w:szCs w:val="28"/>
        </w:rPr>
        <w:t>例如：</w:t>
      </w:r>
      <w:proofErr w:type="gramStart"/>
      <w:r w:rsidRPr="005E758A">
        <w:rPr>
          <w:sz w:val="28"/>
          <w:szCs w:val="28"/>
        </w:rPr>
        <w:t>聖刀需要</w:t>
      </w:r>
      <w:proofErr w:type="gramEnd"/>
      <w:r w:rsidRPr="005E758A">
        <w:rPr>
          <w:sz w:val="28"/>
          <w:szCs w:val="28"/>
        </w:rPr>
        <w:t>收藏</w:t>
      </w:r>
      <w:r w:rsidR="0065794C" w:rsidRPr="005E758A">
        <w:rPr>
          <w:sz w:val="28"/>
          <w:szCs w:val="28"/>
        </w:rPr>
        <w:t>於刀鞘中、須</w:t>
      </w:r>
      <w:proofErr w:type="gramStart"/>
      <w:r w:rsidR="0065794C" w:rsidRPr="005E758A">
        <w:rPr>
          <w:sz w:val="28"/>
          <w:szCs w:val="28"/>
        </w:rPr>
        <w:t>以著</w:t>
      </w:r>
      <w:proofErr w:type="gramEnd"/>
      <w:r w:rsidR="0065794C" w:rsidRPr="005E758A">
        <w:rPr>
          <w:sz w:val="28"/>
          <w:szCs w:val="28"/>
        </w:rPr>
        <w:t>於衣物下的肩帶固定等</w:t>
      </w:r>
      <w:proofErr w:type="gramStart"/>
      <w:r w:rsidR="0065794C" w:rsidRPr="005E758A">
        <w:rPr>
          <w:sz w:val="28"/>
          <w:szCs w:val="28"/>
        </w:rPr>
        <w:t>）</w:t>
      </w:r>
      <w:proofErr w:type="gramEnd"/>
      <w:r w:rsidR="0065794C" w:rsidRPr="005E758A">
        <w:rPr>
          <w:sz w:val="28"/>
          <w:szCs w:val="28"/>
        </w:rPr>
        <w:t>的前提下可以配</w:t>
      </w:r>
      <w:proofErr w:type="gramStart"/>
      <w:r w:rsidR="0065794C" w:rsidRPr="005E758A">
        <w:rPr>
          <w:sz w:val="28"/>
          <w:szCs w:val="28"/>
        </w:rPr>
        <w:t>戴聖刀</w:t>
      </w:r>
      <w:proofErr w:type="gramEnd"/>
      <w:r w:rsidR="0065794C" w:rsidRPr="005E758A">
        <w:rPr>
          <w:sz w:val="28"/>
          <w:szCs w:val="28"/>
        </w:rPr>
        <w:t>上學。</w:t>
      </w:r>
      <w:r w:rsidRPr="005E758A">
        <w:rPr>
          <w:sz w:val="28"/>
          <w:szCs w:val="28"/>
        </w:rPr>
        <w:t>但上訴法院則認為該項限制雖違反兒童的宗教信仰自由，但仍屬合理，因此仍屬合法且有效。</w:t>
      </w:r>
    </w:p>
    <w:p w14:paraId="3CF2DE37" w14:textId="77777777" w:rsidR="000424AB" w:rsidRPr="005E758A" w:rsidRDefault="0065794C" w:rsidP="00490C95">
      <w:pPr>
        <w:snapToGrid w:val="0"/>
        <w:spacing w:before="100" w:beforeAutospacing="1" w:after="100" w:afterAutospacing="1" w:line="0" w:lineRule="atLeast"/>
        <w:ind w:firstLineChars="200" w:firstLine="560"/>
        <w:jc w:val="both"/>
        <w:rPr>
          <w:sz w:val="28"/>
          <w:szCs w:val="28"/>
        </w:rPr>
      </w:pPr>
      <w:r w:rsidRPr="005E758A">
        <w:rPr>
          <w:sz w:val="28"/>
          <w:szCs w:val="28"/>
        </w:rPr>
        <w:t>最高</w:t>
      </w:r>
      <w:r w:rsidR="000424AB" w:rsidRPr="005E758A">
        <w:rPr>
          <w:sz w:val="28"/>
          <w:szCs w:val="28"/>
        </w:rPr>
        <w:t>法院認為，由於該名兒童真心地認為攜帶塑膠或木製</w:t>
      </w:r>
      <w:proofErr w:type="gramStart"/>
      <w:r w:rsidR="000424AB" w:rsidRPr="005E758A">
        <w:rPr>
          <w:sz w:val="28"/>
          <w:szCs w:val="28"/>
        </w:rPr>
        <w:t>的聖刀替代品</w:t>
      </w:r>
      <w:proofErr w:type="gramEnd"/>
      <w:r w:rsidR="000424AB" w:rsidRPr="005E758A">
        <w:rPr>
          <w:sz w:val="28"/>
          <w:szCs w:val="28"/>
        </w:rPr>
        <w:t>不符合其宗教信仰的要求，這項禁止配</w:t>
      </w:r>
      <w:proofErr w:type="gramStart"/>
      <w:r w:rsidR="000424AB" w:rsidRPr="005E758A">
        <w:rPr>
          <w:sz w:val="28"/>
          <w:szCs w:val="28"/>
        </w:rPr>
        <w:t>戴聖刀</w:t>
      </w:r>
      <w:proofErr w:type="gramEnd"/>
      <w:r w:rsidR="000424AB" w:rsidRPr="005E758A">
        <w:rPr>
          <w:sz w:val="28"/>
          <w:szCs w:val="28"/>
        </w:rPr>
        <w:t>的命令對其信仰自由而言，乃屬重大的干預。雖然有</w:t>
      </w:r>
      <w:proofErr w:type="gramStart"/>
      <w:r w:rsidR="000424AB" w:rsidRPr="005E758A">
        <w:rPr>
          <w:sz w:val="28"/>
          <w:szCs w:val="28"/>
        </w:rPr>
        <w:t>其他錫</w:t>
      </w:r>
      <w:proofErr w:type="gramEnd"/>
      <w:r w:rsidR="000424AB" w:rsidRPr="005E758A">
        <w:rPr>
          <w:sz w:val="28"/>
          <w:szCs w:val="28"/>
        </w:rPr>
        <w:t>克教信徒認為攜帶非金屬</w:t>
      </w:r>
      <w:proofErr w:type="gramStart"/>
      <w:r w:rsidR="000424AB" w:rsidRPr="005E758A">
        <w:rPr>
          <w:sz w:val="28"/>
          <w:szCs w:val="28"/>
        </w:rPr>
        <w:t>製聖刀</w:t>
      </w:r>
      <w:proofErr w:type="gramEnd"/>
      <w:r w:rsidR="000424AB" w:rsidRPr="005E758A">
        <w:rPr>
          <w:sz w:val="28"/>
          <w:szCs w:val="28"/>
        </w:rPr>
        <w:t>並不違背其信仰，但信仰自由保護範圍的判斷應該就案件涉及之個人的角度判斷。</w:t>
      </w:r>
    </w:p>
    <w:p w14:paraId="4C43ACBC" w14:textId="77777777" w:rsidR="000424AB" w:rsidRPr="005E758A" w:rsidRDefault="000424AB" w:rsidP="00490C95">
      <w:pPr>
        <w:snapToGrid w:val="0"/>
        <w:spacing w:before="100" w:beforeAutospacing="1" w:after="100" w:afterAutospacing="1" w:line="0" w:lineRule="atLeast"/>
        <w:ind w:firstLineChars="200" w:firstLine="560"/>
        <w:jc w:val="both"/>
        <w:rPr>
          <w:sz w:val="28"/>
          <w:szCs w:val="28"/>
        </w:rPr>
      </w:pPr>
      <w:r w:rsidRPr="005E758A">
        <w:rPr>
          <w:sz w:val="28"/>
          <w:szCs w:val="28"/>
        </w:rPr>
        <w:t>雖然信仰自由並非絕對的權利，而學校董事會及委員會做出此項管制乃是為了維持校內安全秩序，但對信仰自由的限制應該要通過最小侵害性的檢驗</w:t>
      </w:r>
      <w:r w:rsidRPr="005E758A">
        <w:rPr>
          <w:sz w:val="28"/>
          <w:szCs w:val="28"/>
        </w:rPr>
        <w:t>(minimal impairment test)</w:t>
      </w:r>
      <w:r w:rsidR="0065794C" w:rsidRPr="005E758A">
        <w:rPr>
          <w:sz w:val="28"/>
          <w:szCs w:val="28"/>
        </w:rPr>
        <w:t>。</w:t>
      </w:r>
      <w:r w:rsidRPr="005E758A">
        <w:rPr>
          <w:sz w:val="28"/>
          <w:szCs w:val="28"/>
        </w:rPr>
        <w:t>本案中，如果該名兒童遵守上開一審法院所立的限制，</w:t>
      </w:r>
      <w:proofErr w:type="gramStart"/>
      <w:r w:rsidRPr="005E758A">
        <w:rPr>
          <w:sz w:val="28"/>
          <w:szCs w:val="28"/>
        </w:rPr>
        <w:t>聖刀會</w:t>
      </w:r>
      <w:proofErr w:type="gramEnd"/>
      <w:r w:rsidRPr="005E758A">
        <w:rPr>
          <w:sz w:val="28"/>
          <w:szCs w:val="28"/>
        </w:rPr>
        <w:t>脫落或被其他學童誤取使用的機率極低</w:t>
      </w:r>
      <w:r w:rsidR="0065794C" w:rsidRPr="005E758A">
        <w:rPr>
          <w:sz w:val="28"/>
          <w:szCs w:val="28"/>
        </w:rPr>
        <w:t>，而該名兒童也從未拒絕遵守此類限制，因此採取完全的禁令並不合理。</w:t>
      </w:r>
      <w:r w:rsidRPr="005E758A">
        <w:rPr>
          <w:sz w:val="28"/>
          <w:szCs w:val="28"/>
        </w:rPr>
        <w:t>雖然</w:t>
      </w:r>
      <w:r w:rsidR="0065794C" w:rsidRPr="005E758A">
        <w:rPr>
          <w:sz w:val="28"/>
          <w:szCs w:val="28"/>
        </w:rPr>
        <w:t>最高</w:t>
      </w:r>
      <w:r w:rsidRPr="005E758A">
        <w:rPr>
          <w:sz w:val="28"/>
          <w:szCs w:val="28"/>
        </w:rPr>
        <w:t>法院認為學校董事會以及委員會的禁令有合法的目的，但其採取的手段並不符合最小侵害</w:t>
      </w:r>
      <w:r w:rsidR="00F27F31" w:rsidRPr="005E758A">
        <w:rPr>
          <w:sz w:val="28"/>
          <w:szCs w:val="28"/>
        </w:rPr>
        <w:t>性</w:t>
      </w:r>
      <w:r w:rsidRPr="005E758A">
        <w:rPr>
          <w:sz w:val="28"/>
          <w:szCs w:val="28"/>
        </w:rPr>
        <w:t>的檢驗，對該名兒童的信仰自由造成不合比例的干預，因此法院判決上訴有理由，並宣告該項完全禁止</w:t>
      </w:r>
      <w:proofErr w:type="gramStart"/>
      <w:r w:rsidRPr="005E758A">
        <w:rPr>
          <w:sz w:val="28"/>
          <w:szCs w:val="28"/>
        </w:rPr>
        <w:t>攜帶聖刀上學</w:t>
      </w:r>
      <w:proofErr w:type="gramEnd"/>
      <w:r w:rsidRPr="005E758A">
        <w:rPr>
          <w:sz w:val="28"/>
          <w:szCs w:val="28"/>
        </w:rPr>
        <w:t>的規定無效。</w:t>
      </w:r>
    </w:p>
    <w:p w14:paraId="5B469072" w14:textId="77777777" w:rsidR="000424AB" w:rsidRPr="005E758A" w:rsidRDefault="0065794C" w:rsidP="00490C95">
      <w:pPr>
        <w:snapToGrid w:val="0"/>
        <w:spacing w:before="100" w:beforeAutospacing="1" w:after="100" w:afterAutospacing="1" w:line="0" w:lineRule="atLeast"/>
        <w:ind w:firstLineChars="200" w:firstLine="560"/>
        <w:jc w:val="both"/>
        <w:rPr>
          <w:sz w:val="28"/>
          <w:szCs w:val="28"/>
        </w:rPr>
      </w:pPr>
      <w:r w:rsidRPr="005E758A">
        <w:rPr>
          <w:sz w:val="28"/>
          <w:szCs w:val="28"/>
        </w:rPr>
        <w:lastRenderedPageBreak/>
        <w:t>加拿大最高法院就此案的判決引發了熱烈的討論。</w:t>
      </w:r>
      <w:r w:rsidR="000424AB" w:rsidRPr="005E758A">
        <w:rPr>
          <w:sz w:val="28"/>
          <w:szCs w:val="28"/>
        </w:rPr>
        <w:t>社會對是否應禁止學童配</w:t>
      </w:r>
      <w:proofErr w:type="gramStart"/>
      <w:r w:rsidR="000424AB" w:rsidRPr="005E758A">
        <w:rPr>
          <w:sz w:val="28"/>
          <w:szCs w:val="28"/>
        </w:rPr>
        <w:t>戴喀爾潘聖刀</w:t>
      </w:r>
      <w:r w:rsidRPr="005E758A">
        <w:rPr>
          <w:sz w:val="28"/>
          <w:szCs w:val="28"/>
        </w:rPr>
        <w:t>意見分歧</w:t>
      </w:r>
      <w:proofErr w:type="gramEnd"/>
      <w:r w:rsidRPr="005E758A">
        <w:rPr>
          <w:sz w:val="28"/>
          <w:szCs w:val="28"/>
        </w:rPr>
        <w:t>。</w:t>
      </w:r>
      <w:r w:rsidR="000424AB" w:rsidRPr="005E758A">
        <w:rPr>
          <w:sz w:val="28"/>
          <w:szCs w:val="28"/>
        </w:rPr>
        <w:t>2011</w:t>
      </w:r>
      <w:r w:rsidR="000424AB" w:rsidRPr="005E758A">
        <w:rPr>
          <w:sz w:val="28"/>
          <w:szCs w:val="28"/>
        </w:rPr>
        <w:t>年，魁北克國會通過禁止在國會內配</w:t>
      </w:r>
      <w:proofErr w:type="gramStart"/>
      <w:r w:rsidR="000424AB" w:rsidRPr="005E758A">
        <w:rPr>
          <w:sz w:val="28"/>
          <w:szCs w:val="28"/>
        </w:rPr>
        <w:t>戴喀爾潘聖刀</w:t>
      </w:r>
      <w:proofErr w:type="gramEnd"/>
      <w:r w:rsidR="000424AB" w:rsidRPr="005E758A">
        <w:rPr>
          <w:sz w:val="28"/>
          <w:szCs w:val="28"/>
        </w:rPr>
        <w:t>，同樣</w:t>
      </w:r>
      <w:proofErr w:type="gramStart"/>
      <w:r w:rsidR="000424AB" w:rsidRPr="005E758A">
        <w:rPr>
          <w:sz w:val="28"/>
          <w:szCs w:val="28"/>
        </w:rPr>
        <w:t>引發了錫克</w:t>
      </w:r>
      <w:proofErr w:type="gramEnd"/>
      <w:r w:rsidR="000424AB" w:rsidRPr="005E758A">
        <w:rPr>
          <w:sz w:val="28"/>
          <w:szCs w:val="28"/>
        </w:rPr>
        <w:t>教信徒的不滿以及許多爭議。</w:t>
      </w:r>
    </w:p>
    <w:p w14:paraId="3D2051B0" w14:textId="77777777" w:rsidR="008D0C6C" w:rsidRPr="005E758A" w:rsidRDefault="008D0C6C" w:rsidP="00490C95">
      <w:pPr>
        <w:pStyle w:val="2"/>
        <w:spacing w:line="0" w:lineRule="atLeast"/>
        <w:rPr>
          <w:szCs w:val="28"/>
        </w:rPr>
      </w:pPr>
      <w:r w:rsidRPr="005E758A">
        <w:rPr>
          <w:szCs w:val="28"/>
        </w:rPr>
        <w:t>綜合分析</w:t>
      </w:r>
    </w:p>
    <w:p w14:paraId="1BEA9279" w14:textId="77777777" w:rsidR="008D0C6C" w:rsidRPr="005E758A" w:rsidRDefault="008D0C6C" w:rsidP="00490C95">
      <w:pPr>
        <w:snapToGrid w:val="0"/>
        <w:spacing w:before="100" w:beforeAutospacing="1" w:after="100" w:afterAutospacing="1" w:line="0" w:lineRule="atLeast"/>
        <w:ind w:firstLineChars="200" w:firstLine="560"/>
        <w:jc w:val="both"/>
        <w:rPr>
          <w:sz w:val="28"/>
          <w:szCs w:val="28"/>
        </w:rPr>
      </w:pPr>
      <w:r w:rsidRPr="005E758A">
        <w:rPr>
          <w:sz w:val="28"/>
          <w:szCs w:val="28"/>
        </w:rPr>
        <w:t>許多締約國在批准或加入公約時表態對第</w:t>
      </w:r>
      <w:r w:rsidRPr="005E758A">
        <w:rPr>
          <w:sz w:val="28"/>
          <w:szCs w:val="28"/>
        </w:rPr>
        <w:t>14</w:t>
      </w:r>
      <w:r w:rsidRPr="005E758A">
        <w:rPr>
          <w:sz w:val="28"/>
          <w:szCs w:val="28"/>
        </w:rPr>
        <w:t>條作出保留，或提出解釋性聲明</w:t>
      </w:r>
      <w:r w:rsidRPr="005E758A">
        <w:rPr>
          <w:sz w:val="28"/>
          <w:szCs w:val="28"/>
        </w:rPr>
        <w:t>(interpretative declarations)</w:t>
      </w:r>
      <w:r w:rsidRPr="005E758A">
        <w:rPr>
          <w:sz w:val="28"/>
          <w:szCs w:val="28"/>
        </w:rPr>
        <w:t>，顯示從公約起草階段開始到現在施行多年，本條所規範的權利以及將兒童確立為思想信仰自由的主體的立場多有爭議，而兒童權利委員會對此條的詮釋有時並不明確或不一致</w:t>
      </w:r>
      <w:bookmarkStart w:id="50" w:name="_Ref427061241"/>
      <w:r w:rsidRPr="005E758A">
        <w:rPr>
          <w:rStyle w:val="af3"/>
          <w:sz w:val="28"/>
          <w:szCs w:val="28"/>
        </w:rPr>
        <w:endnoteReference w:id="200"/>
      </w:r>
      <w:bookmarkEnd w:id="50"/>
      <w:r w:rsidRPr="005E758A">
        <w:rPr>
          <w:sz w:val="28"/>
          <w:szCs w:val="28"/>
        </w:rPr>
        <w:t>，但以</w:t>
      </w:r>
      <w:r w:rsidR="0065794C" w:rsidRPr="005E758A">
        <w:rPr>
          <w:sz w:val="28"/>
          <w:szCs w:val="28"/>
        </w:rPr>
        <w:t>上的現象不改變締約國（尤其是未提出保留或解釋性聲明的締約國）在本條下的義務。</w:t>
      </w:r>
      <w:r w:rsidRPr="005E758A">
        <w:rPr>
          <w:sz w:val="28"/>
          <w:szCs w:val="28"/>
        </w:rPr>
        <w:t>如前述，在落實兒童的信仰自由時可能會遇到許</w:t>
      </w:r>
      <w:r w:rsidR="0065794C" w:rsidRPr="005E758A">
        <w:rPr>
          <w:sz w:val="28"/>
          <w:szCs w:val="28"/>
        </w:rPr>
        <w:t>多衝突的考量，例如：締約國指定的國教或父母或監護人的指導權利等。為確實執行本項條文</w:t>
      </w:r>
      <w:r w:rsidRPr="005E758A">
        <w:rPr>
          <w:sz w:val="28"/>
          <w:szCs w:val="28"/>
        </w:rPr>
        <w:t>，締約國必須同時考量公約的整體</w:t>
      </w:r>
      <w:r w:rsidR="0065794C" w:rsidRPr="005E758A">
        <w:rPr>
          <w:sz w:val="28"/>
          <w:szCs w:val="28"/>
        </w:rPr>
        <w:t>，</w:t>
      </w:r>
      <w:r w:rsidRPr="005E758A">
        <w:rPr>
          <w:sz w:val="28"/>
          <w:szCs w:val="28"/>
        </w:rPr>
        <w:t>包括基本原則以及各相關條文，以保障兒童各方面的權利。</w:t>
      </w:r>
    </w:p>
    <w:p w14:paraId="1101F504" w14:textId="77777777" w:rsidR="00B2769C" w:rsidRPr="005E758A" w:rsidRDefault="00B2769C" w:rsidP="00B2769C">
      <w:pPr>
        <w:pStyle w:val="2"/>
      </w:pPr>
      <w:r w:rsidRPr="005E758A">
        <w:t>參考資料</w:t>
      </w:r>
    </w:p>
    <w:p w14:paraId="132151C1" w14:textId="77777777" w:rsidR="00B2769C" w:rsidRPr="005E758A" w:rsidRDefault="00B2769C" w:rsidP="00D2135A">
      <w:pPr>
        <w:pStyle w:val="a0"/>
        <w:numPr>
          <w:ilvl w:val="0"/>
          <w:numId w:val="75"/>
        </w:numPr>
        <w:snapToGrid w:val="0"/>
        <w:spacing w:before="100" w:beforeAutospacing="1" w:after="100" w:afterAutospacing="1"/>
        <w:ind w:leftChars="0"/>
        <w:jc w:val="both"/>
        <w:rPr>
          <w:rFonts w:ascii="Times New Roman" w:eastAsia="標楷體" w:hAnsi="Times New Roman"/>
          <w:sz w:val="32"/>
          <w:szCs w:val="28"/>
        </w:rPr>
      </w:pPr>
      <w:r w:rsidRPr="005E758A">
        <w:rPr>
          <w:rFonts w:ascii="Times New Roman" w:eastAsia="標楷體" w:hAnsi="Times New Roman"/>
          <w:smallCaps/>
          <w:sz w:val="28"/>
          <w:szCs w:val="24"/>
        </w:rPr>
        <w:t xml:space="preserve">Eva </w:t>
      </w:r>
      <w:proofErr w:type="spellStart"/>
      <w:r w:rsidRPr="005E758A">
        <w:rPr>
          <w:rFonts w:ascii="Times New Roman" w:eastAsia="標楷體" w:hAnsi="Times New Roman"/>
          <w:smallCaps/>
          <w:sz w:val="28"/>
          <w:szCs w:val="24"/>
        </w:rPr>
        <w:t>Brens</w:t>
      </w:r>
      <w:proofErr w:type="spellEnd"/>
      <w:r w:rsidRPr="005E758A">
        <w:rPr>
          <w:rFonts w:ascii="Times New Roman" w:eastAsia="標楷體" w:hAnsi="Times New Roman"/>
          <w:smallCaps/>
          <w:sz w:val="28"/>
          <w:szCs w:val="24"/>
        </w:rPr>
        <w:t>, A Commentary on the United Nations Convention on the Rights of the Child: Article 14. The Right to Freedom of Thought, Conscience and Religion</w:t>
      </w:r>
      <w:r w:rsidRPr="005E758A">
        <w:rPr>
          <w:rFonts w:ascii="Times New Roman" w:eastAsia="標楷體" w:hAnsi="Times New Roman"/>
          <w:sz w:val="28"/>
          <w:szCs w:val="24"/>
        </w:rPr>
        <w:t xml:space="preserve"> (André Alen et al. eds., 2006)</w:t>
      </w:r>
      <w:r w:rsidRPr="005E758A">
        <w:rPr>
          <w:rFonts w:ascii="Times New Roman" w:eastAsia="標楷體" w:hAnsi="Times New Roman"/>
          <w:smallCaps/>
          <w:sz w:val="28"/>
          <w:szCs w:val="24"/>
        </w:rPr>
        <w:t>.</w:t>
      </w:r>
    </w:p>
    <w:p w14:paraId="004A0E8B" w14:textId="77777777" w:rsidR="00B2769C" w:rsidRPr="005E758A" w:rsidRDefault="00B2769C" w:rsidP="00D2135A">
      <w:pPr>
        <w:pStyle w:val="a0"/>
        <w:numPr>
          <w:ilvl w:val="0"/>
          <w:numId w:val="75"/>
        </w:numPr>
        <w:snapToGrid w:val="0"/>
        <w:spacing w:before="100" w:beforeAutospacing="1" w:after="100" w:afterAutospacing="1"/>
        <w:ind w:leftChars="0"/>
        <w:jc w:val="both"/>
        <w:rPr>
          <w:rFonts w:ascii="Times New Roman" w:eastAsia="標楷體" w:hAnsi="Times New Roman"/>
          <w:sz w:val="28"/>
          <w:szCs w:val="28"/>
        </w:rPr>
      </w:pPr>
      <w:r w:rsidRPr="005E758A">
        <w:rPr>
          <w:rFonts w:ascii="Times New Roman" w:eastAsia="標楷體" w:hAnsi="Times New Roman"/>
          <w:smallCaps/>
          <w:sz w:val="28"/>
          <w:szCs w:val="28"/>
        </w:rPr>
        <w:t xml:space="preserve">Sylvie </w:t>
      </w:r>
      <w:proofErr w:type="spellStart"/>
      <w:r w:rsidRPr="005E758A">
        <w:rPr>
          <w:rFonts w:ascii="Times New Roman" w:eastAsia="標楷體" w:hAnsi="Times New Roman"/>
          <w:smallCaps/>
          <w:sz w:val="28"/>
          <w:szCs w:val="28"/>
        </w:rPr>
        <w:t>Langlaude</w:t>
      </w:r>
      <w:proofErr w:type="spellEnd"/>
      <w:r w:rsidRPr="005E758A">
        <w:rPr>
          <w:rFonts w:ascii="Times New Roman" w:eastAsia="標楷體" w:hAnsi="Times New Roman"/>
          <w:smallCaps/>
          <w:sz w:val="28"/>
          <w:szCs w:val="28"/>
        </w:rPr>
        <w:t xml:space="preserve">, The Right of the Child to Religious Freedom in International Law </w:t>
      </w:r>
      <w:r w:rsidRPr="005E758A">
        <w:rPr>
          <w:rFonts w:ascii="Times New Roman" w:eastAsia="標楷體" w:hAnsi="Times New Roman"/>
          <w:sz w:val="28"/>
          <w:szCs w:val="28"/>
        </w:rPr>
        <w:t>(2007).</w:t>
      </w:r>
    </w:p>
    <w:p w14:paraId="341C8B2A" w14:textId="77777777" w:rsidR="00D73A22" w:rsidRPr="005E758A" w:rsidRDefault="00D73A22" w:rsidP="00D2135A">
      <w:pPr>
        <w:pStyle w:val="a0"/>
        <w:numPr>
          <w:ilvl w:val="0"/>
          <w:numId w:val="75"/>
        </w:numPr>
        <w:snapToGrid w:val="0"/>
        <w:spacing w:before="100" w:beforeAutospacing="1" w:after="100" w:afterAutospacing="1"/>
        <w:ind w:leftChars="0"/>
        <w:jc w:val="both"/>
        <w:rPr>
          <w:rFonts w:ascii="Times New Roman" w:eastAsia="標楷體" w:hAnsi="Times New Roman"/>
          <w:sz w:val="32"/>
          <w:szCs w:val="28"/>
        </w:rPr>
      </w:pPr>
      <w:r w:rsidRPr="005E758A">
        <w:rPr>
          <w:rFonts w:ascii="Times New Roman" w:eastAsia="標楷體" w:hAnsi="Times New Roman"/>
          <w:smallCaps/>
          <w:sz w:val="28"/>
          <w:szCs w:val="24"/>
        </w:rPr>
        <w:t xml:space="preserve">UNICEF, Implementation Handbook for the Convention on the Rights of the Child </w:t>
      </w:r>
      <w:r w:rsidRPr="005E758A">
        <w:rPr>
          <w:rFonts w:ascii="Times New Roman" w:eastAsia="標楷體" w:hAnsi="Times New Roman"/>
          <w:sz w:val="28"/>
          <w:szCs w:val="24"/>
        </w:rPr>
        <w:t>(3d ed. 2007).</w:t>
      </w:r>
    </w:p>
    <w:p w14:paraId="4613AB97" w14:textId="77777777" w:rsidR="00D73A22" w:rsidRPr="005E758A" w:rsidRDefault="00D73A22" w:rsidP="00D2135A">
      <w:pPr>
        <w:pStyle w:val="a0"/>
        <w:numPr>
          <w:ilvl w:val="0"/>
          <w:numId w:val="75"/>
        </w:numPr>
        <w:snapToGrid w:val="0"/>
        <w:spacing w:before="100" w:beforeAutospacing="1" w:after="100" w:afterAutospacing="1"/>
        <w:ind w:leftChars="0"/>
        <w:jc w:val="both"/>
        <w:rPr>
          <w:rFonts w:ascii="Times New Roman" w:eastAsia="標楷體" w:hAnsi="Times New Roman"/>
          <w:sz w:val="28"/>
          <w:szCs w:val="24"/>
        </w:rPr>
      </w:pPr>
      <w:r w:rsidRPr="005E758A">
        <w:rPr>
          <w:rFonts w:ascii="Times New Roman" w:eastAsia="標楷體" w:hAnsi="Times New Roman"/>
          <w:sz w:val="28"/>
          <w:szCs w:val="24"/>
        </w:rPr>
        <w:t>人權事務委員會，第</w:t>
      </w:r>
      <w:r w:rsidRPr="005E758A">
        <w:rPr>
          <w:rFonts w:ascii="Times New Roman" w:eastAsia="標楷體" w:hAnsi="Times New Roman"/>
          <w:sz w:val="28"/>
          <w:szCs w:val="24"/>
        </w:rPr>
        <w:t>22</w:t>
      </w:r>
      <w:r w:rsidRPr="005E758A">
        <w:rPr>
          <w:rFonts w:ascii="Times New Roman" w:eastAsia="標楷體" w:hAnsi="Times New Roman"/>
          <w:sz w:val="28"/>
          <w:szCs w:val="24"/>
        </w:rPr>
        <w:t>號一般性意見：第</w:t>
      </w:r>
      <w:r w:rsidRPr="005E758A">
        <w:rPr>
          <w:rFonts w:ascii="Times New Roman" w:eastAsia="標楷體" w:hAnsi="Times New Roman"/>
          <w:sz w:val="28"/>
          <w:szCs w:val="24"/>
        </w:rPr>
        <w:t>18</w:t>
      </w:r>
      <w:r w:rsidRPr="005E758A">
        <w:rPr>
          <w:rFonts w:ascii="Times New Roman" w:eastAsia="標楷體" w:hAnsi="Times New Roman"/>
          <w:sz w:val="28"/>
          <w:szCs w:val="24"/>
        </w:rPr>
        <w:t>條。</w:t>
      </w:r>
      <w:r w:rsidRPr="005E758A">
        <w:rPr>
          <w:rFonts w:ascii="Times New Roman" w:eastAsia="標楷體" w:hAnsi="Times New Roman"/>
          <w:sz w:val="28"/>
          <w:szCs w:val="24"/>
        </w:rPr>
        <w:t>(Human Rights Committee, General Comment No. 22: Article 18, U.N. Doc. CCPR/C/21/Rev.1/Add.4 (Sept. 27, 1993).)</w:t>
      </w:r>
    </w:p>
    <w:p w14:paraId="7BAAA634" w14:textId="77777777" w:rsidR="00B2769C" w:rsidRPr="005E758A" w:rsidRDefault="00B2769C" w:rsidP="00D2135A">
      <w:pPr>
        <w:pStyle w:val="a0"/>
        <w:numPr>
          <w:ilvl w:val="0"/>
          <w:numId w:val="75"/>
        </w:numPr>
        <w:snapToGrid w:val="0"/>
        <w:spacing w:before="100" w:beforeAutospacing="1" w:after="100" w:afterAutospacing="1"/>
        <w:ind w:leftChars="0"/>
        <w:jc w:val="both"/>
        <w:rPr>
          <w:rFonts w:ascii="Times New Roman" w:eastAsia="標楷體" w:hAnsi="Times New Roman"/>
          <w:sz w:val="32"/>
          <w:szCs w:val="28"/>
        </w:rPr>
      </w:pPr>
      <w:r w:rsidRPr="005E758A">
        <w:rPr>
          <w:rFonts w:ascii="Times New Roman" w:eastAsia="標楷體" w:hAnsi="Times New Roman"/>
          <w:sz w:val="28"/>
          <w:szCs w:val="24"/>
        </w:rPr>
        <w:t>聯合國宗教</w:t>
      </w:r>
      <w:r w:rsidR="00C62D54" w:rsidRPr="005E758A">
        <w:rPr>
          <w:rFonts w:ascii="Times New Roman" w:eastAsia="標楷體" w:hAnsi="Times New Roman"/>
          <w:sz w:val="28"/>
          <w:szCs w:val="24"/>
        </w:rPr>
        <w:t>或</w:t>
      </w:r>
      <w:r w:rsidRPr="005E758A">
        <w:rPr>
          <w:rFonts w:ascii="Times New Roman" w:eastAsia="標楷體" w:hAnsi="Times New Roman"/>
          <w:sz w:val="28"/>
          <w:szCs w:val="24"/>
        </w:rPr>
        <w:t>信仰自由</w:t>
      </w:r>
      <w:r w:rsidR="00C62D54" w:rsidRPr="005E758A">
        <w:rPr>
          <w:rFonts w:ascii="Times New Roman" w:eastAsia="標楷體" w:hAnsi="Times New Roman"/>
          <w:sz w:val="28"/>
          <w:szCs w:val="24"/>
        </w:rPr>
        <w:t>問題</w:t>
      </w:r>
      <w:r w:rsidRPr="005E758A">
        <w:rPr>
          <w:rFonts w:ascii="Times New Roman" w:eastAsia="標楷體" w:hAnsi="Times New Roman"/>
          <w:sz w:val="28"/>
          <w:szCs w:val="24"/>
        </w:rPr>
        <w:t>特別報告員</w:t>
      </w:r>
      <w:r w:rsidRPr="005E758A">
        <w:rPr>
          <w:rFonts w:ascii="Times New Roman" w:eastAsia="標楷體" w:hAnsi="Times New Roman"/>
          <w:sz w:val="28"/>
          <w:szCs w:val="24"/>
        </w:rPr>
        <w:t xml:space="preserve">A/64/159 </w:t>
      </w:r>
      <w:r w:rsidRPr="005E758A">
        <w:rPr>
          <w:rFonts w:ascii="Times New Roman" w:eastAsia="標楷體" w:hAnsi="Times New Roman"/>
          <w:sz w:val="28"/>
          <w:szCs w:val="24"/>
        </w:rPr>
        <w:t>號報告。</w:t>
      </w:r>
      <w:r w:rsidRPr="005E758A">
        <w:rPr>
          <w:rFonts w:ascii="Times New Roman" w:eastAsia="標楷體" w:hAnsi="Times New Roman"/>
          <w:sz w:val="28"/>
          <w:szCs w:val="24"/>
        </w:rPr>
        <w:t>(Asma Jahangir, Report of the Special Rapporteur on Freedom of Religion or Belief, U.N. Doc. A/64/159 (July 17, 2009).)</w:t>
      </w:r>
    </w:p>
    <w:p w14:paraId="5CB71DBD" w14:textId="77777777" w:rsidR="00C62D54" w:rsidRPr="005E758A" w:rsidRDefault="00C62D54" w:rsidP="00C62D54">
      <w:pPr>
        <w:snapToGrid w:val="0"/>
        <w:spacing w:before="100" w:beforeAutospacing="1" w:after="100" w:afterAutospacing="1"/>
        <w:jc w:val="both"/>
        <w:rPr>
          <w:sz w:val="32"/>
          <w:szCs w:val="28"/>
        </w:rPr>
      </w:pPr>
    </w:p>
    <w:p w14:paraId="77FCB772" w14:textId="77777777" w:rsidR="008D0C6C" w:rsidRPr="005E758A" w:rsidRDefault="00F3341B" w:rsidP="00490C95">
      <w:pPr>
        <w:snapToGrid w:val="0"/>
        <w:spacing w:before="100" w:beforeAutospacing="1" w:after="100" w:afterAutospacing="1" w:line="0" w:lineRule="atLeast"/>
        <w:jc w:val="both"/>
        <w:rPr>
          <w:sz w:val="28"/>
          <w:szCs w:val="28"/>
        </w:rPr>
      </w:pPr>
      <w:r w:rsidRPr="005E758A">
        <w:rPr>
          <w:sz w:val="28"/>
          <w:szCs w:val="28"/>
        </w:rPr>
        <w:t>關鍵詞：思想自由、自我意識自由、宗教自由、父母指導</w:t>
      </w:r>
    </w:p>
    <w:p w14:paraId="35167DCF" w14:textId="77777777" w:rsidR="008D0C6C" w:rsidRPr="005E758A" w:rsidRDefault="008D0C6C" w:rsidP="00490C95">
      <w:pPr>
        <w:snapToGrid w:val="0"/>
        <w:spacing w:before="100" w:beforeAutospacing="1" w:after="100" w:afterAutospacing="1" w:line="0" w:lineRule="atLeast"/>
        <w:jc w:val="both"/>
        <w:rPr>
          <w:sz w:val="28"/>
          <w:szCs w:val="28"/>
        </w:rPr>
        <w:sectPr w:rsidR="008D0C6C" w:rsidRPr="005E758A" w:rsidSect="00135FC9">
          <w:footerReference w:type="default" r:id="rId15"/>
          <w:footnotePr>
            <w:numRestart w:val="eachSect"/>
          </w:footnotePr>
          <w:endnotePr>
            <w:numFmt w:val="decimal"/>
            <w:numRestart w:val="eachSect"/>
          </w:endnotePr>
          <w:pgSz w:w="11906" w:h="16838"/>
          <w:pgMar w:top="1440" w:right="1797" w:bottom="1440" w:left="1797" w:header="851" w:footer="992" w:gutter="0"/>
          <w:cols w:space="425"/>
          <w:docGrid w:linePitch="360"/>
        </w:sectPr>
      </w:pPr>
    </w:p>
    <w:p w14:paraId="3AE54F88" w14:textId="77777777" w:rsidR="002B54D2" w:rsidRDefault="002B54D2" w:rsidP="002B54D2">
      <w:pPr>
        <w:pStyle w:val="1"/>
        <w:rPr>
          <w:sz w:val="28"/>
        </w:rPr>
      </w:pPr>
      <w:bookmarkStart w:id="51" w:name="_Toc431072731"/>
      <w:bookmarkStart w:id="52" w:name="_Toc427238534"/>
      <w:r w:rsidRPr="005E758A">
        <w:lastRenderedPageBreak/>
        <w:t>第</w:t>
      </w:r>
      <w:r w:rsidRPr="005E758A">
        <w:t>15</w:t>
      </w:r>
      <w:r w:rsidRPr="005E758A">
        <w:t>條</w:t>
      </w:r>
      <w:r>
        <w:rPr>
          <w:rFonts w:hint="eastAsia"/>
        </w:rPr>
        <w:t xml:space="preserve">　</w:t>
      </w:r>
      <w:r w:rsidRPr="002B54D2">
        <w:rPr>
          <w:rFonts w:hint="eastAsia"/>
        </w:rPr>
        <w:t>結社及和平集會自由</w:t>
      </w:r>
      <w:bookmarkEnd w:id="51"/>
    </w:p>
    <w:tbl>
      <w:tblPr>
        <w:tblStyle w:val="af4"/>
        <w:tblW w:w="0" w:type="auto"/>
        <w:tblInd w:w="122" w:type="dxa"/>
        <w:tblBorders>
          <w:insideH w:val="none" w:sz="0" w:space="0" w:color="auto"/>
          <w:insideV w:val="none" w:sz="0" w:space="0" w:color="auto"/>
        </w:tblBorders>
        <w:tblLook w:val="04A0" w:firstRow="1" w:lastRow="0" w:firstColumn="1" w:lastColumn="0" w:noHBand="0" w:noVBand="1"/>
      </w:tblPr>
      <w:tblGrid>
        <w:gridCol w:w="8180"/>
      </w:tblGrid>
      <w:tr w:rsidR="002B54D2" w:rsidRPr="005E758A" w14:paraId="3EFCC813" w14:textId="77777777" w:rsidTr="002B54D2">
        <w:tc>
          <w:tcPr>
            <w:tcW w:w="8180" w:type="dxa"/>
          </w:tcPr>
          <w:p w14:paraId="0A28EC60" w14:textId="77777777" w:rsidR="002B54D2" w:rsidRPr="005E758A" w:rsidRDefault="002B54D2" w:rsidP="002B035C">
            <w:pPr>
              <w:pStyle w:val="a0"/>
              <w:numPr>
                <w:ilvl w:val="0"/>
                <w:numId w:val="142"/>
              </w:numPr>
              <w:snapToGrid w:val="0"/>
              <w:ind w:leftChars="0" w:left="357" w:hanging="357"/>
              <w:rPr>
                <w:rFonts w:ascii="Times New Roman" w:eastAsia="標楷體" w:hAnsi="Times New Roman"/>
                <w:sz w:val="28"/>
                <w:szCs w:val="28"/>
              </w:rPr>
            </w:pPr>
            <w:r w:rsidRPr="005E758A">
              <w:rPr>
                <w:rFonts w:ascii="Times New Roman" w:eastAsia="標楷體" w:hAnsi="Times New Roman"/>
                <w:sz w:val="28"/>
                <w:szCs w:val="28"/>
              </w:rPr>
              <w:t>締約國確認兒童享有結社自由及和平集會自由的權利。</w:t>
            </w:r>
          </w:p>
          <w:p w14:paraId="5F00DBCA" w14:textId="77777777" w:rsidR="002B54D2" w:rsidRPr="005E758A" w:rsidRDefault="002B54D2" w:rsidP="002B035C">
            <w:pPr>
              <w:pStyle w:val="a0"/>
              <w:numPr>
                <w:ilvl w:val="0"/>
                <w:numId w:val="142"/>
              </w:numPr>
              <w:snapToGrid w:val="0"/>
              <w:ind w:leftChars="0" w:left="357" w:hanging="357"/>
              <w:rPr>
                <w:rFonts w:ascii="Times New Roman" w:hAnsi="Times New Roman"/>
              </w:rPr>
            </w:pPr>
            <w:r w:rsidRPr="005E758A">
              <w:rPr>
                <w:rFonts w:ascii="Times New Roman" w:eastAsia="標楷體" w:hAnsi="Times New Roman"/>
                <w:sz w:val="28"/>
                <w:szCs w:val="28"/>
              </w:rPr>
              <w:t>前項權利之行使不得加以限制，惟符合法律所規定並在民主社會中為保障國家安全或公共安全、公共秩序、公共衛生或道德或他人之權利與自由所必要者，不在此限。</w:t>
            </w:r>
          </w:p>
        </w:tc>
      </w:tr>
    </w:tbl>
    <w:p w14:paraId="029445C4" w14:textId="77777777" w:rsidR="002B54D2" w:rsidRPr="002B54D2" w:rsidRDefault="002B54D2" w:rsidP="002B54D2">
      <w:pPr>
        <w:snapToGrid w:val="0"/>
        <w:spacing w:before="100" w:beforeAutospacing="1" w:after="100" w:afterAutospacing="1" w:line="0" w:lineRule="atLeast"/>
        <w:jc w:val="both"/>
        <w:rPr>
          <w:sz w:val="28"/>
        </w:rPr>
      </w:pPr>
    </w:p>
    <w:p w14:paraId="0D4520E9" w14:textId="77777777" w:rsidR="00952099" w:rsidRPr="005E758A" w:rsidRDefault="00952099" w:rsidP="00F02A5C">
      <w:pPr>
        <w:pStyle w:val="2"/>
        <w:numPr>
          <w:ilvl w:val="0"/>
          <w:numId w:val="143"/>
        </w:numPr>
      </w:pPr>
      <w:r w:rsidRPr="005E758A">
        <w:t>規範宗旨</w:t>
      </w:r>
    </w:p>
    <w:p w14:paraId="300C40AC" w14:textId="77777777" w:rsidR="00952099" w:rsidRPr="005E758A" w:rsidRDefault="00952099" w:rsidP="00952099">
      <w:pPr>
        <w:snapToGrid w:val="0"/>
        <w:spacing w:before="100" w:beforeAutospacing="1" w:after="100" w:afterAutospacing="1" w:line="0" w:lineRule="atLeast"/>
        <w:ind w:firstLineChars="200" w:firstLine="560"/>
        <w:jc w:val="both"/>
        <w:rPr>
          <w:sz w:val="28"/>
          <w:szCs w:val="28"/>
        </w:rPr>
      </w:pPr>
      <w:r w:rsidRPr="005E758A">
        <w:rPr>
          <w:sz w:val="28"/>
          <w:szCs w:val="28"/>
        </w:rPr>
        <w:t>本條之規範宗旨在於確保兒童享有如同成人之結社及和平集會之自由，使兒童有權利就對其權益相關之議題相互會面及互動</w:t>
      </w:r>
      <w:r w:rsidRPr="005E758A">
        <w:rPr>
          <w:rStyle w:val="af3"/>
          <w:sz w:val="28"/>
          <w:szCs w:val="28"/>
        </w:rPr>
        <w:endnoteReference w:id="201"/>
      </w:r>
      <w:r w:rsidRPr="005E758A">
        <w:rPr>
          <w:sz w:val="28"/>
          <w:szCs w:val="28"/>
        </w:rPr>
        <w:t>；如須就此兩項權利有所限制，則應符合本條第</w:t>
      </w:r>
      <w:r w:rsidRPr="005E758A">
        <w:rPr>
          <w:sz w:val="28"/>
          <w:szCs w:val="28"/>
        </w:rPr>
        <w:t>2</w:t>
      </w:r>
      <w:r w:rsidRPr="005E758A">
        <w:rPr>
          <w:sz w:val="28"/>
          <w:szCs w:val="28"/>
        </w:rPr>
        <w:t>項所定之情形。本條是兒童參與權的一種，與表意權（第</w:t>
      </w:r>
      <w:r w:rsidRPr="005E758A">
        <w:rPr>
          <w:sz w:val="28"/>
          <w:szCs w:val="28"/>
        </w:rPr>
        <w:t>12</w:t>
      </w:r>
      <w:r w:rsidRPr="005E758A">
        <w:rPr>
          <w:sz w:val="28"/>
          <w:szCs w:val="28"/>
        </w:rPr>
        <w:t>條）、言論自由權（第</w:t>
      </w:r>
      <w:r w:rsidRPr="005E758A">
        <w:rPr>
          <w:sz w:val="28"/>
          <w:szCs w:val="28"/>
        </w:rPr>
        <w:t>13</w:t>
      </w:r>
      <w:r w:rsidRPr="005E758A">
        <w:rPr>
          <w:sz w:val="28"/>
          <w:szCs w:val="28"/>
        </w:rPr>
        <w:t>條）及宗教自由權息息相關，其被提及之比率卻顯著比兒童經濟、社會或和文化等有關之權利少</w:t>
      </w:r>
      <w:r w:rsidRPr="005E758A">
        <w:rPr>
          <w:rStyle w:val="af3"/>
          <w:sz w:val="28"/>
          <w:szCs w:val="28"/>
        </w:rPr>
        <w:endnoteReference w:id="202"/>
      </w:r>
      <w:r w:rsidRPr="005E758A">
        <w:rPr>
          <w:sz w:val="28"/>
          <w:szCs w:val="28"/>
        </w:rPr>
        <w:t>。</w:t>
      </w:r>
    </w:p>
    <w:p w14:paraId="6119CF87" w14:textId="77777777" w:rsidR="00952099" w:rsidRPr="005E758A" w:rsidRDefault="00952099" w:rsidP="00952099">
      <w:pPr>
        <w:pStyle w:val="2"/>
      </w:pPr>
      <w:r w:rsidRPr="005E758A">
        <w:t>條文要義</w:t>
      </w:r>
    </w:p>
    <w:p w14:paraId="363B62D2" w14:textId="77777777" w:rsidR="00952099" w:rsidRPr="005E758A" w:rsidRDefault="00952099" w:rsidP="00F02A5C">
      <w:pPr>
        <w:pStyle w:val="3"/>
        <w:numPr>
          <w:ilvl w:val="0"/>
          <w:numId w:val="144"/>
        </w:numPr>
      </w:pPr>
      <w:r w:rsidRPr="005E758A">
        <w:t>第</w:t>
      </w:r>
      <w:r w:rsidRPr="005E758A">
        <w:t>15</w:t>
      </w:r>
      <w:r w:rsidRPr="005E758A">
        <w:t>條第</w:t>
      </w:r>
      <w:r w:rsidRPr="005E758A">
        <w:t>1</w:t>
      </w:r>
      <w:r w:rsidRPr="005E758A">
        <w:t>項</w:t>
      </w:r>
    </w:p>
    <w:p w14:paraId="1F4ADC52" w14:textId="77777777" w:rsidR="00952099" w:rsidRPr="005E758A" w:rsidRDefault="00952099" w:rsidP="00952099">
      <w:pPr>
        <w:snapToGrid w:val="0"/>
        <w:spacing w:before="100" w:beforeAutospacing="1" w:after="100" w:afterAutospacing="1" w:line="0" w:lineRule="atLeast"/>
        <w:ind w:firstLineChars="200" w:firstLine="560"/>
        <w:jc w:val="both"/>
        <w:rPr>
          <w:sz w:val="28"/>
          <w:szCs w:val="28"/>
        </w:rPr>
      </w:pPr>
      <w:r w:rsidRPr="005E758A">
        <w:rPr>
          <w:sz w:val="28"/>
          <w:szCs w:val="28"/>
        </w:rPr>
        <w:t>無論性別、貧富、就學與否、工作與否或有無特殊需求，所有兒童皆享有權利結社及集會之自由，並共同討論任何足以影響他們生活之議題</w:t>
      </w:r>
      <w:r w:rsidRPr="005E758A">
        <w:rPr>
          <w:rStyle w:val="af3"/>
          <w:sz w:val="28"/>
          <w:szCs w:val="28"/>
        </w:rPr>
        <w:endnoteReference w:id="203"/>
      </w:r>
      <w:r w:rsidRPr="005E758A">
        <w:rPr>
          <w:sz w:val="28"/>
          <w:szCs w:val="28"/>
        </w:rPr>
        <w:t xml:space="preserve"> </w:t>
      </w:r>
      <w:r w:rsidRPr="005E758A">
        <w:rPr>
          <w:sz w:val="28"/>
          <w:szCs w:val="28"/>
        </w:rPr>
        <w:t>。整體而言，兒童權利委員會係在透過鼓勵兒童結社及和平集會之參與，讓兒童就各項事物自由表達其意見及想法。委員會歷年來對此曾提出之問題包括：學校應鼓勵學生透過學生會等組織增加校內的各種參與、部分國家對於學生加入政治性組織的限制及部分國家限制學生和平集會自由等情況</w:t>
      </w:r>
      <w:r w:rsidRPr="005E758A">
        <w:rPr>
          <w:rStyle w:val="af3"/>
          <w:sz w:val="28"/>
          <w:szCs w:val="28"/>
        </w:rPr>
        <w:endnoteReference w:id="204"/>
      </w:r>
      <w:r w:rsidRPr="005E758A">
        <w:rPr>
          <w:sz w:val="28"/>
          <w:szCs w:val="28"/>
        </w:rPr>
        <w:t>。</w:t>
      </w:r>
    </w:p>
    <w:p w14:paraId="15F2FAF3" w14:textId="77777777" w:rsidR="00952099" w:rsidRPr="005E758A" w:rsidRDefault="00952099" w:rsidP="00952099">
      <w:pPr>
        <w:pStyle w:val="3"/>
      </w:pPr>
      <w:r w:rsidRPr="005E758A">
        <w:t>第</w:t>
      </w:r>
      <w:r w:rsidRPr="005E758A">
        <w:t>15</w:t>
      </w:r>
      <w:r w:rsidRPr="005E758A">
        <w:t>條第</w:t>
      </w:r>
      <w:r w:rsidRPr="005E758A">
        <w:t>2</w:t>
      </w:r>
      <w:r w:rsidRPr="005E758A">
        <w:t>項</w:t>
      </w:r>
    </w:p>
    <w:p w14:paraId="259208DB" w14:textId="77777777" w:rsidR="00952099" w:rsidRPr="005E758A" w:rsidRDefault="00952099" w:rsidP="00952099">
      <w:pPr>
        <w:snapToGrid w:val="0"/>
        <w:spacing w:before="100" w:beforeAutospacing="1" w:after="100" w:afterAutospacing="1" w:line="0" w:lineRule="atLeast"/>
        <w:ind w:firstLineChars="200" w:firstLine="560"/>
        <w:jc w:val="both"/>
        <w:rPr>
          <w:sz w:val="28"/>
          <w:szCs w:val="28"/>
        </w:rPr>
      </w:pPr>
      <w:r w:rsidRPr="005E758A">
        <w:rPr>
          <w:sz w:val="28"/>
          <w:szCs w:val="28"/>
        </w:rPr>
        <w:t>兒童結社及和平集會之自由，除符合第</w:t>
      </w:r>
      <w:r w:rsidRPr="005E758A">
        <w:rPr>
          <w:sz w:val="28"/>
          <w:szCs w:val="28"/>
        </w:rPr>
        <w:t>2</w:t>
      </w:r>
      <w:r w:rsidRPr="005E758A">
        <w:rPr>
          <w:sz w:val="28"/>
          <w:szCs w:val="28"/>
        </w:rPr>
        <w:t>項之規定外，不得加以限制。</w:t>
      </w:r>
      <w:proofErr w:type="gramStart"/>
      <w:r w:rsidRPr="005E758A">
        <w:rPr>
          <w:sz w:val="28"/>
          <w:szCs w:val="28"/>
        </w:rPr>
        <w:t>惟</w:t>
      </w:r>
      <w:proofErr w:type="gramEnd"/>
      <w:r w:rsidRPr="005E758A">
        <w:rPr>
          <w:sz w:val="28"/>
          <w:szCs w:val="28"/>
        </w:rPr>
        <w:t>部分國家，如中華人民共和國即曾要求該權利應取決於兒童的發展能力，並建議「該公約之締約國應根據兒童的年齡和成熟程度，承認兒童的結社及和平集會的自由」</w:t>
      </w:r>
      <w:r w:rsidRPr="005E758A">
        <w:rPr>
          <w:rStyle w:val="af3"/>
          <w:sz w:val="28"/>
          <w:szCs w:val="28"/>
        </w:rPr>
        <w:endnoteReference w:id="205"/>
      </w:r>
      <w:r w:rsidRPr="005E758A">
        <w:rPr>
          <w:sz w:val="28"/>
          <w:szCs w:val="28"/>
        </w:rPr>
        <w:t>，惟兒童權利委員會並不贊同，並建議針對設有該等限制之法令進行檢視</w:t>
      </w:r>
      <w:r w:rsidRPr="005E758A">
        <w:rPr>
          <w:rStyle w:val="af3"/>
          <w:sz w:val="28"/>
          <w:szCs w:val="28"/>
        </w:rPr>
        <w:endnoteReference w:id="206"/>
      </w:r>
      <w:r w:rsidRPr="005E758A">
        <w:rPr>
          <w:sz w:val="28"/>
          <w:szCs w:val="28"/>
        </w:rPr>
        <w:t>。</w:t>
      </w:r>
    </w:p>
    <w:p w14:paraId="6E6A8575" w14:textId="77777777" w:rsidR="00952099" w:rsidRPr="005E758A" w:rsidRDefault="00952099" w:rsidP="00952099">
      <w:pPr>
        <w:snapToGrid w:val="0"/>
        <w:spacing w:before="100" w:beforeAutospacing="1" w:after="100" w:afterAutospacing="1" w:line="0" w:lineRule="atLeast"/>
        <w:ind w:firstLineChars="200" w:firstLine="560"/>
        <w:jc w:val="both"/>
        <w:rPr>
          <w:sz w:val="28"/>
          <w:szCs w:val="28"/>
        </w:rPr>
      </w:pPr>
      <w:r w:rsidRPr="005E758A">
        <w:rPr>
          <w:sz w:val="28"/>
          <w:szCs w:val="28"/>
        </w:rPr>
        <w:t>公約協商時，部分國家曾要求將本條權利加</w:t>
      </w:r>
      <w:proofErr w:type="gramStart"/>
      <w:r w:rsidRPr="005E758A">
        <w:rPr>
          <w:sz w:val="28"/>
          <w:szCs w:val="28"/>
        </w:rPr>
        <w:t>註</w:t>
      </w:r>
      <w:proofErr w:type="gramEnd"/>
      <w:r w:rsidRPr="005E758A">
        <w:rPr>
          <w:sz w:val="28"/>
          <w:szCs w:val="28"/>
        </w:rPr>
        <w:t>兒童年齡、成熟度及發展程度而定，惟最後卻皆未被採納，可見本條制定之本意即在保</w:t>
      </w:r>
      <w:r w:rsidRPr="005E758A">
        <w:rPr>
          <w:sz w:val="28"/>
          <w:szCs w:val="28"/>
        </w:rPr>
        <w:lastRenderedPageBreak/>
        <w:t>障所有兒童之結社及和平集會自由，不受年齡大小或其他標準而限制，充分保障</w:t>
      </w:r>
      <w:proofErr w:type="gramStart"/>
      <w:r w:rsidRPr="005E758A">
        <w:rPr>
          <w:sz w:val="28"/>
          <w:szCs w:val="28"/>
        </w:rPr>
        <w:t>兒童得藉由</w:t>
      </w:r>
      <w:proofErr w:type="gramEnd"/>
      <w:r w:rsidRPr="005E758A">
        <w:rPr>
          <w:sz w:val="28"/>
          <w:szCs w:val="28"/>
        </w:rPr>
        <w:t>結社及和平集會表達對與自身權益相關事物之意見。</w:t>
      </w:r>
    </w:p>
    <w:p w14:paraId="078ED9C9" w14:textId="77777777" w:rsidR="00952099" w:rsidRPr="005E758A" w:rsidRDefault="00952099" w:rsidP="00952099">
      <w:pPr>
        <w:pStyle w:val="2"/>
      </w:pPr>
      <w:r w:rsidRPr="005E758A">
        <w:t>案例介紹</w:t>
      </w:r>
    </w:p>
    <w:p w14:paraId="0E45A64D" w14:textId="77777777" w:rsidR="00952099" w:rsidRPr="005E758A" w:rsidRDefault="0008024A" w:rsidP="00F02A5C">
      <w:pPr>
        <w:pStyle w:val="3"/>
        <w:numPr>
          <w:ilvl w:val="0"/>
          <w:numId w:val="145"/>
        </w:numPr>
      </w:pPr>
      <w:r w:rsidRPr="005E758A">
        <w:t>2010</w:t>
      </w:r>
      <w:r w:rsidRPr="005E758A">
        <w:t>年歐洲人權法院</w:t>
      </w:r>
      <w:r w:rsidR="00952099" w:rsidRPr="005E758A">
        <w:t>兒童集會遊行案</w:t>
      </w:r>
      <w:r w:rsidRPr="005E758A">
        <w:t>：</w:t>
      </w:r>
      <w:r w:rsidRPr="005E758A">
        <w:rPr>
          <w:szCs w:val="24"/>
        </w:rPr>
        <w:t>Christian Democratic People’s Party v. Moldova</w:t>
      </w:r>
      <w:r w:rsidR="00952099" w:rsidRPr="005E758A">
        <w:rPr>
          <w:rStyle w:val="af3"/>
          <w:szCs w:val="28"/>
        </w:rPr>
        <w:endnoteReference w:id="207"/>
      </w:r>
    </w:p>
    <w:p w14:paraId="210986E1" w14:textId="77777777" w:rsidR="00952099" w:rsidRPr="005E758A" w:rsidRDefault="00952099" w:rsidP="00952099">
      <w:pPr>
        <w:snapToGrid w:val="0"/>
        <w:spacing w:before="100" w:beforeAutospacing="1" w:after="100" w:afterAutospacing="1" w:line="0" w:lineRule="atLeast"/>
        <w:ind w:firstLineChars="200" w:firstLine="560"/>
        <w:jc w:val="both"/>
        <w:rPr>
          <w:sz w:val="28"/>
          <w:szCs w:val="28"/>
        </w:rPr>
      </w:pPr>
      <w:r w:rsidRPr="005E758A">
        <w:rPr>
          <w:sz w:val="28"/>
          <w:szCs w:val="28"/>
        </w:rPr>
        <w:t>2001</w:t>
      </w:r>
      <w:r w:rsidRPr="005E758A">
        <w:rPr>
          <w:sz w:val="28"/>
          <w:szCs w:val="28"/>
        </w:rPr>
        <w:t>年，摩爾多瓦政府欲強制七歲以上的學齡兒童學習俄語。然而</w:t>
      </w:r>
      <w:proofErr w:type="gramStart"/>
      <w:r w:rsidRPr="005E758A">
        <w:rPr>
          <w:sz w:val="28"/>
          <w:szCs w:val="28"/>
        </w:rPr>
        <w:t>此舉遭反對黨</w:t>
      </w:r>
      <w:proofErr w:type="gramEnd"/>
      <w:r w:rsidRPr="005E758A">
        <w:rPr>
          <w:sz w:val="28"/>
          <w:szCs w:val="28"/>
        </w:rPr>
        <w:t>基督教民主人民黨</w:t>
      </w:r>
      <w:r w:rsidRPr="005E758A">
        <w:rPr>
          <w:sz w:val="28"/>
          <w:szCs w:val="28"/>
        </w:rPr>
        <w:t>(Christian Democratic People</w:t>
      </w:r>
      <w:proofErr w:type="gramStart"/>
      <w:r w:rsidRPr="005E758A">
        <w:rPr>
          <w:sz w:val="28"/>
          <w:szCs w:val="28"/>
        </w:rPr>
        <w:t>’</w:t>
      </w:r>
      <w:proofErr w:type="gramEnd"/>
      <w:r w:rsidRPr="005E758A">
        <w:rPr>
          <w:sz w:val="28"/>
          <w:szCs w:val="28"/>
        </w:rPr>
        <w:t>s Party</w:t>
      </w:r>
      <w:r w:rsidRPr="005E758A">
        <w:rPr>
          <w:sz w:val="28"/>
          <w:szCs w:val="28"/>
        </w:rPr>
        <w:t>；</w:t>
      </w:r>
      <w:r w:rsidRPr="005E758A">
        <w:rPr>
          <w:sz w:val="28"/>
          <w:szCs w:val="28"/>
        </w:rPr>
        <w:t>CDPP)</w:t>
      </w:r>
      <w:r w:rsidRPr="005E758A">
        <w:rPr>
          <w:sz w:val="28"/>
          <w:szCs w:val="28"/>
        </w:rPr>
        <w:t>的強烈反對。由於此項政策將強烈衝擊到兒童受義務教育的內容，因此引發諸多反彈。</w:t>
      </w:r>
      <w:r w:rsidRPr="005E758A">
        <w:rPr>
          <w:sz w:val="28"/>
          <w:szCs w:val="28"/>
        </w:rPr>
        <w:t>CDPP</w:t>
      </w:r>
      <w:r w:rsidRPr="005E758A">
        <w:rPr>
          <w:sz w:val="28"/>
          <w:szCs w:val="28"/>
        </w:rPr>
        <w:t>與其支持者於</w:t>
      </w:r>
      <w:r w:rsidRPr="005E758A">
        <w:rPr>
          <w:sz w:val="28"/>
          <w:szCs w:val="28"/>
        </w:rPr>
        <w:t>2001</w:t>
      </w:r>
      <w:r w:rsidRPr="005E758A">
        <w:rPr>
          <w:sz w:val="28"/>
          <w:szCs w:val="28"/>
        </w:rPr>
        <w:t>年至</w:t>
      </w:r>
      <w:r w:rsidRPr="005E758A">
        <w:rPr>
          <w:sz w:val="28"/>
          <w:szCs w:val="28"/>
        </w:rPr>
        <w:t>2002</w:t>
      </w:r>
      <w:r w:rsidRPr="005E758A">
        <w:rPr>
          <w:sz w:val="28"/>
          <w:szCs w:val="28"/>
        </w:rPr>
        <w:t>年間定期舉行集會及遊行，而其中更包含了學齡兒童。摩爾多瓦政府不顧反對聲浪，於</w:t>
      </w:r>
      <w:r w:rsidRPr="005E758A">
        <w:rPr>
          <w:sz w:val="28"/>
          <w:szCs w:val="28"/>
        </w:rPr>
        <w:t>2002</w:t>
      </w:r>
      <w:r w:rsidRPr="005E758A">
        <w:rPr>
          <w:sz w:val="28"/>
          <w:szCs w:val="28"/>
        </w:rPr>
        <w:t>年</w:t>
      </w:r>
      <w:r w:rsidRPr="005E758A">
        <w:rPr>
          <w:sz w:val="28"/>
          <w:szCs w:val="28"/>
        </w:rPr>
        <w:t>1</w:t>
      </w:r>
      <w:r w:rsidRPr="005E758A">
        <w:rPr>
          <w:sz w:val="28"/>
          <w:szCs w:val="28"/>
        </w:rPr>
        <w:t>月</w:t>
      </w:r>
      <w:r w:rsidRPr="005E758A">
        <w:rPr>
          <w:sz w:val="28"/>
          <w:szCs w:val="28"/>
        </w:rPr>
        <w:t>14</w:t>
      </w:r>
      <w:r w:rsidRPr="005E758A">
        <w:rPr>
          <w:sz w:val="28"/>
          <w:szCs w:val="28"/>
        </w:rPr>
        <w:t>日頒</w:t>
      </w:r>
      <w:proofErr w:type="gramStart"/>
      <w:r w:rsidRPr="005E758A">
        <w:rPr>
          <w:sz w:val="28"/>
          <w:szCs w:val="28"/>
        </w:rPr>
        <w:t>佈</w:t>
      </w:r>
      <w:proofErr w:type="gramEnd"/>
      <w:r w:rsidRPr="005E758A">
        <w:rPr>
          <w:sz w:val="28"/>
          <w:szCs w:val="28"/>
        </w:rPr>
        <w:t>多項禁令，認定</w:t>
      </w:r>
      <w:r w:rsidRPr="005E758A">
        <w:rPr>
          <w:sz w:val="28"/>
          <w:szCs w:val="28"/>
        </w:rPr>
        <w:t>CDPP</w:t>
      </w:r>
      <w:r w:rsidRPr="005E758A">
        <w:rPr>
          <w:sz w:val="28"/>
          <w:szCs w:val="28"/>
        </w:rPr>
        <w:t>集會遊行為違法，並呼籲</w:t>
      </w:r>
      <w:r w:rsidRPr="005E758A">
        <w:rPr>
          <w:sz w:val="28"/>
          <w:szCs w:val="28"/>
        </w:rPr>
        <w:t>CDPP</w:t>
      </w:r>
      <w:r w:rsidRPr="005E758A">
        <w:rPr>
          <w:sz w:val="28"/>
          <w:szCs w:val="28"/>
        </w:rPr>
        <w:t>及其支持者立刻停止集會遊行。</w:t>
      </w:r>
      <w:r w:rsidRPr="005E758A">
        <w:rPr>
          <w:sz w:val="28"/>
          <w:szCs w:val="28"/>
        </w:rPr>
        <w:t>2002</w:t>
      </w:r>
      <w:r w:rsidRPr="005E758A">
        <w:rPr>
          <w:sz w:val="28"/>
          <w:szCs w:val="28"/>
        </w:rPr>
        <w:t>年</w:t>
      </w:r>
      <w:r w:rsidRPr="005E758A">
        <w:rPr>
          <w:sz w:val="28"/>
          <w:szCs w:val="28"/>
        </w:rPr>
        <w:t>1</w:t>
      </w:r>
      <w:r w:rsidRPr="005E758A">
        <w:rPr>
          <w:sz w:val="28"/>
          <w:szCs w:val="28"/>
        </w:rPr>
        <w:t>月</w:t>
      </w:r>
      <w:r w:rsidRPr="005E758A">
        <w:rPr>
          <w:sz w:val="28"/>
          <w:szCs w:val="28"/>
        </w:rPr>
        <w:t>18</w:t>
      </w:r>
      <w:r w:rsidRPr="005E758A">
        <w:rPr>
          <w:sz w:val="28"/>
          <w:szCs w:val="28"/>
        </w:rPr>
        <w:t>日摩爾多瓦司法部發佈一項禁令，指控</w:t>
      </w:r>
      <w:r w:rsidRPr="005E758A">
        <w:rPr>
          <w:sz w:val="28"/>
          <w:szCs w:val="28"/>
        </w:rPr>
        <w:t>CDPP</w:t>
      </w:r>
      <w:r w:rsidRPr="005E758A">
        <w:rPr>
          <w:sz w:val="28"/>
          <w:szCs w:val="28"/>
        </w:rPr>
        <w:t>的集會遊行涉及暴力遊行，並非和平集會，並對集會及遊行者起訴。</w:t>
      </w:r>
    </w:p>
    <w:p w14:paraId="05883458" w14:textId="77777777" w:rsidR="00952099" w:rsidRPr="005E758A" w:rsidRDefault="00952099" w:rsidP="00952099">
      <w:pPr>
        <w:snapToGrid w:val="0"/>
        <w:spacing w:before="100" w:beforeAutospacing="1" w:after="100" w:afterAutospacing="1" w:line="0" w:lineRule="atLeast"/>
        <w:ind w:firstLineChars="200" w:firstLine="560"/>
        <w:jc w:val="both"/>
        <w:rPr>
          <w:sz w:val="28"/>
          <w:szCs w:val="28"/>
        </w:rPr>
      </w:pPr>
      <w:r w:rsidRPr="005E758A">
        <w:rPr>
          <w:sz w:val="28"/>
          <w:szCs w:val="28"/>
        </w:rPr>
        <w:t>本案涉及兒童參與此集會遊行是否符合兒童權利公約第</w:t>
      </w:r>
      <w:r w:rsidRPr="005E758A">
        <w:rPr>
          <w:sz w:val="28"/>
          <w:szCs w:val="28"/>
        </w:rPr>
        <w:t>15</w:t>
      </w:r>
      <w:r w:rsidRPr="005E758A">
        <w:rPr>
          <w:sz w:val="28"/>
          <w:szCs w:val="28"/>
        </w:rPr>
        <w:t>條的規定，及該規定與摩爾多瓦禁止兒童參與政治之法律及兒童保障法第</w:t>
      </w:r>
      <w:r w:rsidRPr="005E758A">
        <w:rPr>
          <w:sz w:val="28"/>
          <w:szCs w:val="28"/>
        </w:rPr>
        <w:t>13</w:t>
      </w:r>
      <w:r w:rsidRPr="005E758A">
        <w:rPr>
          <w:sz w:val="28"/>
          <w:szCs w:val="28"/>
        </w:rPr>
        <w:t>條第</w:t>
      </w:r>
      <w:r w:rsidRPr="005E758A">
        <w:rPr>
          <w:sz w:val="28"/>
          <w:szCs w:val="28"/>
        </w:rPr>
        <w:t>3</w:t>
      </w:r>
      <w:r w:rsidRPr="005E758A">
        <w:rPr>
          <w:sz w:val="28"/>
          <w:szCs w:val="28"/>
        </w:rPr>
        <w:t>項「應禁止兒童涉入政治、參與政黨」</w:t>
      </w:r>
      <w:r w:rsidRPr="005E758A">
        <w:rPr>
          <w:rStyle w:val="af3"/>
          <w:sz w:val="28"/>
          <w:szCs w:val="28"/>
        </w:rPr>
        <w:endnoteReference w:id="208"/>
      </w:r>
      <w:r w:rsidRPr="005E758A">
        <w:rPr>
          <w:sz w:val="28"/>
          <w:szCs w:val="28"/>
        </w:rPr>
        <w:t>是否有所衝突。</w:t>
      </w:r>
    </w:p>
    <w:p w14:paraId="554CB5D6" w14:textId="77777777" w:rsidR="00952099" w:rsidRPr="005E758A" w:rsidRDefault="00952099" w:rsidP="00952099">
      <w:pPr>
        <w:snapToGrid w:val="0"/>
        <w:spacing w:before="100" w:beforeAutospacing="1" w:after="100" w:afterAutospacing="1" w:line="0" w:lineRule="atLeast"/>
        <w:ind w:firstLineChars="200" w:firstLine="560"/>
        <w:jc w:val="both"/>
        <w:rPr>
          <w:sz w:val="28"/>
          <w:szCs w:val="28"/>
        </w:rPr>
      </w:pPr>
      <w:r w:rsidRPr="005E758A">
        <w:rPr>
          <w:sz w:val="28"/>
          <w:szCs w:val="28"/>
        </w:rPr>
        <w:t>摩爾多瓦法院認為，政府雖指控</w:t>
      </w:r>
      <w:r w:rsidRPr="005E758A">
        <w:rPr>
          <w:sz w:val="28"/>
          <w:szCs w:val="28"/>
        </w:rPr>
        <w:t>CDPP</w:t>
      </w:r>
      <w:r w:rsidRPr="005E758A">
        <w:rPr>
          <w:sz w:val="28"/>
          <w:szCs w:val="28"/>
        </w:rPr>
        <w:t>集會遊行充斥暴力行為，但經檢視相關錄影後，發現</w:t>
      </w:r>
      <w:r w:rsidRPr="005E758A">
        <w:rPr>
          <w:sz w:val="28"/>
          <w:szCs w:val="28"/>
        </w:rPr>
        <w:t>CDPP</w:t>
      </w:r>
      <w:r w:rsidRPr="005E758A">
        <w:rPr>
          <w:sz w:val="28"/>
          <w:szCs w:val="28"/>
        </w:rPr>
        <w:t>之遊行皆為和平，故駁回了政府的此項指控。法院認為兒童就此事件之集會及遊行，雖是跟隨</w:t>
      </w:r>
      <w:r w:rsidRPr="005E758A">
        <w:rPr>
          <w:sz w:val="28"/>
          <w:szCs w:val="28"/>
        </w:rPr>
        <w:t>CDPP</w:t>
      </w:r>
      <w:r w:rsidRPr="005E758A">
        <w:rPr>
          <w:sz w:val="28"/>
          <w:szCs w:val="28"/>
        </w:rPr>
        <w:t>進行之活動，但回顧初衷，是為了抗議政府的教育政策，而並非為了政治目的。因此兒童應享有兒童權利公約第</w:t>
      </w:r>
      <w:r w:rsidRPr="005E758A">
        <w:rPr>
          <w:sz w:val="28"/>
          <w:szCs w:val="28"/>
        </w:rPr>
        <w:t>15</w:t>
      </w:r>
      <w:r w:rsidRPr="005E758A">
        <w:rPr>
          <w:sz w:val="28"/>
          <w:szCs w:val="28"/>
        </w:rPr>
        <w:t>條之集會結社之自由。</w:t>
      </w:r>
    </w:p>
    <w:p w14:paraId="7AE8B079" w14:textId="77777777" w:rsidR="00952099" w:rsidRPr="005E758A" w:rsidRDefault="00952099" w:rsidP="00952099">
      <w:pPr>
        <w:pStyle w:val="2"/>
      </w:pPr>
      <w:r w:rsidRPr="005E758A">
        <w:t>綜合分析</w:t>
      </w:r>
    </w:p>
    <w:p w14:paraId="4BC71B13" w14:textId="77777777" w:rsidR="00952099" w:rsidRPr="005E758A" w:rsidRDefault="00952099" w:rsidP="00952099">
      <w:pPr>
        <w:snapToGrid w:val="0"/>
        <w:spacing w:before="100" w:beforeAutospacing="1" w:after="100" w:afterAutospacing="1" w:line="0" w:lineRule="atLeast"/>
        <w:ind w:firstLineChars="200" w:firstLine="560"/>
        <w:jc w:val="both"/>
        <w:rPr>
          <w:sz w:val="28"/>
          <w:szCs w:val="28"/>
        </w:rPr>
      </w:pPr>
      <w:r w:rsidRPr="005E758A">
        <w:rPr>
          <w:sz w:val="28"/>
          <w:szCs w:val="28"/>
        </w:rPr>
        <w:t>兒童身心發展在各年齡層所表現的成熟度並不相同，是否應不分年齡一律享有如成人般之集會結社自由，是公約在起草時的爭論點之</w:t>
      </w:r>
      <w:proofErr w:type="gramStart"/>
      <w:r w:rsidRPr="005E758A">
        <w:rPr>
          <w:sz w:val="28"/>
          <w:szCs w:val="28"/>
        </w:rPr>
        <w:t>一</w:t>
      </w:r>
      <w:proofErr w:type="gramEnd"/>
      <w:r w:rsidRPr="005E758A">
        <w:rPr>
          <w:sz w:val="28"/>
          <w:szCs w:val="28"/>
        </w:rPr>
        <w:t>。有</w:t>
      </w:r>
      <w:proofErr w:type="gramStart"/>
      <w:r w:rsidRPr="005E758A">
        <w:rPr>
          <w:sz w:val="28"/>
          <w:szCs w:val="28"/>
        </w:rPr>
        <w:t>鑑</w:t>
      </w:r>
      <w:proofErr w:type="gramEnd"/>
      <w:r w:rsidRPr="005E758A">
        <w:rPr>
          <w:sz w:val="28"/>
          <w:szCs w:val="28"/>
        </w:rPr>
        <w:t>於兒童享有表意權</w:t>
      </w:r>
      <w:r w:rsidRPr="005E758A">
        <w:rPr>
          <w:sz w:val="28"/>
          <w:szCs w:val="28"/>
        </w:rPr>
        <w:t>(</w:t>
      </w:r>
      <w:r w:rsidRPr="005E758A">
        <w:rPr>
          <w:sz w:val="28"/>
          <w:szCs w:val="28"/>
        </w:rPr>
        <w:t>第</w:t>
      </w:r>
      <w:r w:rsidRPr="005E758A">
        <w:rPr>
          <w:sz w:val="28"/>
          <w:szCs w:val="28"/>
        </w:rPr>
        <w:t>12</w:t>
      </w:r>
      <w:r w:rsidRPr="005E758A">
        <w:rPr>
          <w:sz w:val="28"/>
          <w:szCs w:val="28"/>
        </w:rPr>
        <w:t>條及第</w:t>
      </w:r>
      <w:r w:rsidRPr="005E758A">
        <w:rPr>
          <w:sz w:val="28"/>
          <w:szCs w:val="28"/>
        </w:rPr>
        <w:t>13</w:t>
      </w:r>
      <w:r w:rsidRPr="005E758A">
        <w:rPr>
          <w:sz w:val="28"/>
          <w:szCs w:val="28"/>
        </w:rPr>
        <w:t>條</w:t>
      </w:r>
      <w:r w:rsidRPr="005E758A">
        <w:rPr>
          <w:sz w:val="28"/>
          <w:szCs w:val="28"/>
        </w:rPr>
        <w:t>)</w:t>
      </w:r>
      <w:r w:rsidRPr="005E758A">
        <w:rPr>
          <w:sz w:val="28"/>
          <w:szCs w:val="28"/>
        </w:rPr>
        <w:t>，則本條權利之創設，自有必要，以貫徹接收與傳達各種資訊與思想之自由。至於第</w:t>
      </w:r>
      <w:r w:rsidRPr="005E758A">
        <w:rPr>
          <w:sz w:val="28"/>
          <w:szCs w:val="28"/>
        </w:rPr>
        <w:t>2</w:t>
      </w:r>
      <w:r w:rsidRPr="005E758A">
        <w:rPr>
          <w:sz w:val="28"/>
          <w:szCs w:val="28"/>
        </w:rPr>
        <w:t>項的限制事由，其實與限制成人集會結社之事由相同，為民主憲政國家所普遍接受。當然，在解釋第</w:t>
      </w:r>
      <w:r w:rsidRPr="005E758A">
        <w:rPr>
          <w:sz w:val="28"/>
          <w:szCs w:val="28"/>
        </w:rPr>
        <w:t>2</w:t>
      </w:r>
      <w:r w:rsidRPr="005E758A">
        <w:rPr>
          <w:sz w:val="28"/>
          <w:szCs w:val="28"/>
        </w:rPr>
        <w:t>項之規定時，應本「例外從嚴」之原則為之。</w:t>
      </w:r>
    </w:p>
    <w:p w14:paraId="30669154" w14:textId="77777777" w:rsidR="00952099" w:rsidRPr="005E758A" w:rsidRDefault="00952099" w:rsidP="00952099">
      <w:pPr>
        <w:pStyle w:val="2"/>
      </w:pPr>
      <w:r w:rsidRPr="005E758A">
        <w:t>參考資料</w:t>
      </w:r>
    </w:p>
    <w:p w14:paraId="69E20CCB" w14:textId="77777777" w:rsidR="00952099" w:rsidRPr="005E758A" w:rsidRDefault="00952099" w:rsidP="00F02A5C">
      <w:pPr>
        <w:pStyle w:val="a0"/>
        <w:numPr>
          <w:ilvl w:val="0"/>
          <w:numId w:val="141"/>
        </w:numPr>
        <w:ind w:leftChars="0"/>
        <w:jc w:val="both"/>
        <w:rPr>
          <w:rFonts w:ascii="Times New Roman" w:hAnsi="Times New Roman"/>
          <w:sz w:val="28"/>
          <w:szCs w:val="28"/>
        </w:rPr>
      </w:pPr>
      <w:r w:rsidRPr="005E758A">
        <w:rPr>
          <w:rFonts w:ascii="Times New Roman" w:eastAsia="標楷體" w:hAnsi="Times New Roman"/>
          <w:sz w:val="28"/>
          <w:szCs w:val="28"/>
        </w:rPr>
        <w:lastRenderedPageBreak/>
        <w:t xml:space="preserve">Child Rights International Network (CRIN), </w:t>
      </w:r>
      <w:r w:rsidRPr="005E758A">
        <w:rPr>
          <w:rFonts w:ascii="Times New Roman" w:hAnsi="Times New Roman"/>
          <w:sz w:val="28"/>
          <w:szCs w:val="28"/>
        </w:rPr>
        <w:t xml:space="preserve">The Editorial </w:t>
      </w:r>
      <w:proofErr w:type="gramStart"/>
      <w:r w:rsidRPr="005E758A">
        <w:rPr>
          <w:rFonts w:ascii="Times New Roman" w:hAnsi="Times New Roman"/>
          <w:sz w:val="28"/>
          <w:szCs w:val="28"/>
        </w:rPr>
        <w:t>Of</w:t>
      </w:r>
      <w:proofErr w:type="gramEnd"/>
      <w:r w:rsidRPr="005E758A">
        <w:rPr>
          <w:rFonts w:ascii="Times New Roman" w:hAnsi="Times New Roman"/>
          <w:sz w:val="28"/>
          <w:szCs w:val="28"/>
        </w:rPr>
        <w:t xml:space="preserve"> Children’s Right to Freedom of Association, https://www.crin.org/en/</w:t>
      </w:r>
      <w:r w:rsidRPr="005E758A">
        <w:rPr>
          <w:rFonts w:ascii="Times New Roman" w:hAnsi="Times New Roman"/>
          <w:sz w:val="28"/>
          <w:szCs w:val="28"/>
        </w:rPr>
        <w:br/>
        <w:t>home/what-we-do/</w:t>
      </w:r>
      <w:proofErr w:type="spellStart"/>
      <w:r w:rsidRPr="005E758A">
        <w:rPr>
          <w:rFonts w:ascii="Times New Roman" w:hAnsi="Times New Roman"/>
          <w:sz w:val="28"/>
          <w:szCs w:val="28"/>
        </w:rPr>
        <w:t>crinmail</w:t>
      </w:r>
      <w:proofErr w:type="spellEnd"/>
      <w:r w:rsidRPr="005E758A">
        <w:rPr>
          <w:rFonts w:ascii="Times New Roman" w:hAnsi="Times New Roman"/>
          <w:sz w:val="28"/>
          <w:szCs w:val="28"/>
        </w:rPr>
        <w:t>/crinmail-1212</w:t>
      </w:r>
    </w:p>
    <w:p w14:paraId="2011BA50" w14:textId="77777777" w:rsidR="00952099" w:rsidRPr="005E758A" w:rsidRDefault="00952099" w:rsidP="00F02A5C">
      <w:pPr>
        <w:pStyle w:val="a0"/>
        <w:numPr>
          <w:ilvl w:val="0"/>
          <w:numId w:val="141"/>
        </w:numPr>
        <w:ind w:leftChars="0"/>
        <w:jc w:val="both"/>
        <w:rPr>
          <w:rFonts w:ascii="Times New Roman" w:hAnsi="Times New Roman"/>
          <w:sz w:val="28"/>
          <w:szCs w:val="28"/>
        </w:rPr>
      </w:pPr>
      <w:r w:rsidRPr="005E758A">
        <w:rPr>
          <w:rFonts w:ascii="Times New Roman" w:eastAsia="標楷體" w:hAnsi="Times New Roman"/>
          <w:sz w:val="28"/>
          <w:szCs w:val="28"/>
        </w:rPr>
        <w:t xml:space="preserve">CRIN, </w:t>
      </w:r>
      <w:r w:rsidRPr="005E758A">
        <w:rPr>
          <w:rFonts w:ascii="Times New Roman" w:hAnsi="Times New Roman"/>
          <w:sz w:val="28"/>
          <w:szCs w:val="28"/>
        </w:rPr>
        <w:t>Lebanon: Youth Experience with Freedom of Association, https://www.crin.org/en/library/news-archive/lebanon-youth-experience-freedom-association</w:t>
      </w:r>
    </w:p>
    <w:p w14:paraId="63255E7C" w14:textId="77777777" w:rsidR="00952099" w:rsidRPr="005E758A" w:rsidRDefault="00952099" w:rsidP="00F02A5C">
      <w:pPr>
        <w:pStyle w:val="a0"/>
        <w:numPr>
          <w:ilvl w:val="0"/>
          <w:numId w:val="141"/>
        </w:numPr>
        <w:ind w:leftChars="0"/>
        <w:jc w:val="both"/>
        <w:rPr>
          <w:rFonts w:ascii="Times New Roman" w:hAnsi="Times New Roman"/>
          <w:sz w:val="28"/>
          <w:szCs w:val="28"/>
        </w:rPr>
      </w:pPr>
      <w:r w:rsidRPr="005E758A">
        <w:rPr>
          <w:rFonts w:ascii="Times New Roman" w:eastAsia="標楷體" w:hAnsi="Times New Roman"/>
          <w:sz w:val="28"/>
          <w:szCs w:val="28"/>
        </w:rPr>
        <w:t xml:space="preserve">CRIN, </w:t>
      </w:r>
      <w:r w:rsidRPr="005E758A">
        <w:rPr>
          <w:rFonts w:ascii="Times New Roman" w:hAnsi="Times New Roman"/>
          <w:sz w:val="28"/>
          <w:szCs w:val="28"/>
        </w:rPr>
        <w:t>North Africa &amp; Middle East: Update on Civil Unrest in the Region, https://www.crin.org/en/library/news-archive/north-africa-middle-east-update-civil-unrest-region.</w:t>
      </w:r>
    </w:p>
    <w:p w14:paraId="2BA6A991" w14:textId="77777777" w:rsidR="00952099" w:rsidRPr="005E758A" w:rsidRDefault="00952099" w:rsidP="00F02A5C">
      <w:pPr>
        <w:pStyle w:val="a0"/>
        <w:numPr>
          <w:ilvl w:val="0"/>
          <w:numId w:val="141"/>
        </w:numPr>
        <w:ind w:leftChars="0"/>
        <w:jc w:val="both"/>
        <w:rPr>
          <w:rFonts w:ascii="Times New Roman" w:hAnsi="Times New Roman"/>
          <w:sz w:val="32"/>
          <w:szCs w:val="28"/>
        </w:rPr>
      </w:pPr>
      <w:r w:rsidRPr="005E758A">
        <w:rPr>
          <w:rFonts w:ascii="Times New Roman" w:hAnsi="Times New Roman"/>
          <w:smallCaps/>
          <w:sz w:val="28"/>
          <w:szCs w:val="24"/>
        </w:rPr>
        <w:t xml:space="preserve">UNICEF, Implementation Handbook for the Convention on the Rights of the Child </w:t>
      </w:r>
      <w:r w:rsidRPr="005E758A">
        <w:rPr>
          <w:rFonts w:ascii="Times New Roman" w:hAnsi="Times New Roman"/>
          <w:sz w:val="28"/>
          <w:szCs w:val="24"/>
        </w:rPr>
        <w:t>(3d ed. 2007).</w:t>
      </w:r>
    </w:p>
    <w:p w14:paraId="33C3F672" w14:textId="77777777" w:rsidR="00952099" w:rsidRPr="005E758A" w:rsidRDefault="00952099" w:rsidP="00952099"/>
    <w:p w14:paraId="7FD233EC" w14:textId="77777777" w:rsidR="00952099" w:rsidRPr="005E758A" w:rsidRDefault="00952099" w:rsidP="00952099">
      <w:pPr>
        <w:rPr>
          <w:sz w:val="28"/>
          <w:szCs w:val="28"/>
        </w:rPr>
      </w:pPr>
      <w:r w:rsidRPr="005E758A">
        <w:rPr>
          <w:sz w:val="28"/>
          <w:szCs w:val="28"/>
        </w:rPr>
        <w:t>關鍵詞：集會、結社、表意權</w:t>
      </w:r>
    </w:p>
    <w:p w14:paraId="3E1EF3FF" w14:textId="77777777" w:rsidR="00952099" w:rsidRPr="005E758A" w:rsidRDefault="00952099" w:rsidP="00952099">
      <w:pPr>
        <w:pStyle w:val="1"/>
        <w:sectPr w:rsidR="00952099" w:rsidRPr="005E758A" w:rsidSect="00135FC9">
          <w:footerReference w:type="default" r:id="rId16"/>
          <w:footnotePr>
            <w:numRestart w:val="eachSect"/>
          </w:footnotePr>
          <w:endnotePr>
            <w:numFmt w:val="decimal"/>
            <w:numRestart w:val="eachSect"/>
          </w:endnotePr>
          <w:pgSz w:w="11906" w:h="16838"/>
          <w:pgMar w:top="1440" w:right="1797" w:bottom="1440" w:left="1797" w:header="851" w:footer="992" w:gutter="0"/>
          <w:cols w:space="425"/>
          <w:docGrid w:linePitch="360"/>
        </w:sectPr>
      </w:pPr>
    </w:p>
    <w:p w14:paraId="448362DD" w14:textId="77777777" w:rsidR="004F4F78" w:rsidRDefault="004F4F78" w:rsidP="004F4F78">
      <w:pPr>
        <w:pStyle w:val="1"/>
        <w:rPr>
          <w:sz w:val="28"/>
        </w:rPr>
      </w:pPr>
      <w:bookmarkStart w:id="53" w:name="_Toc431072732"/>
      <w:r w:rsidRPr="005E758A">
        <w:lastRenderedPageBreak/>
        <w:t>第</w:t>
      </w:r>
      <w:r w:rsidRPr="005E758A">
        <w:t>16</w:t>
      </w:r>
      <w:r w:rsidRPr="005E758A">
        <w:t>條</w:t>
      </w:r>
      <w:r>
        <w:rPr>
          <w:rFonts w:hint="eastAsia"/>
        </w:rPr>
        <w:t xml:space="preserve">　隱私權</w:t>
      </w:r>
      <w:bookmarkEnd w:id="53"/>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20"/>
      </w:tblGrid>
      <w:tr w:rsidR="004F4F78" w:rsidRPr="005E758A" w14:paraId="0FF2DFE2" w14:textId="77777777" w:rsidTr="002B035C">
        <w:trPr>
          <w:jc w:val="center"/>
        </w:trPr>
        <w:tc>
          <w:tcPr>
            <w:tcW w:w="8220" w:type="dxa"/>
            <w:shd w:val="clear" w:color="auto" w:fill="auto"/>
          </w:tcPr>
          <w:p w14:paraId="7F74A155" w14:textId="77777777" w:rsidR="004F4F78" w:rsidRPr="005E758A" w:rsidRDefault="004F4F78" w:rsidP="002B035C">
            <w:pPr>
              <w:pStyle w:val="a0"/>
              <w:numPr>
                <w:ilvl w:val="0"/>
                <w:numId w:val="43"/>
              </w:numPr>
              <w:snapToGrid w:val="0"/>
              <w:spacing w:before="100" w:beforeAutospacing="1" w:after="100" w:afterAutospacing="1"/>
              <w:ind w:leftChars="0"/>
              <w:jc w:val="both"/>
              <w:rPr>
                <w:rFonts w:ascii="Times New Roman" w:eastAsia="標楷體" w:hAnsi="Times New Roman"/>
                <w:sz w:val="28"/>
                <w:szCs w:val="28"/>
              </w:rPr>
            </w:pPr>
            <w:r w:rsidRPr="005E758A">
              <w:rPr>
                <w:rFonts w:ascii="Times New Roman" w:eastAsia="標楷體" w:hAnsi="Times New Roman"/>
                <w:sz w:val="28"/>
                <w:szCs w:val="28"/>
              </w:rPr>
              <w:t>兒童之隱私、家庭、住家或通訊不得遭受恣意或非法干預，其榮譽與名譽亦不可受非法侵害。</w:t>
            </w:r>
          </w:p>
          <w:p w14:paraId="385E2D0B" w14:textId="77777777" w:rsidR="004F4F78" w:rsidRPr="005E758A" w:rsidRDefault="004F4F78" w:rsidP="002B035C">
            <w:pPr>
              <w:pStyle w:val="a0"/>
              <w:numPr>
                <w:ilvl w:val="0"/>
                <w:numId w:val="43"/>
              </w:numPr>
              <w:snapToGrid w:val="0"/>
              <w:spacing w:before="100" w:beforeAutospacing="1" w:after="100" w:afterAutospacing="1"/>
              <w:ind w:leftChars="0"/>
              <w:jc w:val="both"/>
              <w:rPr>
                <w:rFonts w:ascii="Times New Roman" w:eastAsia="標楷體" w:hAnsi="Times New Roman"/>
              </w:rPr>
            </w:pPr>
            <w:r w:rsidRPr="005E758A">
              <w:rPr>
                <w:rFonts w:ascii="Times New Roman" w:eastAsia="標楷體" w:hAnsi="Times New Roman"/>
                <w:sz w:val="28"/>
                <w:szCs w:val="28"/>
              </w:rPr>
              <w:t>兒童對此等干預或侵害有依法受保障之權利。</w:t>
            </w:r>
          </w:p>
        </w:tc>
      </w:tr>
    </w:tbl>
    <w:p w14:paraId="73838F41" w14:textId="77777777" w:rsidR="004F4F78" w:rsidRPr="004F4F78" w:rsidRDefault="004F4F78" w:rsidP="004F4F78">
      <w:pPr>
        <w:snapToGrid w:val="0"/>
        <w:spacing w:before="100" w:beforeAutospacing="1" w:after="100" w:afterAutospacing="1"/>
        <w:jc w:val="both"/>
        <w:rPr>
          <w:sz w:val="28"/>
        </w:rPr>
      </w:pPr>
    </w:p>
    <w:p w14:paraId="191BAC9F" w14:textId="77777777" w:rsidR="00135FC9" w:rsidRPr="005E758A" w:rsidRDefault="00135FC9" w:rsidP="007119F4">
      <w:pPr>
        <w:pStyle w:val="2"/>
        <w:numPr>
          <w:ilvl w:val="0"/>
          <w:numId w:val="45"/>
        </w:numPr>
      </w:pPr>
      <w:r w:rsidRPr="005E758A">
        <w:t>規範宗旨</w:t>
      </w:r>
    </w:p>
    <w:p w14:paraId="55BA1AEA" w14:textId="77777777" w:rsidR="00135FC9" w:rsidRPr="005E758A" w:rsidRDefault="00135FC9" w:rsidP="00135FC9">
      <w:pPr>
        <w:snapToGrid w:val="0"/>
        <w:spacing w:before="100" w:beforeAutospacing="1" w:after="100" w:afterAutospacing="1"/>
        <w:ind w:firstLineChars="200" w:firstLine="560"/>
        <w:jc w:val="both"/>
        <w:rPr>
          <w:sz w:val="28"/>
        </w:rPr>
      </w:pPr>
      <w:r w:rsidRPr="005E758A">
        <w:rPr>
          <w:sz w:val="28"/>
        </w:rPr>
        <w:t>世界人權宣言第</w:t>
      </w:r>
      <w:r w:rsidRPr="005E758A">
        <w:rPr>
          <w:sz w:val="28"/>
        </w:rPr>
        <w:t>12</w:t>
      </w:r>
      <w:r w:rsidRPr="005E758A">
        <w:rPr>
          <w:sz w:val="28"/>
        </w:rPr>
        <w:t>條及公民與政治權利國際公約第</w:t>
      </w:r>
      <w:r w:rsidRPr="005E758A">
        <w:rPr>
          <w:sz w:val="28"/>
        </w:rPr>
        <w:t>17</w:t>
      </w:r>
      <w:r w:rsidRPr="005E758A">
        <w:rPr>
          <w:sz w:val="28"/>
        </w:rPr>
        <w:t>條對於隱私權有相關規範，「一、任何人之私生活、家庭、住宅或通信，不得無理或非法侵擾，其名譽及信用，亦不得非法破壞。二、對於此種侵擾或破壞，人人有受法律保護之權利。」依照本條所規定的義務，政府應採取立法及其他措施，以禁止這種干擾和破壞，並保障此項權利。</w:t>
      </w:r>
    </w:p>
    <w:p w14:paraId="5FA763F7" w14:textId="77777777" w:rsidR="00135FC9" w:rsidRPr="005E758A" w:rsidRDefault="00135FC9" w:rsidP="00135FC9">
      <w:pPr>
        <w:snapToGrid w:val="0"/>
        <w:spacing w:before="100" w:beforeAutospacing="1" w:after="100" w:afterAutospacing="1"/>
        <w:ind w:firstLineChars="200" w:firstLine="560"/>
        <w:jc w:val="both"/>
        <w:rPr>
          <w:sz w:val="28"/>
          <w:szCs w:val="28"/>
        </w:rPr>
      </w:pPr>
      <w:r w:rsidRPr="005E758A">
        <w:rPr>
          <w:sz w:val="28"/>
          <w:szCs w:val="28"/>
        </w:rPr>
        <w:t>由於兒童一向都被認為是在成長過程中未</w:t>
      </w:r>
      <w:proofErr w:type="gramStart"/>
      <w:r w:rsidRPr="005E758A">
        <w:rPr>
          <w:sz w:val="28"/>
          <w:szCs w:val="28"/>
        </w:rPr>
        <w:t>臻</w:t>
      </w:r>
      <w:proofErr w:type="gramEnd"/>
      <w:r w:rsidRPr="005E758A">
        <w:rPr>
          <w:sz w:val="28"/>
          <w:szCs w:val="28"/>
        </w:rPr>
        <w:t>成熟階段的人，因此其隱私和名譽往往被忽視。本條特別針對此種傾向，強調兒童也是具有完整的人格主體，有不可侵犯的權利領域。</w:t>
      </w:r>
    </w:p>
    <w:p w14:paraId="33B2D638" w14:textId="77777777" w:rsidR="00135FC9" w:rsidRPr="005E758A" w:rsidRDefault="00135FC9" w:rsidP="00135FC9">
      <w:pPr>
        <w:pStyle w:val="2"/>
        <w:rPr>
          <w:szCs w:val="28"/>
        </w:rPr>
      </w:pPr>
      <w:r w:rsidRPr="005E758A">
        <w:rPr>
          <w:szCs w:val="28"/>
        </w:rPr>
        <w:t>條文要義</w:t>
      </w:r>
    </w:p>
    <w:p w14:paraId="6ED0F3DD" w14:textId="77777777" w:rsidR="00135FC9" w:rsidRPr="005E758A" w:rsidRDefault="00135FC9" w:rsidP="00952099">
      <w:pPr>
        <w:pStyle w:val="3"/>
        <w:numPr>
          <w:ilvl w:val="0"/>
          <w:numId w:val="46"/>
        </w:numPr>
        <w:rPr>
          <w:szCs w:val="28"/>
        </w:rPr>
      </w:pPr>
      <w:r w:rsidRPr="005E758A">
        <w:rPr>
          <w:szCs w:val="28"/>
        </w:rPr>
        <w:t>第</w:t>
      </w:r>
      <w:r w:rsidRPr="005E758A">
        <w:rPr>
          <w:szCs w:val="28"/>
        </w:rPr>
        <w:t>16</w:t>
      </w:r>
      <w:r w:rsidRPr="005E758A">
        <w:rPr>
          <w:szCs w:val="28"/>
        </w:rPr>
        <w:t>條第</w:t>
      </w:r>
      <w:r w:rsidRPr="005E758A">
        <w:rPr>
          <w:szCs w:val="28"/>
        </w:rPr>
        <w:t>1</w:t>
      </w:r>
      <w:r w:rsidRPr="005E758A">
        <w:rPr>
          <w:szCs w:val="28"/>
        </w:rPr>
        <w:t>項</w:t>
      </w:r>
    </w:p>
    <w:p w14:paraId="61285719" w14:textId="77777777" w:rsidR="00135FC9" w:rsidRPr="005E758A" w:rsidRDefault="00135FC9" w:rsidP="00135FC9">
      <w:pPr>
        <w:snapToGrid w:val="0"/>
        <w:spacing w:before="100" w:beforeAutospacing="1" w:after="100" w:afterAutospacing="1"/>
        <w:ind w:firstLineChars="200" w:firstLine="560"/>
        <w:jc w:val="both"/>
        <w:rPr>
          <w:sz w:val="28"/>
          <w:szCs w:val="28"/>
        </w:rPr>
      </w:pPr>
      <w:r w:rsidRPr="005E758A">
        <w:rPr>
          <w:sz w:val="28"/>
          <w:szCs w:val="28"/>
        </w:rPr>
        <w:t>所謂隱私權，即獨處的權利</w:t>
      </w:r>
      <w:r w:rsidRPr="005E758A">
        <w:rPr>
          <w:sz w:val="28"/>
          <w:szCs w:val="28"/>
        </w:rPr>
        <w:t>(the right to be alone)</w:t>
      </w:r>
      <w:r w:rsidRPr="005E758A">
        <w:rPr>
          <w:sz w:val="28"/>
          <w:szCs w:val="28"/>
        </w:rPr>
        <w:t>，係指個人私密的資訊不被他人知悉或暴露，否則將導致正常人精神上挫折的一種期待</w:t>
      </w:r>
      <w:r w:rsidRPr="005E758A">
        <w:rPr>
          <w:sz w:val="28"/>
          <w:szCs w:val="28"/>
        </w:rPr>
        <w:t xml:space="preserve"> </w:t>
      </w:r>
      <w:r w:rsidRPr="005E758A">
        <w:rPr>
          <w:sz w:val="28"/>
          <w:szCs w:val="28"/>
        </w:rPr>
        <w:t>。有關兒童之「隱私、家庭、住家或通訊不得遭受恣意或非法干預」，說明如下：</w:t>
      </w:r>
    </w:p>
    <w:p w14:paraId="63A256FC" w14:textId="77777777" w:rsidR="00135FC9" w:rsidRPr="005E758A" w:rsidRDefault="00135FC9" w:rsidP="00135FC9">
      <w:pPr>
        <w:snapToGrid w:val="0"/>
        <w:spacing w:before="100" w:beforeAutospacing="1" w:after="100" w:afterAutospacing="1"/>
        <w:ind w:firstLineChars="200" w:firstLine="560"/>
        <w:jc w:val="both"/>
        <w:rPr>
          <w:sz w:val="28"/>
          <w:szCs w:val="28"/>
        </w:rPr>
      </w:pPr>
      <w:r w:rsidRPr="005E758A">
        <w:rPr>
          <w:sz w:val="28"/>
          <w:szCs w:val="28"/>
        </w:rPr>
        <w:t>家庭一詞，應廣義的加以解釋，包括所有有關締約國社會中所理解的家庭的所有成員，如英文</w:t>
      </w:r>
      <w:r w:rsidRPr="005E758A">
        <w:rPr>
          <w:sz w:val="28"/>
          <w:szCs w:val="28"/>
        </w:rPr>
        <w:t>home</w:t>
      </w:r>
      <w:r w:rsidRPr="005E758A">
        <w:rPr>
          <w:sz w:val="28"/>
          <w:szCs w:val="28"/>
        </w:rPr>
        <w:t>、阿拉伯文</w:t>
      </w:r>
      <w:proofErr w:type="spellStart"/>
      <w:r w:rsidRPr="005E758A">
        <w:rPr>
          <w:sz w:val="28"/>
          <w:szCs w:val="28"/>
        </w:rPr>
        <w:t>manzel</w:t>
      </w:r>
      <w:proofErr w:type="spellEnd"/>
      <w:r w:rsidRPr="005E758A">
        <w:rPr>
          <w:sz w:val="28"/>
          <w:szCs w:val="28"/>
        </w:rPr>
        <w:t>、中文住宅、法文</w:t>
      </w:r>
      <w:r w:rsidRPr="005E758A">
        <w:rPr>
          <w:sz w:val="28"/>
          <w:szCs w:val="28"/>
        </w:rPr>
        <w:t>domicile</w:t>
      </w:r>
      <w:r w:rsidRPr="005E758A">
        <w:rPr>
          <w:sz w:val="28"/>
          <w:szCs w:val="28"/>
        </w:rPr>
        <w:t>、俄文</w:t>
      </w:r>
      <w:proofErr w:type="spellStart"/>
      <w:r w:rsidRPr="005E758A">
        <w:rPr>
          <w:sz w:val="28"/>
          <w:szCs w:val="28"/>
        </w:rPr>
        <w:t>zhilshe</w:t>
      </w:r>
      <w:proofErr w:type="spellEnd"/>
      <w:r w:rsidRPr="005E758A">
        <w:rPr>
          <w:sz w:val="28"/>
          <w:szCs w:val="28"/>
        </w:rPr>
        <w:t>、西班牙文</w:t>
      </w:r>
      <w:proofErr w:type="spellStart"/>
      <w:r w:rsidRPr="005E758A">
        <w:rPr>
          <w:sz w:val="28"/>
          <w:szCs w:val="28"/>
        </w:rPr>
        <w:t>domicilo</w:t>
      </w:r>
      <w:proofErr w:type="spellEnd"/>
      <w:r w:rsidRPr="005E758A">
        <w:rPr>
          <w:sz w:val="28"/>
          <w:szCs w:val="28"/>
        </w:rPr>
        <w:t>的意思是一個人所住或通常工作的地方。在這方面，聯合國人權委員會要求各國在其報告中表示其社會中給予</w:t>
      </w:r>
      <w:r w:rsidRPr="005E758A">
        <w:rPr>
          <w:sz w:val="28"/>
          <w:szCs w:val="28"/>
        </w:rPr>
        <w:t>family</w:t>
      </w:r>
      <w:r w:rsidRPr="005E758A">
        <w:rPr>
          <w:sz w:val="28"/>
          <w:szCs w:val="28"/>
        </w:rPr>
        <w:t>和</w:t>
      </w:r>
      <w:r w:rsidRPr="005E758A">
        <w:rPr>
          <w:sz w:val="28"/>
          <w:szCs w:val="28"/>
        </w:rPr>
        <w:t>home</w:t>
      </w:r>
      <w:r w:rsidRPr="005E758A">
        <w:rPr>
          <w:sz w:val="28"/>
          <w:szCs w:val="28"/>
        </w:rPr>
        <w:t>的定義</w:t>
      </w:r>
      <w:r w:rsidRPr="005E758A">
        <w:rPr>
          <w:rStyle w:val="af3"/>
        </w:rPr>
        <w:endnoteReference w:id="209"/>
      </w:r>
      <w:r w:rsidRPr="005E758A">
        <w:rPr>
          <w:sz w:val="28"/>
          <w:szCs w:val="28"/>
        </w:rPr>
        <w:t>。對部分兒童而言，前開場所應包括安置教養機構、住宿學校、長期醫療照顧機構等</w:t>
      </w:r>
      <w:bookmarkStart w:id="54" w:name="_Ref428954270"/>
      <w:r w:rsidRPr="005E758A">
        <w:rPr>
          <w:rStyle w:val="af3"/>
        </w:rPr>
        <w:endnoteReference w:id="210"/>
      </w:r>
      <w:bookmarkEnd w:id="54"/>
      <w:r w:rsidRPr="005E758A">
        <w:rPr>
          <w:sz w:val="28"/>
          <w:szCs w:val="28"/>
        </w:rPr>
        <w:t>。</w:t>
      </w:r>
    </w:p>
    <w:p w14:paraId="65EFF9E1" w14:textId="77777777" w:rsidR="00135FC9" w:rsidRPr="005E758A" w:rsidRDefault="00135FC9" w:rsidP="00371A18">
      <w:pPr>
        <w:snapToGrid w:val="0"/>
        <w:spacing w:before="100" w:beforeAutospacing="1" w:after="100" w:afterAutospacing="1"/>
        <w:ind w:firstLineChars="200" w:firstLine="560"/>
        <w:jc w:val="both"/>
        <w:rPr>
          <w:sz w:val="28"/>
          <w:szCs w:val="28"/>
        </w:rPr>
      </w:pPr>
      <w:r w:rsidRPr="005E758A">
        <w:rPr>
          <w:sz w:val="28"/>
          <w:szCs w:val="28"/>
        </w:rPr>
        <w:t>為了增強</w:t>
      </w:r>
      <w:r w:rsidR="00371A18" w:rsidRPr="005E758A">
        <w:rPr>
          <w:sz w:val="28"/>
          <w:szCs w:val="28"/>
        </w:rPr>
        <w:t>兒童及</w:t>
      </w:r>
      <w:r w:rsidRPr="005E758A">
        <w:rPr>
          <w:sz w:val="28"/>
          <w:szCs w:val="28"/>
        </w:rPr>
        <w:t>少年的健康和發展，本條鼓勵締約國嚴格尊重兒少的隱私和保密權，包括關於就健康問題提供的規勸和諮詢意見。這類資料只有在得到有關兒少同意的情況下，或者在適用於違反成年人</w:t>
      </w:r>
      <w:r w:rsidRPr="005E758A">
        <w:rPr>
          <w:sz w:val="28"/>
          <w:szCs w:val="28"/>
        </w:rPr>
        <w:lastRenderedPageBreak/>
        <w:t>保密的同樣情況下才可透露，至於被認為具有足夠成熟程度，不需要家長或其</w:t>
      </w:r>
      <w:proofErr w:type="gramStart"/>
      <w:r w:rsidRPr="005E758A">
        <w:rPr>
          <w:sz w:val="28"/>
          <w:szCs w:val="28"/>
        </w:rPr>
        <w:t>他人在場的</w:t>
      </w:r>
      <w:proofErr w:type="gramEnd"/>
      <w:r w:rsidRPr="005E758A">
        <w:rPr>
          <w:sz w:val="28"/>
          <w:szCs w:val="28"/>
        </w:rPr>
        <w:t>情況下接受諮詢意見的少年，應享有隱私權並可要求保密性的服務，包括治療</w:t>
      </w:r>
      <w:r w:rsidRPr="005E758A">
        <w:rPr>
          <w:rStyle w:val="af3"/>
        </w:rPr>
        <w:endnoteReference w:id="211"/>
      </w:r>
      <w:r w:rsidRPr="005E758A">
        <w:rPr>
          <w:sz w:val="28"/>
          <w:szCs w:val="28"/>
        </w:rPr>
        <w:t>。</w:t>
      </w:r>
    </w:p>
    <w:p w14:paraId="42522200" w14:textId="77777777" w:rsidR="00135FC9" w:rsidRPr="005E758A" w:rsidRDefault="00135FC9" w:rsidP="00135FC9">
      <w:pPr>
        <w:snapToGrid w:val="0"/>
        <w:spacing w:before="100" w:beforeAutospacing="1" w:after="100" w:afterAutospacing="1"/>
        <w:ind w:firstLineChars="200" w:firstLine="560"/>
        <w:jc w:val="both"/>
        <w:rPr>
          <w:sz w:val="28"/>
          <w:szCs w:val="28"/>
        </w:rPr>
      </w:pPr>
      <w:r w:rsidRPr="005E758A">
        <w:rPr>
          <w:sz w:val="28"/>
          <w:szCs w:val="28"/>
        </w:rPr>
        <w:t>「非法」或「恣意」一詞的意思是除法律所設想的個案以外不得有干涉之情事。國家授權的干涉必須依據法律，除法律規定外，任何無法律依據之干預皆屬「非法」，但法律本身必須符合公約的規定和目標。而「恣意」之禁止係為確保縱使干預行為有法律依據，但法律規範仍應該符合公約的精神與目的，同時於個別情況下亦應屬合理</w:t>
      </w:r>
      <w:r w:rsidRPr="005E758A">
        <w:rPr>
          <w:rStyle w:val="af3"/>
        </w:rPr>
        <w:endnoteReference w:id="212"/>
      </w:r>
      <w:r w:rsidRPr="005E758A">
        <w:rPr>
          <w:sz w:val="28"/>
          <w:szCs w:val="28"/>
        </w:rPr>
        <w:t>。</w:t>
      </w:r>
    </w:p>
    <w:p w14:paraId="63EF3E1A" w14:textId="77777777" w:rsidR="00135FC9" w:rsidRPr="005E758A" w:rsidRDefault="00135FC9" w:rsidP="00135FC9">
      <w:pPr>
        <w:snapToGrid w:val="0"/>
        <w:spacing w:before="100" w:beforeAutospacing="1" w:after="100" w:afterAutospacing="1"/>
        <w:ind w:firstLineChars="200" w:firstLine="560"/>
        <w:jc w:val="both"/>
        <w:rPr>
          <w:sz w:val="28"/>
          <w:szCs w:val="28"/>
        </w:rPr>
      </w:pPr>
      <w:r w:rsidRPr="005E758A">
        <w:rPr>
          <w:sz w:val="28"/>
          <w:szCs w:val="28"/>
        </w:rPr>
        <w:t>兒童之「榮譽與名譽」不可受非法侵害，包括透過口語或文字（如媒體）所造成的侵害（例如毀謗）。法律應明文保障兒童不受該等侵害</w:t>
      </w:r>
      <w:r w:rsidRPr="005E758A">
        <w:rPr>
          <w:rStyle w:val="af3"/>
        </w:rPr>
        <w:endnoteReference w:id="213"/>
      </w:r>
      <w:r w:rsidRPr="005E758A">
        <w:rPr>
          <w:sz w:val="28"/>
          <w:szCs w:val="28"/>
        </w:rPr>
        <w:t>。</w:t>
      </w:r>
    </w:p>
    <w:p w14:paraId="6C2E5F0F" w14:textId="77777777" w:rsidR="00135FC9" w:rsidRPr="005E758A" w:rsidRDefault="00135FC9" w:rsidP="007119F4">
      <w:pPr>
        <w:pStyle w:val="3"/>
        <w:numPr>
          <w:ilvl w:val="0"/>
          <w:numId w:val="46"/>
        </w:numPr>
        <w:rPr>
          <w:szCs w:val="28"/>
        </w:rPr>
      </w:pPr>
      <w:r w:rsidRPr="005E758A">
        <w:rPr>
          <w:szCs w:val="28"/>
        </w:rPr>
        <w:t>第</w:t>
      </w:r>
      <w:r w:rsidRPr="005E758A">
        <w:rPr>
          <w:szCs w:val="28"/>
        </w:rPr>
        <w:t>16</w:t>
      </w:r>
      <w:r w:rsidRPr="005E758A">
        <w:rPr>
          <w:szCs w:val="28"/>
        </w:rPr>
        <w:t>條第</w:t>
      </w:r>
      <w:r w:rsidRPr="005E758A">
        <w:rPr>
          <w:szCs w:val="28"/>
        </w:rPr>
        <w:t>2</w:t>
      </w:r>
      <w:r w:rsidRPr="005E758A">
        <w:rPr>
          <w:szCs w:val="28"/>
        </w:rPr>
        <w:t>項</w:t>
      </w:r>
      <w:r w:rsidRPr="005E758A">
        <w:rPr>
          <w:rStyle w:val="af3"/>
        </w:rPr>
        <w:endnoteReference w:id="214"/>
      </w:r>
    </w:p>
    <w:p w14:paraId="4A01A6B4" w14:textId="77777777" w:rsidR="00135FC9" w:rsidRPr="005E758A" w:rsidRDefault="00135FC9" w:rsidP="00135FC9">
      <w:pPr>
        <w:snapToGrid w:val="0"/>
        <w:spacing w:before="100" w:beforeAutospacing="1" w:after="100" w:afterAutospacing="1"/>
        <w:ind w:firstLineChars="200" w:firstLine="560"/>
        <w:jc w:val="both"/>
        <w:rPr>
          <w:sz w:val="28"/>
          <w:szCs w:val="28"/>
        </w:rPr>
      </w:pPr>
      <w:r w:rsidRPr="005E758A">
        <w:rPr>
          <w:sz w:val="28"/>
          <w:szCs w:val="28"/>
        </w:rPr>
        <w:t>如前所述，締約國之國內法對於本條權利之保障應符合公約之規範精神與目的，同時於個別情況下亦應屬合理</w:t>
      </w:r>
      <w:r w:rsidRPr="005E758A">
        <w:rPr>
          <w:sz w:val="28"/>
          <w:szCs w:val="28"/>
        </w:rPr>
        <w:t>(reasonable in the particular circumstances)</w:t>
      </w:r>
      <w:r w:rsidRPr="005E758A">
        <w:rPr>
          <w:sz w:val="28"/>
          <w:szCs w:val="28"/>
        </w:rPr>
        <w:t>。當兒童此項權利遭受侵害時應獲得適當之救濟</w:t>
      </w:r>
      <w:r w:rsidRPr="005E758A">
        <w:rPr>
          <w:rStyle w:val="af3"/>
        </w:rPr>
        <w:endnoteReference w:id="215"/>
      </w:r>
      <w:r w:rsidRPr="005E758A">
        <w:rPr>
          <w:sz w:val="28"/>
          <w:szCs w:val="28"/>
        </w:rPr>
        <w:t>。</w:t>
      </w:r>
    </w:p>
    <w:p w14:paraId="3C6522BB" w14:textId="77777777" w:rsidR="00135FC9" w:rsidRPr="005E758A" w:rsidRDefault="00135FC9" w:rsidP="00135FC9">
      <w:pPr>
        <w:pStyle w:val="2"/>
        <w:rPr>
          <w:szCs w:val="28"/>
        </w:rPr>
      </w:pPr>
      <w:r w:rsidRPr="005E758A">
        <w:rPr>
          <w:szCs w:val="28"/>
        </w:rPr>
        <w:t>案例介紹</w:t>
      </w:r>
    </w:p>
    <w:p w14:paraId="0EF22386" w14:textId="77777777" w:rsidR="00135FC9" w:rsidRPr="005E758A" w:rsidRDefault="00135FC9" w:rsidP="007119F4">
      <w:pPr>
        <w:pStyle w:val="3"/>
        <w:numPr>
          <w:ilvl w:val="0"/>
          <w:numId w:val="47"/>
        </w:numPr>
        <w:rPr>
          <w:szCs w:val="28"/>
        </w:rPr>
      </w:pPr>
      <w:r w:rsidRPr="005E758A">
        <w:rPr>
          <w:szCs w:val="28"/>
        </w:rPr>
        <w:t>2011</w:t>
      </w:r>
      <w:r w:rsidRPr="005E758A">
        <w:rPr>
          <w:szCs w:val="28"/>
        </w:rPr>
        <w:t>年阿根廷</w:t>
      </w:r>
      <w:r w:rsidR="001E36B3" w:rsidRPr="005E758A">
        <w:rPr>
          <w:szCs w:val="28"/>
        </w:rPr>
        <w:t>最高法院</w:t>
      </w:r>
      <w:r w:rsidRPr="005E758A">
        <w:rPr>
          <w:szCs w:val="28"/>
        </w:rPr>
        <w:t>兒童隱私權案：</w:t>
      </w:r>
      <w:r w:rsidRPr="005E758A">
        <w:rPr>
          <w:szCs w:val="28"/>
        </w:rPr>
        <w:t>V. 24 XLVII, “</w:t>
      </w:r>
      <w:proofErr w:type="spellStart"/>
      <w:r w:rsidRPr="005E758A">
        <w:rPr>
          <w:szCs w:val="28"/>
        </w:rPr>
        <w:t>Restitución</w:t>
      </w:r>
      <w:proofErr w:type="spellEnd"/>
      <w:r w:rsidRPr="005E758A">
        <w:rPr>
          <w:szCs w:val="28"/>
        </w:rPr>
        <w:t xml:space="preserve"> de </w:t>
      </w:r>
      <w:proofErr w:type="spellStart"/>
      <w:r w:rsidRPr="005E758A">
        <w:rPr>
          <w:szCs w:val="28"/>
        </w:rPr>
        <w:t>Menores</w:t>
      </w:r>
      <w:proofErr w:type="spellEnd"/>
      <w:r w:rsidRPr="005E758A">
        <w:rPr>
          <w:szCs w:val="28"/>
        </w:rPr>
        <w:t xml:space="preserve"> - </w:t>
      </w:r>
      <w:proofErr w:type="spellStart"/>
      <w:r w:rsidRPr="005E758A">
        <w:rPr>
          <w:szCs w:val="28"/>
        </w:rPr>
        <w:t>Ejecución</w:t>
      </w:r>
      <w:proofErr w:type="spellEnd"/>
      <w:r w:rsidRPr="005E758A">
        <w:rPr>
          <w:szCs w:val="28"/>
        </w:rPr>
        <w:t xml:space="preserve"> de </w:t>
      </w:r>
      <w:proofErr w:type="spellStart"/>
      <w:r w:rsidRPr="005E758A">
        <w:rPr>
          <w:szCs w:val="28"/>
        </w:rPr>
        <w:t>Sentencia</w:t>
      </w:r>
      <w:proofErr w:type="spellEnd"/>
      <w:r w:rsidRPr="005E758A">
        <w:rPr>
          <w:szCs w:val="28"/>
        </w:rPr>
        <w:t>”</w:t>
      </w:r>
      <w:r w:rsidRPr="005E758A">
        <w:rPr>
          <w:rStyle w:val="af3"/>
        </w:rPr>
        <w:endnoteReference w:id="216"/>
      </w:r>
    </w:p>
    <w:p w14:paraId="7A497902" w14:textId="77777777" w:rsidR="00135FC9" w:rsidRPr="005E758A" w:rsidRDefault="00135FC9" w:rsidP="00135FC9">
      <w:pPr>
        <w:snapToGrid w:val="0"/>
        <w:spacing w:before="100" w:beforeAutospacing="1" w:after="100" w:afterAutospacing="1"/>
        <w:ind w:firstLineChars="200" w:firstLine="560"/>
        <w:jc w:val="both"/>
        <w:rPr>
          <w:sz w:val="28"/>
          <w:szCs w:val="28"/>
        </w:rPr>
      </w:pPr>
      <w:r w:rsidRPr="005E758A">
        <w:rPr>
          <w:sz w:val="28"/>
          <w:szCs w:val="28"/>
        </w:rPr>
        <w:t>一位住在法國的父親向法國的法院請求返還其在阿根廷的親生子。在訴訟程序進行中，這位父親公開地發表</w:t>
      </w:r>
      <w:r w:rsidR="001E36B3" w:rsidRPr="005E758A">
        <w:rPr>
          <w:sz w:val="28"/>
          <w:szCs w:val="28"/>
        </w:rPr>
        <w:t>其子的照片、想法等等資訊在各個網站。前審</w:t>
      </w:r>
      <w:r w:rsidRPr="005E758A">
        <w:rPr>
          <w:sz w:val="28"/>
          <w:szCs w:val="28"/>
        </w:rPr>
        <w:t>法院認為，公開這些隱私的資訊乃侵犯了該名兒童的權利，而該權利在</w:t>
      </w:r>
      <w:r w:rsidR="00352716" w:rsidRPr="005E758A">
        <w:rPr>
          <w:sz w:val="28"/>
          <w:szCs w:val="28"/>
        </w:rPr>
        <w:t>兒童權利公約</w:t>
      </w:r>
      <w:r w:rsidRPr="005E758A">
        <w:rPr>
          <w:sz w:val="28"/>
          <w:szCs w:val="28"/>
        </w:rPr>
        <w:t>及國內外法律</w:t>
      </w:r>
      <w:r w:rsidR="00352716" w:rsidRPr="005E758A">
        <w:rPr>
          <w:sz w:val="28"/>
          <w:szCs w:val="28"/>
        </w:rPr>
        <w:t>都</w:t>
      </w:r>
      <w:r w:rsidRPr="005E758A">
        <w:rPr>
          <w:sz w:val="28"/>
          <w:szCs w:val="28"/>
        </w:rPr>
        <w:t>有相關保護的規定。</w:t>
      </w:r>
    </w:p>
    <w:p w14:paraId="6FB43DCE" w14:textId="77777777" w:rsidR="00135FC9" w:rsidRPr="005E758A" w:rsidRDefault="001E36B3" w:rsidP="00352716">
      <w:pPr>
        <w:snapToGrid w:val="0"/>
        <w:spacing w:before="100" w:beforeAutospacing="1" w:after="100" w:afterAutospacing="1"/>
        <w:ind w:firstLineChars="200" w:firstLine="560"/>
        <w:jc w:val="both"/>
        <w:rPr>
          <w:sz w:val="28"/>
          <w:szCs w:val="28"/>
        </w:rPr>
      </w:pPr>
      <w:r w:rsidRPr="005E758A">
        <w:rPr>
          <w:sz w:val="28"/>
          <w:szCs w:val="28"/>
        </w:rPr>
        <w:t>最高法院維持了前審</w:t>
      </w:r>
      <w:r w:rsidR="00135FC9" w:rsidRPr="005E758A">
        <w:rPr>
          <w:sz w:val="28"/>
          <w:szCs w:val="28"/>
        </w:rPr>
        <w:t>法院的判決，認為該父親侵害其子的隱私權，且將此類資訊公開在網路亦違反兒童的最佳利益。</w:t>
      </w:r>
      <w:r w:rsidR="00352716" w:rsidRPr="005E758A">
        <w:rPr>
          <w:sz w:val="28"/>
          <w:szCs w:val="28"/>
        </w:rPr>
        <w:t>法院認為，</w:t>
      </w:r>
      <w:r w:rsidR="00135FC9" w:rsidRPr="005E758A">
        <w:rPr>
          <w:sz w:val="28"/>
          <w:szCs w:val="28"/>
        </w:rPr>
        <w:t>在憲法或國際及區域性相關的人權文件裡，包括了</w:t>
      </w:r>
      <w:r w:rsidR="00F060A3" w:rsidRPr="005E758A">
        <w:rPr>
          <w:sz w:val="28"/>
          <w:szCs w:val="28"/>
        </w:rPr>
        <w:t>兒童權利公約</w:t>
      </w:r>
      <w:r w:rsidR="00135FC9" w:rsidRPr="005E758A">
        <w:rPr>
          <w:sz w:val="28"/>
          <w:szCs w:val="28"/>
        </w:rPr>
        <w:t>，</w:t>
      </w:r>
      <w:proofErr w:type="gramStart"/>
      <w:r w:rsidR="00135FC9" w:rsidRPr="005E758A">
        <w:rPr>
          <w:sz w:val="28"/>
          <w:szCs w:val="28"/>
        </w:rPr>
        <w:t>對兒童有權</w:t>
      </w:r>
      <w:proofErr w:type="gramEnd"/>
      <w:r w:rsidR="00135FC9" w:rsidRPr="005E758A">
        <w:rPr>
          <w:sz w:val="28"/>
          <w:szCs w:val="28"/>
        </w:rPr>
        <w:t>維護自己的私生活有所規定。而公佈私生活和特定資訊</w:t>
      </w:r>
      <w:r w:rsidR="002A5397" w:rsidRPr="005E758A">
        <w:rPr>
          <w:sz w:val="28"/>
          <w:szCs w:val="28"/>
        </w:rPr>
        <w:t>明顯地</w:t>
      </w:r>
      <w:r w:rsidR="00135FC9" w:rsidRPr="005E758A">
        <w:rPr>
          <w:sz w:val="28"/>
          <w:szCs w:val="28"/>
        </w:rPr>
        <w:t>侵害兒童的隱私權，儘管這些資訊是經過兒童同意後公開，若違反兒童的最佳利益時仍不被允許。</w:t>
      </w:r>
    </w:p>
    <w:p w14:paraId="70B4003E" w14:textId="77777777" w:rsidR="00135FC9" w:rsidRPr="005E758A" w:rsidRDefault="00135FC9" w:rsidP="007119F4">
      <w:pPr>
        <w:pStyle w:val="3"/>
        <w:numPr>
          <w:ilvl w:val="0"/>
          <w:numId w:val="47"/>
        </w:numPr>
        <w:rPr>
          <w:szCs w:val="28"/>
        </w:rPr>
      </w:pPr>
      <w:r w:rsidRPr="005E758A">
        <w:rPr>
          <w:szCs w:val="28"/>
        </w:rPr>
        <w:t>2004</w:t>
      </w:r>
      <w:r w:rsidRPr="005E758A">
        <w:rPr>
          <w:szCs w:val="28"/>
        </w:rPr>
        <w:t>年紐西蘭</w:t>
      </w:r>
      <w:r w:rsidR="001F304A" w:rsidRPr="005E758A">
        <w:rPr>
          <w:szCs w:val="28"/>
        </w:rPr>
        <w:t>上訴法院</w:t>
      </w:r>
      <w:r w:rsidRPr="005E758A">
        <w:rPr>
          <w:szCs w:val="28"/>
        </w:rPr>
        <w:t>名人請求其子女隱私案：</w:t>
      </w:r>
      <w:r w:rsidRPr="005E758A">
        <w:rPr>
          <w:szCs w:val="28"/>
        </w:rPr>
        <w:t xml:space="preserve">Hosking and </w:t>
      </w:r>
      <w:r w:rsidRPr="005E758A">
        <w:rPr>
          <w:szCs w:val="28"/>
        </w:rPr>
        <w:lastRenderedPageBreak/>
        <w:t xml:space="preserve">Hosking v. </w:t>
      </w:r>
      <w:proofErr w:type="spellStart"/>
      <w:r w:rsidRPr="005E758A">
        <w:rPr>
          <w:szCs w:val="28"/>
        </w:rPr>
        <w:t>Runting</w:t>
      </w:r>
      <w:proofErr w:type="spellEnd"/>
      <w:r w:rsidRPr="005E758A">
        <w:rPr>
          <w:szCs w:val="28"/>
        </w:rPr>
        <w:t xml:space="preserve"> and Pacific Magazines NZ Ltd</w:t>
      </w:r>
      <w:r w:rsidRPr="005E758A">
        <w:rPr>
          <w:rStyle w:val="af3"/>
        </w:rPr>
        <w:endnoteReference w:id="217"/>
      </w:r>
    </w:p>
    <w:p w14:paraId="447A46D4" w14:textId="77777777" w:rsidR="00135FC9" w:rsidRPr="005E758A" w:rsidRDefault="00352716" w:rsidP="00135FC9">
      <w:pPr>
        <w:snapToGrid w:val="0"/>
        <w:spacing w:before="100" w:beforeAutospacing="1" w:after="100" w:afterAutospacing="1"/>
        <w:ind w:firstLineChars="200" w:firstLine="560"/>
        <w:jc w:val="both"/>
        <w:rPr>
          <w:sz w:val="28"/>
          <w:szCs w:val="28"/>
        </w:rPr>
      </w:pPr>
      <w:r w:rsidRPr="005E758A">
        <w:rPr>
          <w:sz w:val="28"/>
          <w:szCs w:val="28"/>
        </w:rPr>
        <w:t>霍斯金先生是一個家喻戶曉的電視名人，他要求紐西蘭的高等</w:t>
      </w:r>
      <w:r w:rsidR="00135FC9" w:rsidRPr="005E758A">
        <w:rPr>
          <w:sz w:val="28"/>
          <w:szCs w:val="28"/>
        </w:rPr>
        <w:t>法院防止攝影師或雜誌出版社在他的子女</w:t>
      </w:r>
      <w:r w:rsidR="00EA4CCF" w:rsidRPr="005E758A">
        <w:rPr>
          <w:sz w:val="28"/>
          <w:szCs w:val="28"/>
        </w:rPr>
        <w:t>滿</w:t>
      </w:r>
      <w:r w:rsidR="00EA2872" w:rsidRPr="005E758A">
        <w:rPr>
          <w:sz w:val="28"/>
          <w:szCs w:val="28"/>
        </w:rPr>
        <w:t>18</w:t>
      </w:r>
      <w:r w:rsidR="00135FC9" w:rsidRPr="005E758A">
        <w:rPr>
          <w:sz w:val="28"/>
          <w:szCs w:val="28"/>
        </w:rPr>
        <w:t>歲以前拍攝及出版他們的照片。紐西蘭法院駁回霍斯金先生的請求，其理由為攝影師未侵害小孩的隱私權，因為攝影師是在公開場合拍攝</w:t>
      </w:r>
      <w:r w:rsidRPr="005E758A">
        <w:rPr>
          <w:sz w:val="28"/>
          <w:szCs w:val="28"/>
        </w:rPr>
        <w:t>。</w:t>
      </w:r>
      <w:r w:rsidR="00135FC9" w:rsidRPr="005E758A">
        <w:rPr>
          <w:sz w:val="28"/>
          <w:szCs w:val="28"/>
        </w:rPr>
        <w:t>霍斯金先生</w:t>
      </w:r>
      <w:r w:rsidRPr="005E758A">
        <w:rPr>
          <w:sz w:val="28"/>
          <w:szCs w:val="28"/>
        </w:rPr>
        <w:t>提起</w:t>
      </w:r>
      <w:r w:rsidR="00135FC9" w:rsidRPr="005E758A">
        <w:rPr>
          <w:sz w:val="28"/>
          <w:szCs w:val="28"/>
        </w:rPr>
        <w:t>上訴，主張人民於其隱私權受侵害之際應可提起訴訟</w:t>
      </w:r>
      <w:r w:rsidRPr="005E758A">
        <w:rPr>
          <w:sz w:val="28"/>
          <w:szCs w:val="28"/>
        </w:rPr>
        <w:t>救濟</w:t>
      </w:r>
      <w:r w:rsidR="00135FC9" w:rsidRPr="005E758A">
        <w:rPr>
          <w:sz w:val="28"/>
          <w:szCs w:val="28"/>
        </w:rPr>
        <w:t>。</w:t>
      </w:r>
    </w:p>
    <w:p w14:paraId="21FC1A0B" w14:textId="77777777" w:rsidR="00135FC9" w:rsidRPr="005E758A" w:rsidRDefault="00E23CBA" w:rsidP="00EA2872">
      <w:pPr>
        <w:snapToGrid w:val="0"/>
        <w:spacing w:before="100" w:beforeAutospacing="1" w:after="100" w:afterAutospacing="1"/>
        <w:ind w:firstLineChars="200" w:firstLine="560"/>
        <w:jc w:val="both"/>
        <w:rPr>
          <w:sz w:val="28"/>
          <w:szCs w:val="28"/>
        </w:rPr>
      </w:pPr>
      <w:r w:rsidRPr="005E758A">
        <w:rPr>
          <w:sz w:val="28"/>
          <w:szCs w:val="28"/>
        </w:rPr>
        <w:t>法院確認在紐西蘭的人民若有隱私受到侵害可以提起訴訟請求救濟。</w:t>
      </w:r>
      <w:r w:rsidR="00135FC9" w:rsidRPr="005E758A">
        <w:rPr>
          <w:sz w:val="28"/>
          <w:szCs w:val="28"/>
        </w:rPr>
        <w:t>普通法須</w:t>
      </w:r>
      <w:r w:rsidR="00EA2872" w:rsidRPr="005E758A">
        <w:rPr>
          <w:sz w:val="28"/>
          <w:szCs w:val="28"/>
        </w:rPr>
        <w:t>隨著紐西蘭在國際法下的義務</w:t>
      </w:r>
      <w:r w:rsidR="00135FC9" w:rsidRPr="005E758A">
        <w:rPr>
          <w:sz w:val="28"/>
          <w:szCs w:val="28"/>
        </w:rPr>
        <w:t>持續性地發展</w:t>
      </w:r>
      <w:r w:rsidR="00EA2872" w:rsidRPr="005E758A">
        <w:rPr>
          <w:sz w:val="28"/>
          <w:szCs w:val="28"/>
        </w:rPr>
        <w:t>，</w:t>
      </w:r>
      <w:r w:rsidR="00135FC9" w:rsidRPr="005E758A">
        <w:rPr>
          <w:sz w:val="28"/>
          <w:szCs w:val="28"/>
        </w:rPr>
        <w:t>包括</w:t>
      </w:r>
      <w:r w:rsidR="00280DE5" w:rsidRPr="005E758A">
        <w:rPr>
          <w:sz w:val="28"/>
          <w:szCs w:val="28"/>
        </w:rPr>
        <w:t>兒童權利公約</w:t>
      </w:r>
      <w:r w:rsidR="00EA2872" w:rsidRPr="005E758A">
        <w:rPr>
          <w:sz w:val="28"/>
          <w:szCs w:val="28"/>
        </w:rPr>
        <w:t>在內的數個國際文件均確認人人有隱私權</w:t>
      </w:r>
      <w:r w:rsidR="00135FC9" w:rsidRPr="005E758A">
        <w:rPr>
          <w:sz w:val="28"/>
          <w:szCs w:val="28"/>
        </w:rPr>
        <w:t>，在本案，法院認為其隱私未受到侵害</w:t>
      </w:r>
      <w:r w:rsidR="00EA2872" w:rsidRPr="005E758A">
        <w:rPr>
          <w:sz w:val="28"/>
          <w:szCs w:val="28"/>
        </w:rPr>
        <w:t>，</w:t>
      </w:r>
      <w:r w:rsidR="00135FC9" w:rsidRPr="005E758A">
        <w:rPr>
          <w:sz w:val="28"/>
          <w:szCs w:val="28"/>
        </w:rPr>
        <w:t>照片</w:t>
      </w:r>
      <w:r w:rsidR="00EA2872" w:rsidRPr="005E758A">
        <w:rPr>
          <w:sz w:val="28"/>
          <w:szCs w:val="28"/>
        </w:rPr>
        <w:t>因此可以出版。法院認</w:t>
      </w:r>
      <w:r w:rsidRPr="005E758A">
        <w:rPr>
          <w:sz w:val="28"/>
          <w:szCs w:val="28"/>
        </w:rPr>
        <w:t>為兒童的隱私權保護並非絕對，在子女或其代理人要成功主張其隱私權受到侵害必須滿足這兩</w:t>
      </w:r>
      <w:proofErr w:type="gramStart"/>
      <w:r w:rsidRPr="005E758A">
        <w:rPr>
          <w:sz w:val="28"/>
          <w:szCs w:val="28"/>
        </w:rPr>
        <w:t>個</w:t>
      </w:r>
      <w:proofErr w:type="gramEnd"/>
      <w:r w:rsidRPr="005E758A">
        <w:rPr>
          <w:sz w:val="28"/>
          <w:szCs w:val="28"/>
        </w:rPr>
        <w:t>標準</w:t>
      </w:r>
      <w:r w:rsidR="00EA2872" w:rsidRPr="005E758A">
        <w:rPr>
          <w:sz w:val="28"/>
          <w:szCs w:val="28"/>
        </w:rPr>
        <w:t>：</w:t>
      </w:r>
      <w:r w:rsidR="00135FC9" w:rsidRPr="005E758A">
        <w:rPr>
          <w:sz w:val="28"/>
          <w:szCs w:val="28"/>
        </w:rPr>
        <w:t>(1)</w:t>
      </w:r>
      <w:r w:rsidR="00EA2872" w:rsidRPr="005E758A">
        <w:rPr>
          <w:sz w:val="28"/>
          <w:szCs w:val="28"/>
        </w:rPr>
        <w:t>資訊取得之處在</w:t>
      </w:r>
      <w:r w:rsidR="00135FC9" w:rsidRPr="005E758A">
        <w:rPr>
          <w:sz w:val="28"/>
          <w:szCs w:val="28"/>
        </w:rPr>
        <w:t>合理的隱私期待</w:t>
      </w:r>
      <w:r w:rsidR="00EA2872" w:rsidRPr="005E758A">
        <w:rPr>
          <w:sz w:val="28"/>
          <w:szCs w:val="28"/>
        </w:rPr>
        <w:t>範圍內</w:t>
      </w:r>
      <w:proofErr w:type="gramStart"/>
      <w:r w:rsidR="00EA2872" w:rsidRPr="005E758A">
        <w:rPr>
          <w:sz w:val="28"/>
          <w:szCs w:val="28"/>
        </w:rPr>
        <w:t>（</w:t>
      </w:r>
      <w:proofErr w:type="gramEnd"/>
      <w:r w:rsidR="00135FC9" w:rsidRPr="005E758A">
        <w:rPr>
          <w:sz w:val="28"/>
          <w:szCs w:val="28"/>
        </w:rPr>
        <w:t>例如</w:t>
      </w:r>
      <w:r w:rsidR="00EA2872" w:rsidRPr="005E758A">
        <w:rPr>
          <w:sz w:val="28"/>
          <w:szCs w:val="28"/>
        </w:rPr>
        <w:t>：</w:t>
      </w:r>
      <w:r w:rsidR="00135FC9" w:rsidRPr="005E758A">
        <w:rPr>
          <w:sz w:val="28"/>
          <w:szCs w:val="28"/>
        </w:rPr>
        <w:t>家裡</w:t>
      </w:r>
      <w:proofErr w:type="gramStart"/>
      <w:r w:rsidR="00EA2872" w:rsidRPr="005E758A">
        <w:rPr>
          <w:sz w:val="28"/>
          <w:szCs w:val="28"/>
        </w:rPr>
        <w:t>）</w:t>
      </w:r>
      <w:proofErr w:type="gramEnd"/>
      <w:r w:rsidR="00280DE5" w:rsidRPr="005E758A">
        <w:rPr>
          <w:sz w:val="28"/>
          <w:szCs w:val="28"/>
        </w:rPr>
        <w:t>；</w:t>
      </w:r>
      <w:r w:rsidR="00135FC9" w:rsidRPr="005E758A">
        <w:rPr>
          <w:sz w:val="28"/>
          <w:szCs w:val="28"/>
        </w:rPr>
        <w:t>(2)</w:t>
      </w:r>
      <w:r w:rsidRPr="005E758A">
        <w:rPr>
          <w:sz w:val="28"/>
          <w:szCs w:val="28"/>
        </w:rPr>
        <w:t>就理性第三者角度而言，</w:t>
      </w:r>
      <w:r w:rsidR="00EA2872" w:rsidRPr="005E758A">
        <w:rPr>
          <w:sz w:val="28"/>
          <w:szCs w:val="28"/>
        </w:rPr>
        <w:t>公開該等資訊具嚴重冒犯性</w:t>
      </w:r>
      <w:r w:rsidR="00280DE5" w:rsidRPr="005E758A">
        <w:rPr>
          <w:sz w:val="28"/>
          <w:szCs w:val="28"/>
        </w:rPr>
        <w:t>。</w:t>
      </w:r>
      <w:r w:rsidR="00135FC9" w:rsidRPr="005E758A">
        <w:rPr>
          <w:sz w:val="28"/>
          <w:szCs w:val="28"/>
        </w:rPr>
        <w:t>。</w:t>
      </w:r>
    </w:p>
    <w:p w14:paraId="5F7FE878" w14:textId="77777777" w:rsidR="00135FC9" w:rsidRPr="005E758A" w:rsidRDefault="00135FC9" w:rsidP="00135FC9">
      <w:pPr>
        <w:snapToGrid w:val="0"/>
        <w:spacing w:before="100" w:beforeAutospacing="1" w:after="100" w:afterAutospacing="1"/>
        <w:ind w:firstLineChars="200" w:firstLine="560"/>
        <w:jc w:val="both"/>
        <w:rPr>
          <w:sz w:val="28"/>
          <w:szCs w:val="28"/>
        </w:rPr>
      </w:pPr>
      <w:r w:rsidRPr="005E758A">
        <w:rPr>
          <w:sz w:val="28"/>
          <w:szCs w:val="28"/>
        </w:rPr>
        <w:t>法院</w:t>
      </w:r>
      <w:r w:rsidR="00E23CBA" w:rsidRPr="005E758A">
        <w:rPr>
          <w:sz w:val="28"/>
          <w:szCs w:val="28"/>
        </w:rPr>
        <w:t>指出</w:t>
      </w:r>
      <w:r w:rsidRPr="005E758A">
        <w:rPr>
          <w:sz w:val="28"/>
          <w:szCs w:val="28"/>
        </w:rPr>
        <w:t>個人隱私權的保護必須和人民的言論自由權衡，即使兒童基於其易受傷害的特性而給予特別考量，但應該在特定的情形下，才能以</w:t>
      </w:r>
      <w:r w:rsidR="004E57E5" w:rsidRPr="005E758A">
        <w:rPr>
          <w:sz w:val="28"/>
          <w:szCs w:val="28"/>
        </w:rPr>
        <w:t>兒童的隱私權限制他人的言論自由。因此，兒童或其法定代理人若要</w:t>
      </w:r>
      <w:r w:rsidRPr="005E758A">
        <w:rPr>
          <w:sz w:val="28"/>
          <w:szCs w:val="28"/>
        </w:rPr>
        <w:t>主張其隱私權受侵害</w:t>
      </w:r>
      <w:r w:rsidR="004E57E5" w:rsidRPr="005E758A">
        <w:rPr>
          <w:sz w:val="28"/>
          <w:szCs w:val="28"/>
        </w:rPr>
        <w:t>，</w:t>
      </w:r>
      <w:r w:rsidRPr="005E758A">
        <w:rPr>
          <w:sz w:val="28"/>
          <w:szCs w:val="28"/>
        </w:rPr>
        <w:t>必須</w:t>
      </w:r>
      <w:r w:rsidR="004E57E5" w:rsidRPr="005E758A">
        <w:rPr>
          <w:sz w:val="28"/>
          <w:szCs w:val="28"/>
        </w:rPr>
        <w:t>滿足上開兩項要件，</w:t>
      </w:r>
      <w:r w:rsidRPr="005E758A">
        <w:rPr>
          <w:sz w:val="28"/>
          <w:szCs w:val="28"/>
        </w:rPr>
        <w:t>法院</w:t>
      </w:r>
      <w:r w:rsidR="004E57E5" w:rsidRPr="005E758A">
        <w:rPr>
          <w:sz w:val="28"/>
          <w:szCs w:val="28"/>
        </w:rPr>
        <w:t>並表示</w:t>
      </w:r>
      <w:r w:rsidRPr="005E758A">
        <w:rPr>
          <w:sz w:val="28"/>
          <w:szCs w:val="28"/>
        </w:rPr>
        <w:t>這</w:t>
      </w:r>
      <w:r w:rsidR="009E2063" w:rsidRPr="005E758A">
        <w:rPr>
          <w:sz w:val="28"/>
          <w:szCs w:val="28"/>
        </w:rPr>
        <w:t>套</w:t>
      </w:r>
      <w:r w:rsidRPr="005E758A">
        <w:rPr>
          <w:sz w:val="28"/>
          <w:szCs w:val="28"/>
        </w:rPr>
        <w:t>標準和</w:t>
      </w:r>
      <w:r w:rsidR="00280DE5" w:rsidRPr="005E758A">
        <w:rPr>
          <w:sz w:val="28"/>
          <w:szCs w:val="28"/>
        </w:rPr>
        <w:t>兒童權利公約</w:t>
      </w:r>
      <w:r w:rsidRPr="005E758A">
        <w:rPr>
          <w:sz w:val="28"/>
          <w:szCs w:val="28"/>
        </w:rPr>
        <w:t>相關規定是一致的。</w:t>
      </w:r>
      <w:r w:rsidR="009E2063" w:rsidRPr="005E758A">
        <w:rPr>
          <w:sz w:val="28"/>
          <w:szCs w:val="28"/>
        </w:rPr>
        <w:t>本</w:t>
      </w:r>
      <w:r w:rsidRPr="005E758A">
        <w:rPr>
          <w:sz w:val="28"/>
          <w:szCs w:val="28"/>
        </w:rPr>
        <w:t>案中，霍斯金先</w:t>
      </w:r>
      <w:r w:rsidR="009E2063" w:rsidRPr="005E758A">
        <w:rPr>
          <w:sz w:val="28"/>
          <w:szCs w:val="28"/>
        </w:rPr>
        <w:t>生子女們的照片是在公開場合被拍攝，故其沒有合理的隱私期待，又公開這照片對理性第三者而言並無具</w:t>
      </w:r>
      <w:r w:rsidRPr="005E758A">
        <w:rPr>
          <w:sz w:val="28"/>
          <w:szCs w:val="28"/>
        </w:rPr>
        <w:t>嚴重冒犯</w:t>
      </w:r>
      <w:r w:rsidR="009E2063" w:rsidRPr="005E758A">
        <w:rPr>
          <w:sz w:val="28"/>
          <w:szCs w:val="28"/>
        </w:rPr>
        <w:t>性</w:t>
      </w:r>
      <w:r w:rsidRPr="005E758A">
        <w:rPr>
          <w:sz w:val="28"/>
          <w:szCs w:val="28"/>
        </w:rPr>
        <w:t>。</w:t>
      </w:r>
      <w:proofErr w:type="gramStart"/>
      <w:r w:rsidRPr="005E758A">
        <w:rPr>
          <w:sz w:val="28"/>
          <w:szCs w:val="28"/>
        </w:rPr>
        <w:t>此外，</w:t>
      </w:r>
      <w:proofErr w:type="gramEnd"/>
      <w:r w:rsidRPr="005E758A">
        <w:rPr>
          <w:sz w:val="28"/>
          <w:szCs w:val="28"/>
        </w:rPr>
        <w:t>也沒有證據顯示這些照片出版</w:t>
      </w:r>
      <w:r w:rsidR="009E2063" w:rsidRPr="005E758A">
        <w:rPr>
          <w:sz w:val="28"/>
          <w:szCs w:val="28"/>
        </w:rPr>
        <w:t>將</w:t>
      </w:r>
      <w:r w:rsidRPr="005E758A">
        <w:rPr>
          <w:sz w:val="28"/>
          <w:szCs w:val="28"/>
        </w:rPr>
        <w:t>對兒童</w:t>
      </w:r>
      <w:r w:rsidR="009E2063" w:rsidRPr="005E758A">
        <w:rPr>
          <w:sz w:val="28"/>
          <w:szCs w:val="28"/>
        </w:rPr>
        <w:t>帶來</w:t>
      </w:r>
      <w:r w:rsidRPr="005E758A">
        <w:rPr>
          <w:sz w:val="28"/>
          <w:szCs w:val="28"/>
        </w:rPr>
        <w:t>重大的風險。</w:t>
      </w:r>
      <w:r w:rsidR="009E2063" w:rsidRPr="005E758A">
        <w:rPr>
          <w:sz w:val="28"/>
          <w:szCs w:val="28"/>
        </w:rPr>
        <w:t>上訴</w:t>
      </w:r>
      <w:r w:rsidR="00280DE5" w:rsidRPr="005E758A">
        <w:rPr>
          <w:sz w:val="28"/>
          <w:szCs w:val="28"/>
        </w:rPr>
        <w:t>法院就此部分維持下級法院的判決。</w:t>
      </w:r>
    </w:p>
    <w:p w14:paraId="49062094" w14:textId="77777777" w:rsidR="00135FC9" w:rsidRPr="005E758A" w:rsidRDefault="00135FC9" w:rsidP="00135FC9">
      <w:pPr>
        <w:pStyle w:val="2"/>
        <w:rPr>
          <w:szCs w:val="28"/>
        </w:rPr>
      </w:pPr>
      <w:r w:rsidRPr="005E758A">
        <w:rPr>
          <w:szCs w:val="28"/>
        </w:rPr>
        <w:t>綜合分析</w:t>
      </w:r>
    </w:p>
    <w:p w14:paraId="0B1CB791" w14:textId="77777777" w:rsidR="00135FC9" w:rsidRPr="005E758A" w:rsidRDefault="00135FC9" w:rsidP="00135FC9">
      <w:pPr>
        <w:snapToGrid w:val="0"/>
        <w:spacing w:before="100" w:beforeAutospacing="1" w:after="100" w:afterAutospacing="1"/>
        <w:ind w:firstLineChars="200" w:firstLine="560"/>
        <w:jc w:val="both"/>
        <w:rPr>
          <w:sz w:val="28"/>
          <w:szCs w:val="28"/>
        </w:rPr>
      </w:pPr>
      <w:r w:rsidRPr="005E758A">
        <w:rPr>
          <w:sz w:val="28"/>
          <w:szCs w:val="28"/>
        </w:rPr>
        <w:t>本條有關隱私權的保護應同時參照兒童最佳利益原則，以確保兒童之人格與自我意識的健全發展，兒童隱私權受不法侵害時，父母、監護人及行政、立法及司法等部門應盡可能除去其侵害及回復其權益。歐美國家的實踐普遍認為，兒童的隱私權係屬不可侵犯的權利，只有在非常極端的情況下，始得被侵害，例如：涉及恐怖活動</w:t>
      </w:r>
      <w:r w:rsidRPr="005E758A">
        <w:rPr>
          <w:sz w:val="28"/>
          <w:szCs w:val="28"/>
        </w:rPr>
        <w:t>(terrorist acts)</w:t>
      </w:r>
      <w:r w:rsidRPr="005E758A">
        <w:rPr>
          <w:sz w:val="28"/>
          <w:szCs w:val="28"/>
        </w:rPr>
        <w:t>之新聞等</w:t>
      </w:r>
      <w:r w:rsidRPr="005E758A">
        <w:rPr>
          <w:rStyle w:val="af3"/>
        </w:rPr>
        <w:endnoteReference w:id="218"/>
      </w:r>
      <w:r w:rsidR="00280DE5" w:rsidRPr="005E758A">
        <w:rPr>
          <w:sz w:val="28"/>
          <w:szCs w:val="28"/>
        </w:rPr>
        <w:t>。至於其他關於隱私權的保護要件，亦與一般人同。</w:t>
      </w:r>
      <w:r w:rsidRPr="005E758A">
        <w:rPr>
          <w:sz w:val="28"/>
          <w:szCs w:val="28"/>
        </w:rPr>
        <w:t>我國兒童及少年福利與權利保障法第</w:t>
      </w:r>
      <w:r w:rsidRPr="005E758A">
        <w:rPr>
          <w:sz w:val="28"/>
          <w:szCs w:val="28"/>
        </w:rPr>
        <w:t>21</w:t>
      </w:r>
      <w:r w:rsidRPr="005E758A">
        <w:rPr>
          <w:sz w:val="28"/>
          <w:szCs w:val="28"/>
        </w:rPr>
        <w:t>條及第</w:t>
      </w:r>
      <w:r w:rsidRPr="005E758A">
        <w:rPr>
          <w:sz w:val="28"/>
          <w:szCs w:val="28"/>
        </w:rPr>
        <w:t>69</w:t>
      </w:r>
      <w:r w:rsidRPr="005E758A">
        <w:rPr>
          <w:sz w:val="28"/>
          <w:szCs w:val="28"/>
        </w:rPr>
        <w:t>條皆有關於隱私之保障，</w:t>
      </w:r>
      <w:r w:rsidR="00280DE5" w:rsidRPr="005E758A">
        <w:rPr>
          <w:sz w:val="28"/>
          <w:szCs w:val="28"/>
        </w:rPr>
        <w:t>顯已</w:t>
      </w:r>
      <w:proofErr w:type="gramStart"/>
      <w:r w:rsidR="00280DE5" w:rsidRPr="005E758A">
        <w:rPr>
          <w:sz w:val="28"/>
          <w:szCs w:val="28"/>
        </w:rPr>
        <w:t>注意到兒少</w:t>
      </w:r>
      <w:proofErr w:type="gramEnd"/>
      <w:r w:rsidR="00280DE5" w:rsidRPr="005E758A">
        <w:rPr>
          <w:sz w:val="28"/>
          <w:szCs w:val="28"/>
        </w:rPr>
        <w:t>隱私的保護必要性</w:t>
      </w:r>
      <w:r w:rsidRPr="005E758A">
        <w:rPr>
          <w:sz w:val="28"/>
          <w:szCs w:val="28"/>
        </w:rPr>
        <w:t>。</w:t>
      </w:r>
    </w:p>
    <w:p w14:paraId="67BAFB6F" w14:textId="77777777" w:rsidR="00135FC9" w:rsidRPr="005E758A" w:rsidRDefault="00135FC9" w:rsidP="00135FC9">
      <w:pPr>
        <w:pStyle w:val="2"/>
        <w:rPr>
          <w:szCs w:val="28"/>
        </w:rPr>
      </w:pPr>
      <w:r w:rsidRPr="005E758A">
        <w:rPr>
          <w:szCs w:val="28"/>
        </w:rPr>
        <w:t>參考資料</w:t>
      </w:r>
    </w:p>
    <w:p w14:paraId="0B4CAF4A" w14:textId="77777777" w:rsidR="00041AD0" w:rsidRPr="005E758A" w:rsidRDefault="00041AD0" w:rsidP="00041AD0">
      <w:pPr>
        <w:pStyle w:val="a0"/>
        <w:numPr>
          <w:ilvl w:val="0"/>
          <w:numId w:val="44"/>
        </w:numPr>
        <w:snapToGrid w:val="0"/>
        <w:ind w:leftChars="0" w:left="448" w:hanging="448"/>
        <w:jc w:val="both"/>
        <w:rPr>
          <w:rFonts w:ascii="Times New Roman" w:eastAsia="標楷體" w:hAnsi="Times New Roman"/>
          <w:sz w:val="28"/>
          <w:szCs w:val="28"/>
        </w:rPr>
      </w:pPr>
      <w:r w:rsidRPr="005E758A">
        <w:rPr>
          <w:rFonts w:ascii="Times New Roman" w:eastAsia="標楷體" w:hAnsi="Times New Roman"/>
          <w:smallCaps/>
          <w:sz w:val="28"/>
          <w:szCs w:val="28"/>
        </w:rPr>
        <w:t xml:space="preserve">UNICEF, Implementation Handbook for the Convention on the </w:t>
      </w:r>
      <w:r w:rsidRPr="005E758A">
        <w:rPr>
          <w:rFonts w:ascii="Times New Roman" w:eastAsia="標楷體" w:hAnsi="Times New Roman"/>
          <w:smallCaps/>
          <w:sz w:val="28"/>
          <w:szCs w:val="28"/>
        </w:rPr>
        <w:lastRenderedPageBreak/>
        <w:t xml:space="preserve">Rights of the Child </w:t>
      </w:r>
      <w:r w:rsidRPr="005E758A">
        <w:rPr>
          <w:rFonts w:ascii="Times New Roman" w:eastAsia="標楷體" w:hAnsi="Times New Roman"/>
          <w:sz w:val="28"/>
          <w:szCs w:val="28"/>
        </w:rPr>
        <w:t>(3d ed. 2007).</w:t>
      </w:r>
    </w:p>
    <w:p w14:paraId="17ED54D2" w14:textId="77777777" w:rsidR="00041AD0" w:rsidRPr="005E758A" w:rsidRDefault="00041AD0" w:rsidP="00041AD0">
      <w:pPr>
        <w:pStyle w:val="a0"/>
        <w:numPr>
          <w:ilvl w:val="0"/>
          <w:numId w:val="44"/>
        </w:numPr>
        <w:snapToGrid w:val="0"/>
        <w:ind w:leftChars="0"/>
        <w:jc w:val="both"/>
        <w:rPr>
          <w:rFonts w:ascii="Times New Roman" w:eastAsia="標楷體" w:hAnsi="Times New Roman"/>
          <w:sz w:val="28"/>
          <w:szCs w:val="28"/>
        </w:rPr>
      </w:pPr>
      <w:r w:rsidRPr="005E758A">
        <w:rPr>
          <w:rFonts w:ascii="Times New Roman" w:eastAsia="標楷體" w:hAnsi="Times New Roman"/>
          <w:sz w:val="28"/>
          <w:szCs w:val="28"/>
        </w:rPr>
        <w:t>人權事務委員會，第</w:t>
      </w:r>
      <w:r w:rsidRPr="005E758A">
        <w:rPr>
          <w:rFonts w:ascii="Times New Roman" w:eastAsia="標楷體" w:hAnsi="Times New Roman"/>
          <w:sz w:val="28"/>
          <w:szCs w:val="28"/>
        </w:rPr>
        <w:t>16</w:t>
      </w:r>
      <w:r w:rsidRPr="005E758A">
        <w:rPr>
          <w:rFonts w:ascii="Times New Roman" w:eastAsia="標楷體" w:hAnsi="Times New Roman"/>
          <w:sz w:val="28"/>
          <w:szCs w:val="28"/>
        </w:rPr>
        <w:t>號一般性意見：第</w:t>
      </w:r>
      <w:r w:rsidRPr="005E758A">
        <w:rPr>
          <w:rFonts w:ascii="Times New Roman" w:eastAsia="標楷體" w:hAnsi="Times New Roman"/>
          <w:sz w:val="28"/>
          <w:szCs w:val="28"/>
        </w:rPr>
        <w:t>17</w:t>
      </w:r>
      <w:r w:rsidRPr="005E758A">
        <w:rPr>
          <w:rFonts w:ascii="Times New Roman" w:eastAsia="標楷體" w:hAnsi="Times New Roman"/>
          <w:sz w:val="28"/>
          <w:szCs w:val="28"/>
        </w:rPr>
        <w:t>條。</w:t>
      </w:r>
      <w:r w:rsidRPr="005E758A">
        <w:rPr>
          <w:rFonts w:ascii="Times New Roman" w:eastAsia="標楷體" w:hAnsi="Times New Roman"/>
          <w:sz w:val="28"/>
          <w:szCs w:val="28"/>
        </w:rPr>
        <w:t>(Human Rights Committee, General Comment No. 16: Article 17 (Right to Privacy), U.N. Doc. HRI/GEN/1/Rev.9 (Vol. I), at 191.)</w:t>
      </w:r>
    </w:p>
    <w:p w14:paraId="06DBB2D7" w14:textId="77777777" w:rsidR="00135FC9" w:rsidRPr="005E758A" w:rsidRDefault="00135FC9" w:rsidP="007119F4">
      <w:pPr>
        <w:pStyle w:val="a0"/>
        <w:numPr>
          <w:ilvl w:val="0"/>
          <w:numId w:val="44"/>
        </w:numPr>
        <w:snapToGrid w:val="0"/>
        <w:ind w:leftChars="0" w:left="448" w:hanging="448"/>
        <w:jc w:val="both"/>
        <w:rPr>
          <w:rFonts w:ascii="Times New Roman" w:eastAsia="標楷體" w:hAnsi="Times New Roman"/>
          <w:sz w:val="28"/>
          <w:szCs w:val="28"/>
        </w:rPr>
      </w:pPr>
      <w:r w:rsidRPr="005E758A">
        <w:rPr>
          <w:rFonts w:ascii="Times New Roman" w:eastAsia="標楷體" w:hAnsi="Times New Roman"/>
          <w:sz w:val="28"/>
          <w:szCs w:val="28"/>
        </w:rPr>
        <w:t>兒童權利委員會，第</w:t>
      </w:r>
      <w:r w:rsidRPr="005E758A">
        <w:rPr>
          <w:rFonts w:ascii="Times New Roman" w:eastAsia="標楷體" w:hAnsi="Times New Roman"/>
          <w:sz w:val="28"/>
          <w:szCs w:val="28"/>
        </w:rPr>
        <w:t>4</w:t>
      </w:r>
      <w:r w:rsidRPr="005E758A">
        <w:rPr>
          <w:rFonts w:ascii="Times New Roman" w:eastAsia="標楷體" w:hAnsi="Times New Roman"/>
          <w:sz w:val="28"/>
          <w:szCs w:val="28"/>
        </w:rPr>
        <w:t>號一般性意見「少年健康與發展」。</w:t>
      </w:r>
      <w:r w:rsidRPr="005E758A">
        <w:rPr>
          <w:rFonts w:ascii="Times New Roman" w:eastAsia="標楷體" w:hAnsi="Times New Roman"/>
          <w:sz w:val="28"/>
          <w:szCs w:val="28"/>
        </w:rPr>
        <w:t>(Committee on the Rights of the Child, General Comment No. 4: Adolescent Health and Development in the Context of the Convention on the Rights of the Child, U.N. Doc. CRC/GC/2003/4 (July 1, 2013).)</w:t>
      </w:r>
    </w:p>
    <w:p w14:paraId="35689E93" w14:textId="77777777" w:rsidR="00135FC9" w:rsidRPr="005E758A" w:rsidRDefault="00135FC9" w:rsidP="007119F4">
      <w:pPr>
        <w:pStyle w:val="a0"/>
        <w:numPr>
          <w:ilvl w:val="0"/>
          <w:numId w:val="44"/>
        </w:numPr>
        <w:snapToGrid w:val="0"/>
        <w:ind w:leftChars="0" w:left="448" w:hanging="448"/>
        <w:jc w:val="both"/>
        <w:rPr>
          <w:rFonts w:ascii="Times New Roman" w:eastAsia="標楷體" w:hAnsi="Times New Roman"/>
          <w:sz w:val="28"/>
          <w:szCs w:val="28"/>
        </w:rPr>
      </w:pPr>
      <w:r w:rsidRPr="005E758A">
        <w:rPr>
          <w:rFonts w:ascii="Times New Roman" w:eastAsia="標楷體" w:hAnsi="Times New Roman"/>
          <w:sz w:val="28"/>
          <w:szCs w:val="28"/>
        </w:rPr>
        <w:t>林沛君，兒少人權向前行，臺北市，台灣展翅協會，</w:t>
      </w:r>
      <w:r w:rsidRPr="005E758A">
        <w:rPr>
          <w:rFonts w:ascii="Times New Roman" w:eastAsia="標楷體" w:hAnsi="Times New Roman"/>
          <w:sz w:val="28"/>
          <w:szCs w:val="28"/>
        </w:rPr>
        <w:t>2015</w:t>
      </w:r>
      <w:r w:rsidRPr="005E758A">
        <w:rPr>
          <w:rFonts w:ascii="Times New Roman" w:eastAsia="標楷體" w:hAnsi="Times New Roman"/>
          <w:sz w:val="28"/>
          <w:szCs w:val="28"/>
        </w:rPr>
        <w:t>年</w:t>
      </w:r>
      <w:r w:rsidRPr="005E758A">
        <w:rPr>
          <w:rFonts w:ascii="Times New Roman" w:eastAsia="標楷體" w:hAnsi="Times New Roman"/>
          <w:sz w:val="28"/>
          <w:szCs w:val="28"/>
        </w:rPr>
        <w:t>4</w:t>
      </w:r>
      <w:r w:rsidRPr="005E758A">
        <w:rPr>
          <w:rFonts w:ascii="Times New Roman" w:eastAsia="標楷體" w:hAnsi="Times New Roman"/>
          <w:sz w:val="28"/>
          <w:szCs w:val="28"/>
        </w:rPr>
        <w:t>月。</w:t>
      </w:r>
    </w:p>
    <w:p w14:paraId="09983749" w14:textId="77777777" w:rsidR="00135FC9" w:rsidRPr="005E758A" w:rsidRDefault="00135FC9" w:rsidP="00135FC9"/>
    <w:p w14:paraId="2F8DA2BE" w14:textId="77777777" w:rsidR="00135FC9" w:rsidRPr="005E758A" w:rsidRDefault="00135FC9" w:rsidP="00135FC9">
      <w:pPr>
        <w:snapToGrid w:val="0"/>
        <w:spacing w:before="100" w:beforeAutospacing="1" w:after="100" w:afterAutospacing="1"/>
        <w:jc w:val="both"/>
        <w:rPr>
          <w:sz w:val="28"/>
          <w:szCs w:val="28"/>
        </w:rPr>
        <w:sectPr w:rsidR="00135FC9" w:rsidRPr="005E758A" w:rsidSect="00135FC9">
          <w:footnotePr>
            <w:numRestart w:val="eachSect"/>
          </w:footnotePr>
          <w:endnotePr>
            <w:numFmt w:val="decimal"/>
            <w:numRestart w:val="eachSect"/>
          </w:endnotePr>
          <w:pgSz w:w="11906" w:h="16838"/>
          <w:pgMar w:top="1440" w:right="1797" w:bottom="1440" w:left="1797" w:header="851" w:footer="992" w:gutter="0"/>
          <w:cols w:space="425"/>
          <w:docGrid w:linePitch="360"/>
        </w:sectPr>
      </w:pPr>
      <w:r w:rsidRPr="005E758A">
        <w:rPr>
          <w:sz w:val="28"/>
          <w:szCs w:val="28"/>
        </w:rPr>
        <w:t>關鍵詞：隱私權、恣意、榮譽、名譽、人格、成長與發展</w:t>
      </w:r>
    </w:p>
    <w:p w14:paraId="67A927D7" w14:textId="77777777" w:rsidR="004F4F78" w:rsidRDefault="004F4F78" w:rsidP="004F4F78">
      <w:pPr>
        <w:pStyle w:val="1"/>
        <w:rPr>
          <w:sz w:val="28"/>
        </w:rPr>
      </w:pPr>
      <w:bookmarkStart w:id="55" w:name="_Toc431072733"/>
      <w:r w:rsidRPr="005E758A">
        <w:lastRenderedPageBreak/>
        <w:t>第</w:t>
      </w:r>
      <w:r w:rsidRPr="005E758A">
        <w:t>17</w:t>
      </w:r>
      <w:r w:rsidRPr="005E758A">
        <w:t>條</w:t>
      </w:r>
      <w:r>
        <w:rPr>
          <w:rFonts w:hint="eastAsia"/>
        </w:rPr>
        <w:t xml:space="preserve">　適當資訊之獲取</w:t>
      </w:r>
      <w:bookmarkEnd w:id="55"/>
    </w:p>
    <w:tbl>
      <w:tblPr>
        <w:tblStyle w:val="af4"/>
        <w:tblW w:w="0" w:type="auto"/>
        <w:tblLook w:val="04A0" w:firstRow="1" w:lastRow="0" w:firstColumn="1" w:lastColumn="0" w:noHBand="0" w:noVBand="1"/>
      </w:tblPr>
      <w:tblGrid>
        <w:gridCol w:w="8302"/>
      </w:tblGrid>
      <w:tr w:rsidR="004F4F78" w:rsidRPr="005E758A" w14:paraId="40E49861" w14:textId="77777777" w:rsidTr="002B035C">
        <w:tc>
          <w:tcPr>
            <w:tcW w:w="8362" w:type="dxa"/>
          </w:tcPr>
          <w:p w14:paraId="5F6A549F" w14:textId="77777777" w:rsidR="004F4F78" w:rsidRPr="005E758A" w:rsidRDefault="004F4F78" w:rsidP="002B035C">
            <w:pPr>
              <w:snapToGrid w:val="0"/>
              <w:rPr>
                <w:rFonts w:ascii="Times New Roman" w:eastAsia="標楷體" w:hAnsi="Times New Roman"/>
                <w:color w:val="333333"/>
                <w:sz w:val="28"/>
                <w:szCs w:val="28"/>
                <w:shd w:val="clear" w:color="auto" w:fill="FFFFFF"/>
              </w:rPr>
            </w:pPr>
            <w:bookmarkStart w:id="56" w:name="_Toc427238533"/>
            <w:r w:rsidRPr="005E758A">
              <w:rPr>
                <w:rFonts w:ascii="Times New Roman" w:eastAsia="標楷體" w:hAnsi="Times New Roman"/>
                <w:color w:val="333333"/>
                <w:sz w:val="28"/>
                <w:szCs w:val="28"/>
                <w:shd w:val="clear" w:color="auto" w:fill="FFFFFF"/>
              </w:rPr>
              <w:t>締約國體認大眾傳播媒體之重要功能，故應確保兒童可自國內與國際各種不同來源獲得資訊及資料，尤其是為提升兒童之社會、精神與道德福祉及其身心健康之資訊</w:t>
            </w:r>
            <w:r w:rsidRPr="005E758A">
              <w:rPr>
                <w:rFonts w:ascii="Times New Roman" w:eastAsia="標楷體" w:hAnsi="Times New Roman"/>
                <w:color w:val="333333"/>
                <w:sz w:val="28"/>
                <w:szCs w:val="28"/>
                <w:shd w:val="clear" w:color="auto" w:fill="FFFFFF"/>
              </w:rPr>
              <w:t xml:space="preserve"> </w:t>
            </w:r>
            <w:r w:rsidRPr="005E758A">
              <w:rPr>
                <w:rFonts w:ascii="Times New Roman" w:eastAsia="標楷體" w:hAnsi="Times New Roman"/>
                <w:color w:val="333333"/>
                <w:sz w:val="28"/>
                <w:szCs w:val="28"/>
                <w:shd w:val="clear" w:color="auto" w:fill="FFFFFF"/>
              </w:rPr>
              <w:t>與資料。</w:t>
            </w:r>
          </w:p>
          <w:p w14:paraId="0D3D38B9" w14:textId="77777777" w:rsidR="004F4F78" w:rsidRPr="005E758A" w:rsidRDefault="004F4F78" w:rsidP="002B035C">
            <w:pPr>
              <w:snapToGrid w:val="0"/>
              <w:rPr>
                <w:rFonts w:ascii="Times New Roman" w:eastAsia="標楷體" w:hAnsi="Times New Roman"/>
                <w:color w:val="333333"/>
                <w:sz w:val="28"/>
                <w:szCs w:val="28"/>
                <w:shd w:val="clear" w:color="auto" w:fill="FFFFFF"/>
              </w:rPr>
            </w:pPr>
            <w:r w:rsidRPr="005E758A">
              <w:rPr>
                <w:rFonts w:ascii="Times New Roman" w:eastAsia="標楷體" w:hAnsi="Times New Roman"/>
                <w:color w:val="333333"/>
                <w:sz w:val="28"/>
                <w:szCs w:val="28"/>
                <w:shd w:val="clear" w:color="auto" w:fill="FFFFFF"/>
              </w:rPr>
              <w:t>為此締約國應：</w:t>
            </w:r>
          </w:p>
          <w:p w14:paraId="00B5C656" w14:textId="77777777" w:rsidR="004F4F78" w:rsidRPr="005E758A" w:rsidRDefault="004F4F78" w:rsidP="002B035C">
            <w:pPr>
              <w:pStyle w:val="a0"/>
              <w:numPr>
                <w:ilvl w:val="0"/>
                <w:numId w:val="147"/>
              </w:numPr>
              <w:snapToGrid w:val="0"/>
              <w:ind w:leftChars="63" w:left="508" w:hanging="357"/>
              <w:rPr>
                <w:rFonts w:ascii="Times New Roman" w:eastAsia="標楷體" w:hAnsi="Times New Roman"/>
                <w:color w:val="333333"/>
                <w:sz w:val="28"/>
                <w:szCs w:val="28"/>
                <w:shd w:val="clear" w:color="auto" w:fill="FFFFFF"/>
              </w:rPr>
            </w:pPr>
            <w:r w:rsidRPr="005E758A">
              <w:rPr>
                <w:rFonts w:ascii="Times New Roman" w:eastAsia="標楷體" w:hAnsi="Times New Roman"/>
                <w:color w:val="333333"/>
                <w:sz w:val="28"/>
                <w:szCs w:val="28"/>
                <w:shd w:val="clear" w:color="auto" w:fill="FFFFFF"/>
              </w:rPr>
              <w:t>鼓勵大眾傳播媒體依據第</w:t>
            </w:r>
            <w:r w:rsidRPr="005E758A">
              <w:rPr>
                <w:rFonts w:ascii="Times New Roman" w:eastAsia="標楷體" w:hAnsi="Times New Roman"/>
                <w:color w:val="333333"/>
                <w:sz w:val="28"/>
                <w:szCs w:val="28"/>
                <w:shd w:val="clear" w:color="auto" w:fill="FFFFFF"/>
              </w:rPr>
              <w:t>29</w:t>
            </w:r>
            <w:r w:rsidRPr="005E758A">
              <w:rPr>
                <w:rFonts w:ascii="Times New Roman" w:eastAsia="標楷體" w:hAnsi="Times New Roman"/>
                <w:color w:val="333333"/>
                <w:sz w:val="28"/>
                <w:szCs w:val="28"/>
                <w:shd w:val="clear" w:color="auto" w:fill="FFFFFF"/>
              </w:rPr>
              <w:t>條之精神，傳播在社會與文化方面有益於兒童之資訊及資料；</w:t>
            </w:r>
          </w:p>
          <w:p w14:paraId="58867C66" w14:textId="77777777" w:rsidR="004F4F78" w:rsidRPr="005E758A" w:rsidRDefault="004F4F78" w:rsidP="002B035C">
            <w:pPr>
              <w:pStyle w:val="a0"/>
              <w:numPr>
                <w:ilvl w:val="0"/>
                <w:numId w:val="147"/>
              </w:numPr>
              <w:snapToGrid w:val="0"/>
              <w:ind w:leftChars="63" w:left="508" w:hanging="357"/>
              <w:rPr>
                <w:rFonts w:ascii="Times New Roman" w:eastAsia="標楷體" w:hAnsi="Times New Roman"/>
                <w:sz w:val="28"/>
                <w:szCs w:val="28"/>
              </w:rPr>
            </w:pPr>
            <w:r w:rsidRPr="005E758A">
              <w:rPr>
                <w:rFonts w:ascii="Times New Roman" w:eastAsia="標楷體" w:hAnsi="Times New Roman"/>
                <w:color w:val="333333"/>
                <w:sz w:val="28"/>
                <w:szCs w:val="28"/>
                <w:shd w:val="clear" w:color="auto" w:fill="FFFFFF"/>
              </w:rPr>
              <w:t>鼓勵源自不同文化、國家與國際的資訊及資料，在此等資訊之產製、交流與散播上進行國際合作；</w:t>
            </w:r>
          </w:p>
          <w:p w14:paraId="3A5F46DF" w14:textId="77777777" w:rsidR="004F4F78" w:rsidRPr="005E758A" w:rsidRDefault="004F4F78" w:rsidP="002B035C">
            <w:pPr>
              <w:pStyle w:val="a0"/>
              <w:numPr>
                <w:ilvl w:val="0"/>
                <w:numId w:val="147"/>
              </w:numPr>
              <w:snapToGrid w:val="0"/>
              <w:ind w:leftChars="63" w:left="508" w:hanging="357"/>
              <w:rPr>
                <w:rFonts w:ascii="Times New Roman" w:eastAsia="標楷體" w:hAnsi="Times New Roman"/>
                <w:sz w:val="28"/>
                <w:szCs w:val="28"/>
              </w:rPr>
            </w:pPr>
            <w:r w:rsidRPr="005E758A">
              <w:rPr>
                <w:rFonts w:ascii="Times New Roman" w:eastAsia="標楷體" w:hAnsi="Times New Roman"/>
                <w:color w:val="333333"/>
                <w:sz w:val="28"/>
                <w:szCs w:val="28"/>
                <w:shd w:val="clear" w:color="auto" w:fill="FFFFFF"/>
              </w:rPr>
              <w:t>鼓勵兒童讀物之出版及散播；</w:t>
            </w:r>
          </w:p>
          <w:p w14:paraId="742EBAF1" w14:textId="77777777" w:rsidR="004F4F78" w:rsidRPr="005E758A" w:rsidRDefault="004F4F78" w:rsidP="002B035C">
            <w:pPr>
              <w:pStyle w:val="a0"/>
              <w:numPr>
                <w:ilvl w:val="0"/>
                <w:numId w:val="147"/>
              </w:numPr>
              <w:snapToGrid w:val="0"/>
              <w:ind w:leftChars="63" w:left="508" w:hanging="357"/>
              <w:rPr>
                <w:rFonts w:ascii="Times New Roman" w:eastAsia="標楷體" w:hAnsi="Times New Roman"/>
                <w:sz w:val="28"/>
                <w:szCs w:val="28"/>
              </w:rPr>
            </w:pPr>
            <w:r w:rsidRPr="005E758A">
              <w:rPr>
                <w:rFonts w:ascii="Times New Roman" w:eastAsia="標楷體" w:hAnsi="Times New Roman"/>
                <w:color w:val="333333"/>
                <w:sz w:val="28"/>
                <w:szCs w:val="28"/>
                <w:shd w:val="clear" w:color="auto" w:fill="FFFFFF"/>
              </w:rPr>
              <w:t>鼓勵大眾傳播媒體對少數族群或原住民兒童在語言方面之需要，予以特別關注；</w:t>
            </w:r>
          </w:p>
          <w:p w14:paraId="3FC698E6" w14:textId="77777777" w:rsidR="004F4F78" w:rsidRPr="005E758A" w:rsidRDefault="004F4F78" w:rsidP="002B035C">
            <w:pPr>
              <w:pStyle w:val="a0"/>
              <w:numPr>
                <w:ilvl w:val="0"/>
                <w:numId w:val="147"/>
              </w:numPr>
              <w:snapToGrid w:val="0"/>
              <w:ind w:leftChars="63" w:left="508" w:hanging="357"/>
              <w:rPr>
                <w:rFonts w:ascii="Times New Roman" w:hAnsi="Times New Roman"/>
                <w:sz w:val="28"/>
                <w:szCs w:val="28"/>
              </w:rPr>
            </w:pPr>
            <w:r w:rsidRPr="005E758A">
              <w:rPr>
                <w:rFonts w:ascii="Times New Roman" w:eastAsia="標楷體" w:hAnsi="Times New Roman"/>
                <w:color w:val="333333"/>
                <w:sz w:val="28"/>
                <w:szCs w:val="28"/>
                <w:shd w:val="clear" w:color="auto" w:fill="FFFFFF"/>
              </w:rPr>
              <w:t>參考第</w:t>
            </w:r>
            <w:r w:rsidRPr="005E758A">
              <w:rPr>
                <w:rFonts w:ascii="Times New Roman" w:eastAsia="標楷體" w:hAnsi="Times New Roman"/>
                <w:color w:val="333333"/>
                <w:sz w:val="28"/>
                <w:szCs w:val="28"/>
                <w:shd w:val="clear" w:color="auto" w:fill="FFFFFF"/>
              </w:rPr>
              <w:t>13</w:t>
            </w:r>
            <w:r w:rsidRPr="005E758A">
              <w:rPr>
                <w:rFonts w:ascii="Times New Roman" w:eastAsia="標楷體" w:hAnsi="Times New Roman"/>
                <w:color w:val="333333"/>
                <w:sz w:val="28"/>
                <w:szCs w:val="28"/>
                <w:shd w:val="clear" w:color="auto" w:fill="FFFFFF"/>
              </w:rPr>
              <w:t>條及第</w:t>
            </w:r>
            <w:r w:rsidRPr="005E758A">
              <w:rPr>
                <w:rFonts w:ascii="Times New Roman" w:eastAsia="標楷體" w:hAnsi="Times New Roman"/>
                <w:color w:val="333333"/>
                <w:sz w:val="28"/>
                <w:szCs w:val="28"/>
                <w:shd w:val="clear" w:color="auto" w:fill="FFFFFF"/>
              </w:rPr>
              <w:t>18</w:t>
            </w:r>
            <w:r w:rsidRPr="005E758A">
              <w:rPr>
                <w:rFonts w:ascii="Times New Roman" w:eastAsia="標楷體" w:hAnsi="Times New Roman"/>
                <w:color w:val="333333"/>
                <w:sz w:val="28"/>
                <w:szCs w:val="28"/>
                <w:shd w:val="clear" w:color="auto" w:fill="FFFFFF"/>
              </w:rPr>
              <w:t>條之規定，鼓勵發展適當準則，以保護兒童免於受有損其福祉之資訊及資料之傷害。</w:t>
            </w:r>
          </w:p>
        </w:tc>
      </w:tr>
      <w:bookmarkEnd w:id="56"/>
    </w:tbl>
    <w:p w14:paraId="1CB69F80" w14:textId="77777777" w:rsidR="004F4F78" w:rsidRPr="004F4F78" w:rsidRDefault="004F4F78" w:rsidP="004F4F78">
      <w:pPr>
        <w:snapToGrid w:val="0"/>
        <w:spacing w:before="100" w:beforeAutospacing="1" w:after="100" w:afterAutospacing="1"/>
        <w:jc w:val="both"/>
        <w:rPr>
          <w:sz w:val="28"/>
        </w:rPr>
      </w:pPr>
    </w:p>
    <w:p w14:paraId="2511B84F" w14:textId="77777777" w:rsidR="00F75D48" w:rsidRPr="005E758A" w:rsidRDefault="00F75D48" w:rsidP="00F02A5C">
      <w:pPr>
        <w:pStyle w:val="2"/>
        <w:numPr>
          <w:ilvl w:val="0"/>
          <w:numId w:val="148"/>
        </w:numPr>
      </w:pPr>
      <w:r w:rsidRPr="005E758A">
        <w:t>規範宗旨</w:t>
      </w:r>
    </w:p>
    <w:p w14:paraId="33D87B21" w14:textId="77777777" w:rsidR="00F75D48" w:rsidRPr="005E758A" w:rsidRDefault="00F75D48" w:rsidP="00F75D48">
      <w:pPr>
        <w:snapToGrid w:val="0"/>
        <w:spacing w:before="100" w:beforeAutospacing="1" w:after="100" w:afterAutospacing="1"/>
        <w:ind w:firstLineChars="200" w:firstLine="560"/>
        <w:jc w:val="both"/>
        <w:rPr>
          <w:sz w:val="28"/>
          <w:szCs w:val="28"/>
        </w:rPr>
      </w:pPr>
      <w:r w:rsidRPr="005E758A">
        <w:rPr>
          <w:sz w:val="28"/>
          <w:szCs w:val="28"/>
        </w:rPr>
        <w:t>本條規範之焦點為傳播媒體與兒童權利。更重要的是賦予締約國有義務確保兒童得自不同管道取得資訊及資料，特別是提升兒童身心發展及健康之目標</w:t>
      </w:r>
      <w:bookmarkStart w:id="57" w:name="_Ref427235249"/>
      <w:r w:rsidRPr="005E758A">
        <w:rPr>
          <w:rStyle w:val="af3"/>
          <w:szCs w:val="28"/>
        </w:rPr>
        <w:endnoteReference w:id="219"/>
      </w:r>
      <w:bookmarkEnd w:id="57"/>
      <w:r w:rsidRPr="005E758A">
        <w:rPr>
          <w:sz w:val="28"/>
          <w:szCs w:val="28"/>
        </w:rPr>
        <w:t>。由本條草案之協商紀錄可看出，各國最初所欲規範的重點是如何保護兒童不遭受媒體可能帶來之不良影響；直到部分國家代表提出媒體對於兒童資訊之吸收亦有其教育意義，草案</w:t>
      </w:r>
      <w:proofErr w:type="gramStart"/>
      <w:r w:rsidRPr="005E758A">
        <w:rPr>
          <w:sz w:val="28"/>
          <w:szCs w:val="28"/>
        </w:rPr>
        <w:t>文字方轉而</w:t>
      </w:r>
      <w:proofErr w:type="gramEnd"/>
      <w:r w:rsidRPr="005E758A">
        <w:rPr>
          <w:sz w:val="28"/>
          <w:szCs w:val="28"/>
        </w:rPr>
        <w:t>採取正面之角度看待媒體與兒童權利的關聯性</w:t>
      </w:r>
      <w:r w:rsidRPr="005E758A">
        <w:rPr>
          <w:rStyle w:val="af3"/>
          <w:szCs w:val="28"/>
        </w:rPr>
        <w:endnoteReference w:id="220"/>
      </w:r>
      <w:r w:rsidRPr="005E758A">
        <w:rPr>
          <w:sz w:val="28"/>
          <w:szCs w:val="28"/>
        </w:rPr>
        <w:t>。</w:t>
      </w:r>
    </w:p>
    <w:p w14:paraId="12F85EF5" w14:textId="77777777" w:rsidR="00F75D48" w:rsidRPr="005E758A" w:rsidRDefault="00F75D48" w:rsidP="00A10E32">
      <w:pPr>
        <w:pStyle w:val="2"/>
        <w:numPr>
          <w:ilvl w:val="0"/>
          <w:numId w:val="148"/>
        </w:numPr>
        <w:rPr>
          <w:szCs w:val="28"/>
        </w:rPr>
      </w:pPr>
      <w:r w:rsidRPr="005E758A">
        <w:t>條文要義</w:t>
      </w:r>
    </w:p>
    <w:p w14:paraId="5D5F98CC" w14:textId="77777777" w:rsidR="00F75D48" w:rsidRPr="005E758A" w:rsidRDefault="00F75D48" w:rsidP="00F02A5C">
      <w:pPr>
        <w:pStyle w:val="3"/>
        <w:numPr>
          <w:ilvl w:val="0"/>
          <w:numId w:val="149"/>
        </w:numPr>
      </w:pPr>
      <w:r w:rsidRPr="005E758A">
        <w:t>第</w:t>
      </w:r>
      <w:r w:rsidRPr="005E758A">
        <w:t>17</w:t>
      </w:r>
      <w:r w:rsidRPr="005E758A">
        <w:t>條第</w:t>
      </w:r>
      <w:r w:rsidRPr="005E758A">
        <w:t>1</w:t>
      </w:r>
      <w:r w:rsidRPr="005E758A">
        <w:t>項</w:t>
      </w:r>
    </w:p>
    <w:p w14:paraId="3775A200" w14:textId="77777777" w:rsidR="00F75D48" w:rsidRPr="005E758A" w:rsidRDefault="00F75D48" w:rsidP="00F75D48">
      <w:pPr>
        <w:snapToGrid w:val="0"/>
        <w:spacing w:before="100" w:beforeAutospacing="1" w:after="100" w:afterAutospacing="1"/>
        <w:ind w:firstLineChars="200" w:firstLine="560"/>
        <w:jc w:val="both"/>
        <w:rPr>
          <w:sz w:val="28"/>
          <w:szCs w:val="28"/>
        </w:rPr>
      </w:pPr>
      <w:r w:rsidRPr="005E758A">
        <w:rPr>
          <w:sz w:val="28"/>
          <w:szCs w:val="28"/>
        </w:rPr>
        <w:t>本條第</w:t>
      </w:r>
      <w:r w:rsidRPr="005E758A">
        <w:rPr>
          <w:sz w:val="28"/>
          <w:szCs w:val="28"/>
        </w:rPr>
        <w:t>1</w:t>
      </w:r>
      <w:r w:rsidRPr="005E758A">
        <w:rPr>
          <w:sz w:val="28"/>
          <w:szCs w:val="28"/>
        </w:rPr>
        <w:t>項係為第</w:t>
      </w:r>
      <w:r w:rsidRPr="005E758A">
        <w:rPr>
          <w:sz w:val="28"/>
          <w:szCs w:val="28"/>
        </w:rPr>
        <w:t>2</w:t>
      </w:r>
      <w:r w:rsidRPr="005E758A">
        <w:rPr>
          <w:sz w:val="28"/>
          <w:szCs w:val="28"/>
        </w:rPr>
        <w:t>項所列</w:t>
      </w:r>
      <w:r w:rsidRPr="005E758A">
        <w:rPr>
          <w:sz w:val="28"/>
          <w:szCs w:val="28"/>
        </w:rPr>
        <w:t>5</w:t>
      </w:r>
      <w:r w:rsidRPr="005E758A">
        <w:rPr>
          <w:sz w:val="28"/>
          <w:szCs w:val="28"/>
        </w:rPr>
        <w:t>款項目提供整體目標。首先，本條開宗明義確立「大眾傳播媒介之重要功能」。對此，兒童權利委員會特別強調媒體對於「促進與維護兒童權利及協助實現公約原則與標準具有不可或缺的功能」，包括提供兒童表示意見的機會以及透過傳播提升兒童權利意識等。</w:t>
      </w:r>
    </w:p>
    <w:p w14:paraId="36D4B650" w14:textId="77777777" w:rsidR="00F75D48" w:rsidRPr="005E758A" w:rsidRDefault="00F75D48" w:rsidP="00F75D48">
      <w:pPr>
        <w:snapToGrid w:val="0"/>
        <w:spacing w:before="100" w:beforeAutospacing="1" w:after="100" w:afterAutospacing="1"/>
        <w:ind w:firstLineChars="200" w:firstLine="560"/>
        <w:jc w:val="both"/>
        <w:rPr>
          <w:bCs/>
          <w:sz w:val="28"/>
          <w:szCs w:val="28"/>
        </w:rPr>
      </w:pPr>
      <w:proofErr w:type="gramStart"/>
      <w:r w:rsidRPr="005E758A">
        <w:rPr>
          <w:sz w:val="28"/>
          <w:szCs w:val="28"/>
        </w:rPr>
        <w:t>再者，</w:t>
      </w:r>
      <w:proofErr w:type="gramEnd"/>
      <w:r w:rsidRPr="005E758A">
        <w:rPr>
          <w:sz w:val="28"/>
          <w:szCs w:val="28"/>
        </w:rPr>
        <w:t>本條進一步要求國家確保兒童可自「國內與國際各種不同來源」取得資訊，以提升兒童之社會、精神與道德福祉及身心健康。此部分係保障兒童知悉資訊的權利，各國在落實上所面臨之問題包括</w:t>
      </w:r>
      <w:r w:rsidRPr="005E758A">
        <w:rPr>
          <w:sz w:val="28"/>
          <w:szCs w:val="28"/>
        </w:rPr>
        <w:lastRenderedPageBreak/>
        <w:t>偏鄉兒童資訊不足、少數族群因語言限制而無法知悉社會福利或法律協助等狀況</w:t>
      </w:r>
      <w:r w:rsidRPr="005E758A">
        <w:rPr>
          <w:rStyle w:val="af3"/>
          <w:szCs w:val="28"/>
        </w:rPr>
        <w:endnoteReference w:id="221"/>
      </w:r>
      <w:r w:rsidRPr="005E758A">
        <w:rPr>
          <w:sz w:val="28"/>
          <w:szCs w:val="28"/>
        </w:rPr>
        <w:t>。另外，對自由受到限制之兒童，根據「</w:t>
      </w:r>
      <w:r w:rsidRPr="005E758A">
        <w:rPr>
          <w:bCs/>
          <w:sz w:val="28"/>
          <w:szCs w:val="28"/>
        </w:rPr>
        <w:t>聯合國保護被剝奪自由少年規則</w:t>
      </w:r>
      <w:r w:rsidRPr="005E758A">
        <w:rPr>
          <w:bCs/>
          <w:sz w:val="28"/>
          <w:szCs w:val="28"/>
        </w:rPr>
        <w:t> </w:t>
      </w:r>
      <w:r w:rsidRPr="005E758A">
        <w:rPr>
          <w:bCs/>
          <w:sz w:val="28"/>
          <w:szCs w:val="28"/>
        </w:rPr>
        <w:t>」</w:t>
      </w:r>
      <w:r w:rsidRPr="005E758A">
        <w:rPr>
          <w:rStyle w:val="af3"/>
          <w:bCs/>
          <w:szCs w:val="28"/>
        </w:rPr>
        <w:endnoteReference w:id="222"/>
      </w:r>
      <w:r w:rsidRPr="005E758A">
        <w:rPr>
          <w:bCs/>
          <w:sz w:val="28"/>
          <w:szCs w:val="28"/>
        </w:rPr>
        <w:t>，少年拘留所內之少年亦有獲得資訊之權利，即「所內少年均應有機會閱讀報紙、期刊及其他出版物，聽收音機和看電視節目及電影，以及接受他感興趣的任何合法俱樂部或組織的代表的探訪，借此經常了解新聞。」</w:t>
      </w:r>
      <w:r w:rsidRPr="005E758A">
        <w:rPr>
          <w:rStyle w:val="af3"/>
          <w:bCs/>
          <w:szCs w:val="28"/>
        </w:rPr>
        <w:endnoteReference w:id="223"/>
      </w:r>
    </w:p>
    <w:p w14:paraId="1962EC83" w14:textId="77777777" w:rsidR="00F75D48" w:rsidRPr="005E758A" w:rsidRDefault="00F75D48" w:rsidP="00F75D48">
      <w:pPr>
        <w:pStyle w:val="3"/>
        <w:numPr>
          <w:ilvl w:val="0"/>
          <w:numId w:val="3"/>
        </w:numPr>
        <w:ind w:left="0" w:firstLine="0"/>
      </w:pPr>
      <w:r w:rsidRPr="005E758A">
        <w:t>第</w:t>
      </w:r>
      <w:r w:rsidRPr="005E758A">
        <w:t>17</w:t>
      </w:r>
      <w:r w:rsidRPr="005E758A">
        <w:t>條第</w:t>
      </w:r>
      <w:r w:rsidRPr="005E758A">
        <w:t>2</w:t>
      </w:r>
      <w:r w:rsidRPr="005E758A">
        <w:t>項</w:t>
      </w:r>
    </w:p>
    <w:p w14:paraId="03182214" w14:textId="77777777" w:rsidR="00F75D48" w:rsidRPr="005E758A" w:rsidRDefault="00F75D48" w:rsidP="00F75D48">
      <w:pPr>
        <w:snapToGrid w:val="0"/>
        <w:spacing w:before="100" w:beforeAutospacing="1" w:after="100" w:afterAutospacing="1"/>
        <w:ind w:firstLineChars="200" w:firstLine="560"/>
        <w:jc w:val="both"/>
        <w:rPr>
          <w:sz w:val="28"/>
        </w:rPr>
      </w:pPr>
      <w:r w:rsidRPr="005E758A">
        <w:rPr>
          <w:sz w:val="28"/>
        </w:rPr>
        <w:t>第</w:t>
      </w:r>
      <w:r w:rsidRPr="005E758A">
        <w:rPr>
          <w:sz w:val="28"/>
        </w:rPr>
        <w:t>2</w:t>
      </w:r>
      <w:r w:rsidRPr="005E758A">
        <w:rPr>
          <w:sz w:val="28"/>
        </w:rPr>
        <w:t>項各款有關國家應</w:t>
      </w:r>
      <w:proofErr w:type="gramStart"/>
      <w:r w:rsidRPr="005E758A">
        <w:rPr>
          <w:sz w:val="28"/>
        </w:rPr>
        <w:t>採</w:t>
      </w:r>
      <w:proofErr w:type="gramEnd"/>
      <w:r w:rsidRPr="005E758A">
        <w:rPr>
          <w:sz w:val="28"/>
        </w:rPr>
        <w:t>行作為之規定，概要說明如下：</w:t>
      </w:r>
    </w:p>
    <w:p w14:paraId="4FE00D7D" w14:textId="77777777" w:rsidR="00F75D48" w:rsidRPr="005E758A" w:rsidRDefault="00F75D48" w:rsidP="00F02A5C">
      <w:pPr>
        <w:pStyle w:val="4"/>
        <w:numPr>
          <w:ilvl w:val="0"/>
          <w:numId w:val="146"/>
        </w:numPr>
        <w:ind w:left="1315" w:hanging="357"/>
        <w:rPr>
          <w:szCs w:val="24"/>
        </w:rPr>
      </w:pPr>
      <w:r w:rsidRPr="005E758A">
        <w:t>鼓勵「大眾傳播媒體依據第</w:t>
      </w:r>
      <w:r w:rsidRPr="005E758A">
        <w:t>29</w:t>
      </w:r>
      <w:r w:rsidRPr="005E758A">
        <w:t>條之精神，傳播在社會與文</w:t>
      </w:r>
      <w:r w:rsidRPr="005E758A">
        <w:rPr>
          <w:szCs w:val="24"/>
        </w:rPr>
        <w:t>化方面有益於兒童的資訊與資料」</w:t>
      </w:r>
    </w:p>
    <w:p w14:paraId="61726567" w14:textId="77777777" w:rsidR="00F75D48" w:rsidRPr="005E758A" w:rsidRDefault="00F75D48" w:rsidP="00F75D48">
      <w:pPr>
        <w:snapToGrid w:val="0"/>
        <w:spacing w:before="100" w:beforeAutospacing="1" w:after="100" w:afterAutospacing="1"/>
        <w:ind w:firstLineChars="200" w:firstLine="560"/>
        <w:jc w:val="both"/>
        <w:rPr>
          <w:sz w:val="28"/>
          <w:szCs w:val="24"/>
        </w:rPr>
      </w:pPr>
      <w:r w:rsidRPr="005E758A">
        <w:rPr>
          <w:sz w:val="28"/>
          <w:szCs w:val="24"/>
        </w:rPr>
        <w:t>此部分的重點為媒體傳播的資訊應符合第</w:t>
      </w:r>
      <w:r w:rsidRPr="005E758A">
        <w:rPr>
          <w:sz w:val="28"/>
          <w:szCs w:val="24"/>
        </w:rPr>
        <w:t>29</w:t>
      </w:r>
      <w:r w:rsidRPr="005E758A">
        <w:rPr>
          <w:sz w:val="28"/>
          <w:szCs w:val="24"/>
        </w:rPr>
        <w:t>條第</w:t>
      </w:r>
      <w:r w:rsidRPr="005E758A">
        <w:rPr>
          <w:sz w:val="28"/>
          <w:szCs w:val="24"/>
        </w:rPr>
        <w:t>1</w:t>
      </w:r>
      <w:r w:rsidRPr="005E758A">
        <w:rPr>
          <w:sz w:val="28"/>
          <w:szCs w:val="24"/>
        </w:rPr>
        <w:t>項所定之「教育目的」。</w:t>
      </w:r>
      <w:r w:rsidRPr="005E758A">
        <w:rPr>
          <w:bCs/>
          <w:sz w:val="28"/>
          <w:szCs w:val="24"/>
        </w:rPr>
        <w:t>依據</w:t>
      </w:r>
      <w:r w:rsidRPr="005E758A">
        <w:rPr>
          <w:sz w:val="28"/>
          <w:szCs w:val="24"/>
        </w:rPr>
        <w:t>兒童權利委員會第</w:t>
      </w:r>
      <w:r w:rsidRPr="005E758A">
        <w:rPr>
          <w:sz w:val="28"/>
          <w:szCs w:val="24"/>
        </w:rPr>
        <w:t>1</w:t>
      </w:r>
      <w:r w:rsidRPr="005E758A">
        <w:rPr>
          <w:sz w:val="28"/>
          <w:szCs w:val="24"/>
        </w:rPr>
        <w:t>號一般性意見之闡釋，媒體對兒童教育極其關鍵</w:t>
      </w:r>
      <w:proofErr w:type="gramStart"/>
      <w:r w:rsidRPr="005E758A">
        <w:rPr>
          <w:sz w:val="28"/>
          <w:szCs w:val="24"/>
        </w:rPr>
        <w:t>─</w:t>
      </w:r>
      <w:proofErr w:type="gramEnd"/>
      <w:r w:rsidRPr="005E758A">
        <w:rPr>
          <w:sz w:val="28"/>
          <w:szCs w:val="24"/>
        </w:rPr>
        <w:t>媒體除具有促進兒童人格、才能等潛能獲得發展的功能外，同時也應確保其所傳播之資訊不損及其他人為</w:t>
      </w:r>
      <w:r w:rsidRPr="005E758A">
        <w:rPr>
          <w:bCs/>
          <w:sz w:val="28"/>
          <w:szCs w:val="24"/>
        </w:rPr>
        <w:t>達成</w:t>
      </w:r>
      <w:r w:rsidRPr="005E758A">
        <w:rPr>
          <w:sz w:val="28"/>
          <w:szCs w:val="24"/>
        </w:rPr>
        <w:t>教育目的所做的努力。因此，國家應採取適當措施鼓勵媒體傳播有益於兒童社會與文化發展的資訊</w:t>
      </w:r>
      <w:r w:rsidRPr="005E758A">
        <w:rPr>
          <w:rStyle w:val="af3"/>
          <w:szCs w:val="24"/>
        </w:rPr>
        <w:endnoteReference w:id="224"/>
      </w:r>
      <w:r w:rsidRPr="005E758A">
        <w:rPr>
          <w:sz w:val="28"/>
          <w:szCs w:val="24"/>
        </w:rPr>
        <w:t>。</w:t>
      </w:r>
    </w:p>
    <w:p w14:paraId="7CA90DF6" w14:textId="77777777" w:rsidR="00F75D48" w:rsidRPr="005E758A" w:rsidRDefault="00F75D48" w:rsidP="00F02A5C">
      <w:pPr>
        <w:pStyle w:val="4"/>
        <w:numPr>
          <w:ilvl w:val="0"/>
          <w:numId w:val="146"/>
        </w:numPr>
        <w:ind w:left="1315" w:hanging="357"/>
        <w:rPr>
          <w:szCs w:val="24"/>
        </w:rPr>
      </w:pPr>
      <w:r w:rsidRPr="005E758A">
        <w:rPr>
          <w:szCs w:val="24"/>
        </w:rPr>
        <w:t>鼓勵「國際合作」</w:t>
      </w:r>
    </w:p>
    <w:p w14:paraId="7C8985A2" w14:textId="77777777" w:rsidR="00F75D48" w:rsidRPr="005E758A" w:rsidRDefault="00F75D48" w:rsidP="00F75D48">
      <w:pPr>
        <w:snapToGrid w:val="0"/>
        <w:spacing w:before="100" w:beforeAutospacing="1" w:after="100" w:afterAutospacing="1"/>
        <w:ind w:firstLineChars="200" w:firstLine="560"/>
        <w:jc w:val="both"/>
        <w:rPr>
          <w:sz w:val="28"/>
          <w:szCs w:val="24"/>
        </w:rPr>
      </w:pPr>
      <w:r w:rsidRPr="005E758A">
        <w:rPr>
          <w:sz w:val="28"/>
          <w:szCs w:val="24"/>
        </w:rPr>
        <w:t>此處強調國際合作對於公約全面落實的重要，並確保兒童能獲得多元文化的資訊。</w:t>
      </w:r>
      <w:proofErr w:type="gramStart"/>
      <w:r w:rsidRPr="005E758A">
        <w:rPr>
          <w:sz w:val="28"/>
          <w:szCs w:val="24"/>
        </w:rPr>
        <w:t>此外，</w:t>
      </w:r>
      <w:proofErr w:type="gramEnd"/>
      <w:r w:rsidRPr="005E758A">
        <w:rPr>
          <w:sz w:val="28"/>
          <w:szCs w:val="24"/>
        </w:rPr>
        <w:t>現代科技雖大幅增加兒童透過資訊學習的機會，但也應注意該等資訊的傳達目的以及兒童從中可能吸收之內容是否</w:t>
      </w:r>
      <w:proofErr w:type="gramStart"/>
      <w:r w:rsidRPr="005E758A">
        <w:rPr>
          <w:sz w:val="28"/>
          <w:szCs w:val="24"/>
        </w:rPr>
        <w:t>洽當</w:t>
      </w:r>
      <w:proofErr w:type="gramEnd"/>
      <w:r w:rsidRPr="005E758A">
        <w:rPr>
          <w:sz w:val="28"/>
          <w:szCs w:val="24"/>
        </w:rPr>
        <w:t>。</w:t>
      </w:r>
    </w:p>
    <w:p w14:paraId="42D88E03" w14:textId="77777777" w:rsidR="00F75D48" w:rsidRPr="005E758A" w:rsidRDefault="00F75D48" w:rsidP="00F02A5C">
      <w:pPr>
        <w:pStyle w:val="4"/>
        <w:numPr>
          <w:ilvl w:val="0"/>
          <w:numId w:val="146"/>
        </w:numPr>
        <w:ind w:left="1315" w:hanging="357"/>
        <w:rPr>
          <w:szCs w:val="24"/>
        </w:rPr>
      </w:pPr>
      <w:r w:rsidRPr="005E758A">
        <w:rPr>
          <w:szCs w:val="24"/>
        </w:rPr>
        <w:t>鼓勵「兒童讀物之出版及散播」</w:t>
      </w:r>
    </w:p>
    <w:p w14:paraId="08CCF42B" w14:textId="77777777" w:rsidR="00F75D48" w:rsidRPr="005E758A" w:rsidRDefault="00F75D48" w:rsidP="00F75D48">
      <w:pPr>
        <w:snapToGrid w:val="0"/>
        <w:spacing w:before="100" w:beforeAutospacing="1" w:after="100" w:afterAutospacing="1"/>
        <w:ind w:firstLineChars="200" w:firstLine="560"/>
        <w:jc w:val="both"/>
        <w:rPr>
          <w:sz w:val="28"/>
          <w:szCs w:val="24"/>
        </w:rPr>
      </w:pPr>
      <w:r w:rsidRPr="005E758A">
        <w:rPr>
          <w:sz w:val="28"/>
          <w:szCs w:val="24"/>
        </w:rPr>
        <w:t>本條草案協商後期，在民間組織的建議下，於草案中</w:t>
      </w:r>
      <w:proofErr w:type="gramStart"/>
      <w:r w:rsidRPr="005E758A">
        <w:rPr>
          <w:sz w:val="28"/>
          <w:szCs w:val="24"/>
        </w:rPr>
        <w:t>增列此款</w:t>
      </w:r>
      <w:proofErr w:type="gramEnd"/>
      <w:r w:rsidRPr="005E758A">
        <w:rPr>
          <w:sz w:val="28"/>
          <w:szCs w:val="24"/>
        </w:rPr>
        <w:t>以強調兒童閱讀的重要性。國家應規定版權方面的例外情形，允許以</w:t>
      </w:r>
      <w:r w:rsidRPr="005E758A">
        <w:rPr>
          <w:bCs/>
          <w:sz w:val="28"/>
          <w:szCs w:val="24"/>
        </w:rPr>
        <w:t>存在</w:t>
      </w:r>
      <w:r w:rsidRPr="005E758A">
        <w:rPr>
          <w:sz w:val="28"/>
          <w:szCs w:val="24"/>
        </w:rPr>
        <w:t>視力或其他障礙的兒童能夠接受的形式，對書籍和其他印刷出版物進行翻製</w:t>
      </w:r>
      <w:r w:rsidRPr="005E758A">
        <w:rPr>
          <w:rStyle w:val="af3"/>
          <w:szCs w:val="24"/>
        </w:rPr>
        <w:endnoteReference w:id="225"/>
      </w:r>
      <w:r w:rsidRPr="005E758A">
        <w:rPr>
          <w:sz w:val="28"/>
          <w:szCs w:val="24"/>
        </w:rPr>
        <w:t>。</w:t>
      </w:r>
    </w:p>
    <w:p w14:paraId="39BFB863" w14:textId="77777777" w:rsidR="00F75D48" w:rsidRPr="005E758A" w:rsidRDefault="00F75D48" w:rsidP="00F02A5C">
      <w:pPr>
        <w:pStyle w:val="4"/>
        <w:numPr>
          <w:ilvl w:val="0"/>
          <w:numId w:val="146"/>
        </w:numPr>
        <w:ind w:left="1315" w:hanging="357"/>
        <w:rPr>
          <w:szCs w:val="24"/>
        </w:rPr>
      </w:pPr>
      <w:r w:rsidRPr="005E758A">
        <w:rPr>
          <w:szCs w:val="24"/>
        </w:rPr>
        <w:t>鼓勵「大眾傳播媒體對少數族群或原住民兒童在語言方面之需要，予以特別關注」</w:t>
      </w:r>
    </w:p>
    <w:p w14:paraId="0B119299" w14:textId="77777777" w:rsidR="00F75D48" w:rsidRPr="005E758A" w:rsidRDefault="00F75D48" w:rsidP="00F75D48">
      <w:pPr>
        <w:snapToGrid w:val="0"/>
        <w:spacing w:before="100" w:beforeAutospacing="1" w:after="100" w:afterAutospacing="1"/>
        <w:ind w:firstLineChars="200" w:firstLine="560"/>
        <w:jc w:val="both"/>
        <w:rPr>
          <w:sz w:val="28"/>
          <w:szCs w:val="24"/>
        </w:rPr>
      </w:pPr>
      <w:r w:rsidRPr="005E758A">
        <w:rPr>
          <w:sz w:val="28"/>
          <w:szCs w:val="24"/>
        </w:rPr>
        <w:t>此部分係指媒體應重視原住民兒童以其傳統語言吸收資訊及視障兒童的特殊需求。於第</w:t>
      </w:r>
      <w:r w:rsidRPr="005E758A">
        <w:rPr>
          <w:sz w:val="28"/>
          <w:szCs w:val="24"/>
        </w:rPr>
        <w:t>29</w:t>
      </w:r>
      <w:r w:rsidRPr="005E758A">
        <w:rPr>
          <w:sz w:val="28"/>
          <w:szCs w:val="24"/>
        </w:rPr>
        <w:t>條教育目標強調國家價值、文化及語言</w:t>
      </w:r>
      <w:r w:rsidRPr="005E758A">
        <w:rPr>
          <w:sz w:val="28"/>
          <w:szCs w:val="24"/>
        </w:rPr>
        <w:lastRenderedPageBreak/>
        <w:t>之多樣化，而媒體應扮演輔助推廣之角色。兒童權利委員會時常強調各國以少數民族的語言做成本公約譯本之重要性，而媒體之參與尤為重要</w:t>
      </w:r>
      <w:r w:rsidRPr="005E758A">
        <w:rPr>
          <w:rStyle w:val="af3"/>
          <w:szCs w:val="24"/>
        </w:rPr>
        <w:endnoteReference w:id="226"/>
      </w:r>
      <w:r w:rsidRPr="005E758A">
        <w:rPr>
          <w:sz w:val="28"/>
          <w:szCs w:val="24"/>
        </w:rPr>
        <w:t>。於第</w:t>
      </w:r>
      <w:r w:rsidRPr="005E758A">
        <w:rPr>
          <w:sz w:val="28"/>
          <w:szCs w:val="24"/>
        </w:rPr>
        <w:t>11</w:t>
      </w:r>
      <w:r w:rsidRPr="005E758A">
        <w:rPr>
          <w:sz w:val="28"/>
          <w:szCs w:val="24"/>
        </w:rPr>
        <w:t>號一般性意見中，兒童權利委員會強調了媒體依照本條及第</w:t>
      </w:r>
      <w:r w:rsidRPr="005E758A">
        <w:rPr>
          <w:sz w:val="28"/>
          <w:szCs w:val="24"/>
        </w:rPr>
        <w:t>30</w:t>
      </w:r>
      <w:r w:rsidRPr="005E758A">
        <w:rPr>
          <w:sz w:val="28"/>
          <w:szCs w:val="24"/>
        </w:rPr>
        <w:t>條特別注意原住民兒童在語言方面的需要之重要性。兒童權利委員會鼓勵締約國支持原住民兒童獲得自己語言的媒體。同時，強調原住民兒童獲取資訊</w:t>
      </w:r>
      <w:r w:rsidRPr="005E758A">
        <w:rPr>
          <w:sz w:val="28"/>
          <w:szCs w:val="24"/>
        </w:rPr>
        <w:t>(</w:t>
      </w:r>
      <w:r w:rsidRPr="005E758A">
        <w:rPr>
          <w:sz w:val="28"/>
          <w:szCs w:val="24"/>
        </w:rPr>
        <w:t>包括以其自己的語言</w:t>
      </w:r>
      <w:r w:rsidRPr="005E758A">
        <w:rPr>
          <w:sz w:val="28"/>
          <w:szCs w:val="24"/>
        </w:rPr>
        <w:t>)</w:t>
      </w:r>
      <w:r w:rsidRPr="005E758A">
        <w:rPr>
          <w:sz w:val="28"/>
          <w:szCs w:val="24"/>
        </w:rPr>
        <w:t>的權利，使其能夠有效地行使陳情權</w:t>
      </w:r>
      <w:r w:rsidRPr="005E758A">
        <w:rPr>
          <w:rStyle w:val="af3"/>
          <w:szCs w:val="24"/>
        </w:rPr>
        <w:endnoteReference w:id="227"/>
      </w:r>
      <w:r w:rsidRPr="005E758A">
        <w:rPr>
          <w:sz w:val="28"/>
          <w:szCs w:val="24"/>
        </w:rPr>
        <w:t>。</w:t>
      </w:r>
    </w:p>
    <w:p w14:paraId="3C31A8E3" w14:textId="77777777" w:rsidR="00F75D48" w:rsidRPr="005E758A" w:rsidRDefault="00F75D48" w:rsidP="00F75D48">
      <w:pPr>
        <w:snapToGrid w:val="0"/>
        <w:spacing w:before="100" w:beforeAutospacing="1" w:after="100" w:afterAutospacing="1"/>
        <w:ind w:leftChars="354" w:left="850"/>
        <w:rPr>
          <w:sz w:val="28"/>
          <w:szCs w:val="24"/>
        </w:rPr>
      </w:pPr>
      <w:r w:rsidRPr="005E758A">
        <w:rPr>
          <w:sz w:val="28"/>
          <w:szCs w:val="24"/>
        </w:rPr>
        <w:t xml:space="preserve">5. </w:t>
      </w:r>
      <w:r w:rsidRPr="005E758A">
        <w:rPr>
          <w:sz w:val="28"/>
          <w:szCs w:val="24"/>
        </w:rPr>
        <w:t>鼓勵「發展適當準則，以保護兒童免於受有損其福祉之資訊與資料之傷害」</w:t>
      </w:r>
      <w:r w:rsidRPr="005E758A">
        <w:rPr>
          <w:sz w:val="28"/>
          <w:szCs w:val="24"/>
        </w:rPr>
        <w:t xml:space="preserve"> </w:t>
      </w:r>
    </w:p>
    <w:p w14:paraId="5828D3DF" w14:textId="77777777" w:rsidR="00F75D48" w:rsidRPr="005E758A" w:rsidRDefault="00F75D48" w:rsidP="00F75D48">
      <w:pPr>
        <w:snapToGrid w:val="0"/>
        <w:spacing w:before="100" w:beforeAutospacing="1" w:after="100" w:afterAutospacing="1"/>
        <w:ind w:firstLineChars="200" w:firstLine="560"/>
        <w:jc w:val="both"/>
        <w:rPr>
          <w:sz w:val="28"/>
          <w:szCs w:val="28"/>
        </w:rPr>
      </w:pPr>
      <w:r w:rsidRPr="005E758A">
        <w:rPr>
          <w:sz w:val="28"/>
          <w:szCs w:val="24"/>
        </w:rPr>
        <w:t>此條款關注的問題為不良資訊，對兒童可能造成危害。國家有義務對媒體進行適當監管，以保護兒童避免接觸有害資訊，尤其是色情資料和渲染或加強暴力、歧視和兒童色情的資料，同時認識到兒童享有資訊權和言論自由。國家應鼓勵大眾媒體制定準則，確保充分尊重兒童的權利，包括保護他們免遭暴力，並避免所有媒體報導對他們進</w:t>
      </w:r>
      <w:r w:rsidRPr="005E758A">
        <w:rPr>
          <w:sz w:val="28"/>
          <w:szCs w:val="28"/>
        </w:rPr>
        <w:t>行導致歧視長期存在的刻畫</w:t>
      </w:r>
      <w:r w:rsidRPr="005E758A">
        <w:rPr>
          <w:rStyle w:val="af3"/>
          <w:szCs w:val="28"/>
        </w:rPr>
        <w:endnoteReference w:id="228"/>
      </w:r>
      <w:r w:rsidRPr="005E758A">
        <w:rPr>
          <w:sz w:val="28"/>
          <w:szCs w:val="28"/>
        </w:rPr>
        <w:t>。</w:t>
      </w:r>
    </w:p>
    <w:p w14:paraId="3154EFD3" w14:textId="77777777" w:rsidR="00F75D48" w:rsidRPr="005E758A" w:rsidRDefault="00F75D48" w:rsidP="00F75D48">
      <w:pPr>
        <w:snapToGrid w:val="0"/>
        <w:spacing w:before="100" w:beforeAutospacing="1" w:after="100" w:afterAutospacing="1"/>
        <w:ind w:firstLineChars="200" w:firstLine="560"/>
        <w:jc w:val="both"/>
        <w:rPr>
          <w:sz w:val="28"/>
          <w:szCs w:val="28"/>
        </w:rPr>
      </w:pPr>
      <w:r w:rsidRPr="005E758A">
        <w:rPr>
          <w:sz w:val="28"/>
          <w:szCs w:val="28"/>
        </w:rPr>
        <w:t>兒童權利委員會在商業對兒童影響之部分指出，數位媒體尤其令人關切，因為許多兒童可能使用網際網路，但也因此成為暴力受害者，如網路</w:t>
      </w:r>
      <w:proofErr w:type="gramStart"/>
      <w:r w:rsidRPr="005E758A">
        <w:rPr>
          <w:sz w:val="28"/>
          <w:szCs w:val="28"/>
        </w:rPr>
        <w:t>霸凌、</w:t>
      </w:r>
      <w:proofErr w:type="gramEnd"/>
      <w:r w:rsidRPr="005E758A">
        <w:rPr>
          <w:sz w:val="28"/>
          <w:szCs w:val="28"/>
        </w:rPr>
        <w:t>網絡誘拐、販運或通過網際網路進行的性虐待和性剝削等。雖然企業不一定直接參與這些犯罪行為，但可能通過其行動成為這些侵權行為的同謀。例如，在</w:t>
      </w:r>
      <w:r w:rsidRPr="005E758A">
        <w:rPr>
          <w:sz w:val="28"/>
          <w:szCs w:val="24"/>
        </w:rPr>
        <w:t>網際網路</w:t>
      </w:r>
      <w:r w:rsidRPr="005E758A">
        <w:rPr>
          <w:sz w:val="28"/>
          <w:szCs w:val="28"/>
        </w:rPr>
        <w:t>上運作的旅行社可能會助長兒童色情旅遊，因為它們便於交流信息和策劃色情旅遊活動。網路企業和信用卡提供者可能會間接為兒童色情製品提供便利。在履行根據「關於買賣兒童、兒童賣淫和兒童色情問題之兒童權利公約任擇議定書」承擔的義務的同時，各國還應為兒童提供適合其年齡的網路安全相關資訊，使之能夠應對風險，並知道如何求助。國家應與資訊和通信技術行業協調，制定適當措施，讓兒童遠離暴力和不適當的資料</w:t>
      </w:r>
      <w:r w:rsidRPr="005E758A">
        <w:rPr>
          <w:rStyle w:val="af3"/>
          <w:szCs w:val="28"/>
        </w:rPr>
        <w:endnoteReference w:id="229"/>
      </w:r>
      <w:r w:rsidRPr="005E758A">
        <w:rPr>
          <w:sz w:val="28"/>
          <w:szCs w:val="28"/>
        </w:rPr>
        <w:t>。</w:t>
      </w:r>
    </w:p>
    <w:p w14:paraId="22813504" w14:textId="77777777" w:rsidR="00F75D48" w:rsidRPr="005E758A" w:rsidRDefault="00F75D48" w:rsidP="00F75D48">
      <w:pPr>
        <w:snapToGrid w:val="0"/>
        <w:spacing w:before="100" w:beforeAutospacing="1" w:after="100" w:afterAutospacing="1"/>
        <w:ind w:firstLineChars="200" w:firstLine="560"/>
        <w:jc w:val="both"/>
        <w:rPr>
          <w:sz w:val="28"/>
          <w:szCs w:val="28"/>
        </w:rPr>
      </w:pPr>
      <w:r w:rsidRPr="005E758A">
        <w:rPr>
          <w:sz w:val="28"/>
          <w:szCs w:val="28"/>
        </w:rPr>
        <w:t>依據兒童權利委員會於</w:t>
      </w:r>
      <w:r w:rsidRPr="005E758A">
        <w:rPr>
          <w:sz w:val="28"/>
          <w:szCs w:val="28"/>
        </w:rPr>
        <w:t>1996</w:t>
      </w:r>
      <w:r w:rsidRPr="005E758A">
        <w:rPr>
          <w:sz w:val="28"/>
          <w:szCs w:val="28"/>
        </w:rPr>
        <w:t>年「兒童與媒體」之一般性一日討論</w:t>
      </w:r>
      <w:r w:rsidRPr="005E758A">
        <w:rPr>
          <w:rStyle w:val="af3"/>
          <w:szCs w:val="28"/>
        </w:rPr>
        <w:endnoteReference w:id="230"/>
      </w:r>
      <w:r w:rsidRPr="005E758A">
        <w:rPr>
          <w:sz w:val="28"/>
          <w:szCs w:val="28"/>
        </w:rPr>
        <w:t>，可能</w:t>
      </w:r>
      <w:proofErr w:type="gramStart"/>
      <w:r w:rsidRPr="005E758A">
        <w:rPr>
          <w:sz w:val="28"/>
          <w:szCs w:val="28"/>
        </w:rPr>
        <w:t>採</w:t>
      </w:r>
      <w:proofErr w:type="gramEnd"/>
      <w:r w:rsidRPr="005E758A">
        <w:rPr>
          <w:sz w:val="28"/>
          <w:szCs w:val="28"/>
        </w:rPr>
        <w:t>行之措施包括與媒體事業簽署自願禁止不當資訊之契約、透過完整之計畫強化父母在媒體市場的影響力等。</w:t>
      </w:r>
      <w:r w:rsidRPr="005E758A">
        <w:rPr>
          <w:sz w:val="28"/>
          <w:szCs w:val="28"/>
        </w:rPr>
        <w:t>2014</w:t>
      </w:r>
      <w:r w:rsidRPr="005E758A">
        <w:rPr>
          <w:sz w:val="28"/>
          <w:szCs w:val="28"/>
        </w:rPr>
        <w:t>年所舉辦之「數位媒體與兒童權利」一般性一日討論則針對兒童廣泛使用社交媒體與資訊傳播技術</w:t>
      </w:r>
      <w:r w:rsidRPr="005E758A">
        <w:rPr>
          <w:sz w:val="28"/>
          <w:szCs w:val="28"/>
        </w:rPr>
        <w:t>(information and communication technologies, ICTs)</w:t>
      </w:r>
      <w:r w:rsidRPr="005E758A">
        <w:rPr>
          <w:sz w:val="28"/>
          <w:szCs w:val="28"/>
        </w:rPr>
        <w:t>之現象，分析於此領域中對兒童權利可能造成之影響，並發展基於兒童權利之策略，於保護兒童遠離有害資訊之風險的同時，使兒童獲得網路資訊取得之最大利益</w:t>
      </w:r>
      <w:r w:rsidRPr="005E758A">
        <w:rPr>
          <w:rStyle w:val="af3"/>
          <w:szCs w:val="28"/>
        </w:rPr>
        <w:endnoteReference w:id="231"/>
      </w:r>
      <w:r w:rsidRPr="005E758A">
        <w:rPr>
          <w:sz w:val="28"/>
          <w:szCs w:val="28"/>
        </w:rPr>
        <w:t>。由兒童委員會近年來針對個別國家報告之結論性意見中亦可看出，如何規範網路與手機等電子媒體所可能傳</w:t>
      </w:r>
      <w:r w:rsidRPr="005E758A">
        <w:rPr>
          <w:sz w:val="28"/>
          <w:szCs w:val="28"/>
        </w:rPr>
        <w:lastRenderedPageBreak/>
        <w:t>遞之有害資訊已成為越來越受到重視的問題。</w:t>
      </w:r>
    </w:p>
    <w:p w14:paraId="51DB993E" w14:textId="77777777" w:rsidR="00F75D48" w:rsidRPr="005E758A" w:rsidRDefault="00F75D48" w:rsidP="00A10E32">
      <w:pPr>
        <w:pStyle w:val="2"/>
        <w:numPr>
          <w:ilvl w:val="0"/>
          <w:numId w:val="148"/>
        </w:numPr>
      </w:pPr>
      <w:r w:rsidRPr="005E758A">
        <w:t>案例</w:t>
      </w:r>
      <w:r w:rsidRPr="005E758A">
        <w:rPr>
          <w:szCs w:val="28"/>
        </w:rPr>
        <w:t>介紹</w:t>
      </w:r>
    </w:p>
    <w:p w14:paraId="7092C19A" w14:textId="77777777" w:rsidR="00F75D48" w:rsidRPr="005E758A" w:rsidRDefault="00F75D48" w:rsidP="00F02A5C">
      <w:pPr>
        <w:pStyle w:val="3"/>
        <w:numPr>
          <w:ilvl w:val="0"/>
          <w:numId w:val="150"/>
        </w:numPr>
      </w:pPr>
      <w:r w:rsidRPr="005E758A">
        <w:t>2008</w:t>
      </w:r>
      <w:r w:rsidRPr="005E758A">
        <w:t>年歐洲聯盟法院影視分級案：</w:t>
      </w:r>
      <w:r w:rsidRPr="005E758A">
        <w:t xml:space="preserve">Dynamic </w:t>
      </w:r>
      <w:proofErr w:type="spellStart"/>
      <w:r w:rsidRPr="005E758A">
        <w:t>Medien</w:t>
      </w:r>
      <w:proofErr w:type="spellEnd"/>
      <w:r w:rsidRPr="005E758A">
        <w:t xml:space="preserve"> </w:t>
      </w:r>
      <w:proofErr w:type="spellStart"/>
      <w:r w:rsidRPr="005E758A">
        <w:t>Vertriebs</w:t>
      </w:r>
      <w:proofErr w:type="spellEnd"/>
      <w:r w:rsidRPr="005E758A">
        <w:t xml:space="preserve"> GmbH v </w:t>
      </w:r>
      <w:proofErr w:type="spellStart"/>
      <w:r w:rsidRPr="005E758A">
        <w:t>Avides</w:t>
      </w:r>
      <w:proofErr w:type="spellEnd"/>
      <w:r w:rsidRPr="005E758A">
        <w:t xml:space="preserve"> Media AG</w:t>
      </w:r>
      <w:r w:rsidRPr="005E758A">
        <w:rPr>
          <w:rStyle w:val="af3"/>
        </w:rPr>
        <w:endnoteReference w:id="232"/>
      </w:r>
    </w:p>
    <w:p w14:paraId="491A283B" w14:textId="77777777" w:rsidR="00F75D48" w:rsidRPr="005E758A" w:rsidRDefault="00F75D48" w:rsidP="00F75D48">
      <w:pPr>
        <w:snapToGrid w:val="0"/>
        <w:spacing w:before="100" w:beforeAutospacing="1" w:after="100" w:afterAutospacing="1"/>
        <w:ind w:firstLineChars="200" w:firstLine="560"/>
        <w:jc w:val="both"/>
        <w:rPr>
          <w:sz w:val="28"/>
          <w:szCs w:val="28"/>
        </w:rPr>
      </w:pPr>
      <w:r w:rsidRPr="005E758A">
        <w:rPr>
          <w:sz w:val="28"/>
          <w:szCs w:val="28"/>
        </w:rPr>
        <w:t>本案被告</w:t>
      </w:r>
      <w:proofErr w:type="spellStart"/>
      <w:r w:rsidRPr="005E758A">
        <w:rPr>
          <w:sz w:val="28"/>
          <w:szCs w:val="28"/>
        </w:rPr>
        <w:t>Avides</w:t>
      </w:r>
      <w:proofErr w:type="spellEnd"/>
      <w:r w:rsidRPr="005E758A">
        <w:rPr>
          <w:sz w:val="28"/>
          <w:szCs w:val="28"/>
        </w:rPr>
        <w:t xml:space="preserve"> Media</w:t>
      </w:r>
      <w:r w:rsidRPr="005E758A">
        <w:rPr>
          <w:sz w:val="28"/>
          <w:szCs w:val="28"/>
        </w:rPr>
        <w:t>係透過網站及其他電子交易平台販售影視產品。被告自英國進口日本動畫</w:t>
      </w:r>
      <w:r w:rsidRPr="005E758A">
        <w:rPr>
          <w:sz w:val="28"/>
          <w:szCs w:val="28"/>
        </w:rPr>
        <w:t>DVD</w:t>
      </w:r>
      <w:r w:rsidRPr="005E758A">
        <w:rPr>
          <w:sz w:val="28"/>
          <w:szCs w:val="28"/>
        </w:rPr>
        <w:t>及卡帶至德國，該日本動畫於進口前已經英國影片分級委員會</w:t>
      </w:r>
      <w:r w:rsidRPr="005E758A">
        <w:rPr>
          <w:sz w:val="28"/>
          <w:szCs w:val="28"/>
        </w:rPr>
        <w:t>( British Board of Film Classification, the BBFC)</w:t>
      </w:r>
      <w:r w:rsidRPr="005E758A">
        <w:rPr>
          <w:sz w:val="28"/>
          <w:szCs w:val="28"/>
        </w:rPr>
        <w:t>基於保護少年相關法規檢查，並且分級為「適合</w:t>
      </w:r>
      <w:r w:rsidRPr="005E758A">
        <w:rPr>
          <w:sz w:val="28"/>
          <w:szCs w:val="28"/>
        </w:rPr>
        <w:t>15</w:t>
      </w:r>
      <w:r w:rsidRPr="005E758A">
        <w:rPr>
          <w:sz w:val="28"/>
          <w:szCs w:val="28"/>
        </w:rPr>
        <w:t>歲以上觀看」，該批日本動畫</w:t>
      </w:r>
      <w:r w:rsidRPr="005E758A">
        <w:rPr>
          <w:sz w:val="28"/>
          <w:szCs w:val="28"/>
        </w:rPr>
        <w:t>DVD</w:t>
      </w:r>
      <w:r w:rsidRPr="005E758A">
        <w:rPr>
          <w:sz w:val="28"/>
          <w:szCs w:val="28"/>
        </w:rPr>
        <w:t>上貼有「僅供</w:t>
      </w:r>
      <w:r w:rsidRPr="005E758A">
        <w:rPr>
          <w:sz w:val="28"/>
          <w:szCs w:val="28"/>
        </w:rPr>
        <w:t>15</w:t>
      </w:r>
      <w:r w:rsidRPr="005E758A">
        <w:rPr>
          <w:sz w:val="28"/>
          <w:szCs w:val="28"/>
        </w:rPr>
        <w:t>歲以上青少年觀賞」之標籤。原告</w:t>
      </w:r>
      <w:r w:rsidRPr="005E758A">
        <w:rPr>
          <w:sz w:val="28"/>
          <w:szCs w:val="28"/>
        </w:rPr>
        <w:t xml:space="preserve">Dynamic </w:t>
      </w:r>
      <w:proofErr w:type="spellStart"/>
      <w:r w:rsidRPr="005E758A">
        <w:rPr>
          <w:sz w:val="28"/>
          <w:szCs w:val="28"/>
        </w:rPr>
        <w:t>Medien</w:t>
      </w:r>
      <w:proofErr w:type="spellEnd"/>
      <w:r w:rsidRPr="005E758A">
        <w:rPr>
          <w:sz w:val="28"/>
          <w:szCs w:val="28"/>
        </w:rPr>
        <w:t>起訴主張被告進口之日本動畫未經德國當局有關保護少年之相關法令審查，亦未依照德國之標準黏貼分級標籤。</w:t>
      </w:r>
    </w:p>
    <w:p w14:paraId="0B863FDF" w14:textId="77777777" w:rsidR="00F75D48" w:rsidRPr="005E758A" w:rsidRDefault="00F75D48" w:rsidP="00F75D48">
      <w:pPr>
        <w:snapToGrid w:val="0"/>
        <w:spacing w:before="100" w:beforeAutospacing="1" w:after="100" w:afterAutospacing="1"/>
        <w:ind w:firstLineChars="200" w:firstLine="560"/>
        <w:jc w:val="both"/>
        <w:rPr>
          <w:sz w:val="28"/>
          <w:szCs w:val="28"/>
        </w:rPr>
      </w:pPr>
      <w:r w:rsidRPr="005E758A">
        <w:rPr>
          <w:sz w:val="28"/>
          <w:szCs w:val="28"/>
        </w:rPr>
        <w:t>本案爭點在於禁止未經審查及分級之貨物是否違反貨物運送自由。法院於審查中引述兒童權利公約第</w:t>
      </w:r>
      <w:r w:rsidRPr="005E758A">
        <w:rPr>
          <w:sz w:val="28"/>
          <w:szCs w:val="28"/>
        </w:rPr>
        <w:t>17</w:t>
      </w:r>
      <w:r w:rsidRPr="005E758A">
        <w:rPr>
          <w:sz w:val="28"/>
          <w:szCs w:val="28"/>
        </w:rPr>
        <w:t>條認為德國之法令係為保護兒童與少年遠離可能影響身心靈發展之資料，</w:t>
      </w:r>
      <w:proofErr w:type="gramStart"/>
      <w:r w:rsidRPr="005E758A">
        <w:rPr>
          <w:sz w:val="28"/>
          <w:szCs w:val="28"/>
        </w:rPr>
        <w:t>並肯認</w:t>
      </w:r>
      <w:proofErr w:type="gramEnd"/>
      <w:r w:rsidRPr="005E758A">
        <w:rPr>
          <w:sz w:val="28"/>
          <w:szCs w:val="28"/>
        </w:rPr>
        <w:t>德國之分級審查係符合同條第</w:t>
      </w:r>
      <w:r w:rsidRPr="005E758A">
        <w:rPr>
          <w:sz w:val="28"/>
          <w:szCs w:val="28"/>
        </w:rPr>
        <w:t>2</w:t>
      </w:r>
      <w:r w:rsidRPr="005E758A">
        <w:rPr>
          <w:sz w:val="28"/>
          <w:szCs w:val="28"/>
        </w:rPr>
        <w:t>項第</w:t>
      </w:r>
      <w:r w:rsidRPr="005E758A">
        <w:rPr>
          <w:sz w:val="28"/>
          <w:szCs w:val="28"/>
        </w:rPr>
        <w:t>5</w:t>
      </w:r>
      <w:r w:rsidRPr="005E758A">
        <w:rPr>
          <w:sz w:val="28"/>
          <w:szCs w:val="28"/>
        </w:rPr>
        <w:t>款之發展適當準則，以保護兒童與少年免於受有損其福祉之資訊與資料之傷害等相關規定。因此基於保護資訊權之權衡下，本案並未違反貨物運送自由。</w:t>
      </w:r>
    </w:p>
    <w:p w14:paraId="384CF8B9" w14:textId="77777777" w:rsidR="00F75D48" w:rsidRPr="005E758A" w:rsidRDefault="00F75D48" w:rsidP="00F75D48">
      <w:pPr>
        <w:pStyle w:val="3"/>
        <w:numPr>
          <w:ilvl w:val="0"/>
          <w:numId w:val="3"/>
        </w:numPr>
        <w:ind w:left="0" w:firstLine="0"/>
      </w:pPr>
      <w:r w:rsidRPr="005E758A">
        <w:t>2007</w:t>
      </w:r>
      <w:r w:rsidRPr="005E758A">
        <w:t>年捷克最高行政法院實</w:t>
      </w:r>
      <w:proofErr w:type="gramStart"/>
      <w:r w:rsidRPr="005E758A">
        <w:t>境秀案</w:t>
      </w:r>
      <w:proofErr w:type="gramEnd"/>
      <w:r w:rsidRPr="005E758A">
        <w:t>：</w:t>
      </w:r>
      <w:r w:rsidRPr="005E758A">
        <w:t xml:space="preserve">Fines for Broadcasters of a Reality Television Show Which Contained </w:t>
      </w:r>
      <w:proofErr w:type="gramStart"/>
      <w:r w:rsidRPr="005E758A">
        <w:t>a Number of</w:t>
      </w:r>
      <w:proofErr w:type="gramEnd"/>
      <w:r w:rsidRPr="005E758A">
        <w:t xml:space="preserve"> Scenes That Could Endanger the Moral Development of Children and the Young</w:t>
      </w:r>
      <w:r w:rsidRPr="005E758A">
        <w:rPr>
          <w:rStyle w:val="af3"/>
        </w:rPr>
        <w:endnoteReference w:id="233"/>
      </w:r>
    </w:p>
    <w:p w14:paraId="7BEE9936" w14:textId="77777777" w:rsidR="00F75D48" w:rsidRPr="005E758A" w:rsidRDefault="00F75D48" w:rsidP="00F75D48">
      <w:pPr>
        <w:snapToGrid w:val="0"/>
        <w:spacing w:before="100" w:beforeAutospacing="1" w:after="100" w:afterAutospacing="1"/>
        <w:ind w:firstLineChars="200" w:firstLine="560"/>
        <w:jc w:val="both"/>
        <w:rPr>
          <w:sz w:val="28"/>
          <w:szCs w:val="28"/>
        </w:rPr>
      </w:pPr>
      <w:r w:rsidRPr="005E758A">
        <w:rPr>
          <w:sz w:val="28"/>
          <w:szCs w:val="28"/>
        </w:rPr>
        <w:t>捷克共和國之法律禁止早上</w:t>
      </w:r>
      <w:r w:rsidR="00EA4CCF" w:rsidRPr="005E758A">
        <w:rPr>
          <w:sz w:val="28"/>
          <w:szCs w:val="28"/>
        </w:rPr>
        <w:t>6</w:t>
      </w:r>
      <w:r w:rsidRPr="005E758A">
        <w:rPr>
          <w:sz w:val="28"/>
          <w:szCs w:val="28"/>
        </w:rPr>
        <w:t>點至晚上</w:t>
      </w:r>
      <w:r w:rsidR="00EA4CCF" w:rsidRPr="005E758A">
        <w:rPr>
          <w:sz w:val="28"/>
          <w:szCs w:val="28"/>
        </w:rPr>
        <w:t>10</w:t>
      </w:r>
      <w:r w:rsidRPr="005E758A">
        <w:rPr>
          <w:sz w:val="28"/>
          <w:szCs w:val="28"/>
        </w:rPr>
        <w:t>點間播放有關暴力、色情、酗酒等內容節目，</w:t>
      </w:r>
      <w:proofErr w:type="gramStart"/>
      <w:r w:rsidRPr="005E758A">
        <w:rPr>
          <w:sz w:val="28"/>
          <w:szCs w:val="28"/>
        </w:rPr>
        <w:t>一實境秀節目</w:t>
      </w:r>
      <w:proofErr w:type="gramEnd"/>
      <w:r w:rsidRPr="005E758A">
        <w:rPr>
          <w:sz w:val="28"/>
          <w:szCs w:val="28"/>
        </w:rPr>
        <w:t>因於禁止時間內播放相關內容而遭捷克電視廣播主管機關裁罰罰鍰，該電視公司不服罰鍰而上訴捷克最高行政法院。</w:t>
      </w:r>
    </w:p>
    <w:p w14:paraId="0B789BD0" w14:textId="77777777" w:rsidR="00F75D48" w:rsidRPr="005E758A" w:rsidRDefault="00F75D48" w:rsidP="00F75D48">
      <w:pPr>
        <w:snapToGrid w:val="0"/>
        <w:spacing w:before="100" w:beforeAutospacing="1" w:after="100" w:afterAutospacing="1"/>
        <w:ind w:firstLineChars="200" w:firstLine="560"/>
        <w:jc w:val="both"/>
        <w:rPr>
          <w:sz w:val="28"/>
          <w:szCs w:val="28"/>
        </w:rPr>
      </w:pPr>
      <w:r w:rsidRPr="005E758A">
        <w:rPr>
          <w:sz w:val="28"/>
          <w:szCs w:val="28"/>
        </w:rPr>
        <w:t>本案爭點在於該等規定是否侵犯媒體權。法院認為保護未成年人係憲法及許多國際公約之重要核心，電視節目播出含有暴力、菸酒、色情等資訊將傷害兒童之身心健康發展，因此國家得以限制節目於兒童觀看電視節目之時段不得播出含有該等資訊。於本案中，不必證明兒童是否因節目而遭受影響，僅需證明該等節目可能造成兒童發展之影響已足。</w:t>
      </w:r>
      <w:proofErr w:type="gramStart"/>
      <w:r w:rsidRPr="005E758A">
        <w:rPr>
          <w:sz w:val="28"/>
          <w:szCs w:val="28"/>
        </w:rPr>
        <w:t>再者，</w:t>
      </w:r>
      <w:proofErr w:type="gramEnd"/>
      <w:r w:rsidRPr="005E758A">
        <w:rPr>
          <w:sz w:val="28"/>
          <w:szCs w:val="28"/>
        </w:rPr>
        <w:t>國家基於憲法及相關國際或區際公約，包含兒童權利公約，應有妥善保護兒童不受有害資訊侵害之義務。縱使本案中具表意自由與兒童最佳利益之衝突，仍應以兒童之權利為主要考量。</w:t>
      </w:r>
    </w:p>
    <w:p w14:paraId="2CFE4352" w14:textId="77777777" w:rsidR="00F75D48" w:rsidRPr="005E758A" w:rsidRDefault="00F75D48" w:rsidP="00A10E32">
      <w:pPr>
        <w:pStyle w:val="2"/>
        <w:numPr>
          <w:ilvl w:val="0"/>
          <w:numId w:val="148"/>
        </w:numPr>
      </w:pPr>
      <w:r w:rsidRPr="005E758A">
        <w:lastRenderedPageBreak/>
        <w:t>綜合分析</w:t>
      </w:r>
    </w:p>
    <w:p w14:paraId="31696294" w14:textId="77777777" w:rsidR="00F75D48" w:rsidRPr="005E758A" w:rsidRDefault="00F75D48" w:rsidP="004F4F78">
      <w:pPr>
        <w:snapToGrid w:val="0"/>
        <w:jc w:val="both"/>
        <w:rPr>
          <w:sz w:val="28"/>
          <w:szCs w:val="28"/>
        </w:rPr>
      </w:pPr>
      <w:r w:rsidRPr="005E758A">
        <w:rPr>
          <w:sz w:val="28"/>
          <w:szCs w:val="28"/>
        </w:rPr>
        <w:t>兒童對於新知識的接收與學習能力相當強，但卻又未能如成年人般判斷資訊的正確性與教育性。如何提供各種領域正面的、健康的、有助於其身心發展之資訊，關乎兒童未來成年後是否能夠成為成熟理性的公民。本條之規範，其意義在此。就</w:t>
      </w:r>
      <w:r w:rsidRPr="005E758A">
        <w:rPr>
          <w:sz w:val="28"/>
          <w:szCs w:val="28"/>
        </w:rPr>
        <w:t>(e)</w:t>
      </w:r>
      <w:r w:rsidRPr="005E758A">
        <w:rPr>
          <w:sz w:val="28"/>
          <w:szCs w:val="28"/>
        </w:rPr>
        <w:t>款有關保護兒童免於有害資訊之規定，在數位科技、網路風行的</w:t>
      </w:r>
      <w:r w:rsidRPr="005E758A">
        <w:rPr>
          <w:sz w:val="28"/>
          <w:szCs w:val="28"/>
        </w:rPr>
        <w:t>21</w:t>
      </w:r>
      <w:r w:rsidRPr="005E758A">
        <w:rPr>
          <w:sz w:val="28"/>
          <w:szCs w:val="28"/>
        </w:rPr>
        <w:t>世紀，至關重要。歐美各國及台灣的法律皆有禁止或限制撥放</w:t>
      </w:r>
      <w:proofErr w:type="gramStart"/>
      <w:r w:rsidRPr="005E758A">
        <w:rPr>
          <w:sz w:val="28"/>
          <w:szCs w:val="28"/>
        </w:rPr>
        <w:t>菸</w:t>
      </w:r>
      <w:proofErr w:type="gramEnd"/>
      <w:r w:rsidRPr="005E758A">
        <w:rPr>
          <w:sz w:val="28"/>
          <w:szCs w:val="28"/>
        </w:rPr>
        <w:t>、酒類等之廣告規定。例如，我國</w:t>
      </w:r>
      <w:proofErr w:type="gramStart"/>
      <w:r w:rsidRPr="005E758A">
        <w:rPr>
          <w:sz w:val="28"/>
          <w:szCs w:val="28"/>
        </w:rPr>
        <w:t>菸</w:t>
      </w:r>
      <w:proofErr w:type="gramEnd"/>
      <w:r w:rsidRPr="005E758A">
        <w:rPr>
          <w:sz w:val="28"/>
          <w:szCs w:val="28"/>
        </w:rPr>
        <w:t>害防制法第</w:t>
      </w:r>
      <w:r w:rsidRPr="005E758A">
        <w:rPr>
          <w:sz w:val="28"/>
          <w:szCs w:val="28"/>
        </w:rPr>
        <w:t>9</w:t>
      </w:r>
      <w:r w:rsidRPr="005E758A">
        <w:rPr>
          <w:sz w:val="28"/>
          <w:szCs w:val="28"/>
        </w:rPr>
        <w:t>條即全面禁止</w:t>
      </w:r>
      <w:proofErr w:type="gramStart"/>
      <w:r w:rsidRPr="005E758A">
        <w:rPr>
          <w:sz w:val="28"/>
          <w:szCs w:val="28"/>
        </w:rPr>
        <w:t>菸</w:t>
      </w:r>
      <w:proofErr w:type="gramEnd"/>
      <w:r w:rsidRPr="005E758A">
        <w:rPr>
          <w:sz w:val="28"/>
          <w:szCs w:val="28"/>
        </w:rPr>
        <w:t>品於媒體廣告促銷。另外，有關網路上的違法及有害資訊</w:t>
      </w:r>
      <w:r w:rsidRPr="005E758A">
        <w:rPr>
          <w:sz w:val="28"/>
          <w:szCs w:val="28"/>
        </w:rPr>
        <w:t>(illegal and harmful material)</w:t>
      </w:r>
      <w:r w:rsidRPr="005E758A">
        <w:rPr>
          <w:sz w:val="28"/>
          <w:szCs w:val="28"/>
        </w:rPr>
        <w:t>，歐美各國早自</w:t>
      </w:r>
      <w:proofErr w:type="gramStart"/>
      <w:r w:rsidRPr="005E758A">
        <w:rPr>
          <w:sz w:val="28"/>
          <w:szCs w:val="28"/>
        </w:rPr>
        <w:t>1990</w:t>
      </w:r>
      <w:r w:rsidRPr="005E758A">
        <w:rPr>
          <w:sz w:val="28"/>
          <w:szCs w:val="28"/>
        </w:rPr>
        <w:t>年代末即陸續</w:t>
      </w:r>
      <w:proofErr w:type="gramEnd"/>
      <w:r w:rsidRPr="005E758A">
        <w:rPr>
          <w:sz w:val="28"/>
          <w:szCs w:val="28"/>
        </w:rPr>
        <w:t>設置檢舉熱線。尤其係涉及本公約第</w:t>
      </w:r>
      <w:r w:rsidRPr="005E758A">
        <w:rPr>
          <w:sz w:val="28"/>
          <w:szCs w:val="28"/>
        </w:rPr>
        <w:t>34</w:t>
      </w:r>
      <w:r w:rsidRPr="005E758A">
        <w:rPr>
          <w:sz w:val="28"/>
          <w:szCs w:val="28"/>
        </w:rPr>
        <w:t>條性剝削之資訊。各國更加強與國際刑警組織</w:t>
      </w:r>
      <w:r w:rsidRPr="005E758A">
        <w:rPr>
          <w:sz w:val="28"/>
          <w:szCs w:val="28"/>
        </w:rPr>
        <w:t>(International Criminal Police Organization)</w:t>
      </w:r>
      <w:r w:rsidRPr="005E758A">
        <w:rPr>
          <w:sz w:val="28"/>
          <w:szCs w:val="28"/>
        </w:rPr>
        <w:t>、歐洲刑警組織</w:t>
      </w:r>
      <w:r w:rsidRPr="005E758A">
        <w:rPr>
          <w:sz w:val="28"/>
          <w:szCs w:val="28"/>
        </w:rPr>
        <w:t>(European Police Office)</w:t>
      </w:r>
      <w:r w:rsidRPr="005E758A">
        <w:rPr>
          <w:sz w:val="28"/>
          <w:szCs w:val="28"/>
        </w:rPr>
        <w:t>及美國聯邦調查局及民間團體等合作，進行掃蕩。相關法律，亦加重處罰。</w:t>
      </w:r>
    </w:p>
    <w:p w14:paraId="32F78DAD" w14:textId="77777777" w:rsidR="00F75D48" w:rsidRPr="005E758A" w:rsidRDefault="00F75D48" w:rsidP="00A10E32">
      <w:pPr>
        <w:pStyle w:val="2"/>
        <w:numPr>
          <w:ilvl w:val="0"/>
          <w:numId w:val="148"/>
        </w:numPr>
      </w:pPr>
      <w:r w:rsidRPr="005E758A">
        <w:t>參考資料</w:t>
      </w:r>
    </w:p>
    <w:p w14:paraId="5E02EB61" w14:textId="77777777" w:rsidR="004F4F78" w:rsidRPr="005E758A" w:rsidRDefault="004F4F78" w:rsidP="004F4F78">
      <w:pPr>
        <w:pStyle w:val="a0"/>
        <w:numPr>
          <w:ilvl w:val="2"/>
          <w:numId w:val="1"/>
        </w:numPr>
        <w:snapToGrid w:val="0"/>
        <w:ind w:leftChars="0" w:left="448" w:hanging="448"/>
        <w:jc w:val="both"/>
        <w:rPr>
          <w:rFonts w:ascii="Times New Roman" w:eastAsia="標楷體" w:hAnsi="Times New Roman"/>
          <w:sz w:val="28"/>
        </w:rPr>
      </w:pPr>
      <w:r w:rsidRPr="005E758A">
        <w:rPr>
          <w:rFonts w:ascii="Times New Roman" w:eastAsia="標楷體" w:hAnsi="Times New Roman"/>
          <w:sz w:val="28"/>
        </w:rPr>
        <w:t>UNICEF, Implementation Handbook for the Convention on the Rights of the Child (3d ed. 2007).</w:t>
      </w:r>
    </w:p>
    <w:p w14:paraId="310CD7A8" w14:textId="77777777" w:rsidR="004F4F78" w:rsidRPr="004F4F78" w:rsidRDefault="004F4F78" w:rsidP="004F4F78">
      <w:pPr>
        <w:pStyle w:val="a0"/>
        <w:numPr>
          <w:ilvl w:val="2"/>
          <w:numId w:val="1"/>
        </w:numPr>
        <w:snapToGrid w:val="0"/>
        <w:ind w:leftChars="0" w:left="448" w:hanging="448"/>
        <w:jc w:val="both"/>
        <w:rPr>
          <w:rFonts w:ascii="Times New Roman" w:eastAsia="標楷體" w:hAnsi="Times New Roman"/>
          <w:sz w:val="28"/>
        </w:rPr>
      </w:pPr>
      <w:r w:rsidRPr="004F4F78">
        <w:rPr>
          <w:rFonts w:ascii="Times New Roman" w:eastAsia="標楷體" w:hAnsi="Times New Roman" w:hint="eastAsia"/>
          <w:sz w:val="28"/>
        </w:rPr>
        <w:t>兒童權利委員會，</w:t>
      </w:r>
      <w:r w:rsidRPr="004F4F78">
        <w:rPr>
          <w:rFonts w:ascii="Times New Roman" w:eastAsia="標楷體" w:hAnsi="Times New Roman" w:hint="eastAsia"/>
          <w:sz w:val="28"/>
        </w:rPr>
        <w:t>2014</w:t>
      </w:r>
      <w:r w:rsidRPr="004F4F78">
        <w:rPr>
          <w:rFonts w:ascii="Times New Roman" w:eastAsia="標楷體" w:hAnsi="Times New Roman" w:hint="eastAsia"/>
          <w:sz w:val="28"/>
        </w:rPr>
        <w:t>年「數位媒體與兒童權利」綜合討論日報告。</w:t>
      </w:r>
      <w:r w:rsidRPr="004F4F78">
        <w:rPr>
          <w:rFonts w:ascii="Times New Roman" w:eastAsia="標楷體" w:hAnsi="Times New Roman" w:hint="eastAsia"/>
          <w:sz w:val="28"/>
        </w:rPr>
        <w:t xml:space="preserve">Committee on the Rights of the Child, Report of the 2014 Day of General Discussion on </w:t>
      </w:r>
      <w:r>
        <w:rPr>
          <w:rFonts w:ascii="Times New Roman" w:eastAsia="標楷體" w:hAnsi="Times New Roman"/>
          <w:sz w:val="28"/>
        </w:rPr>
        <w:t>“</w:t>
      </w:r>
      <w:r w:rsidRPr="004F4F78">
        <w:rPr>
          <w:rFonts w:ascii="Times New Roman" w:eastAsia="標楷體" w:hAnsi="Times New Roman" w:hint="eastAsia"/>
          <w:sz w:val="28"/>
        </w:rPr>
        <w:t>Digital Media and Children</w:t>
      </w:r>
      <w:r w:rsidRPr="004F4F78">
        <w:rPr>
          <w:rFonts w:ascii="Times New Roman" w:eastAsia="標楷體" w:hAnsi="Times New Roman" w:hint="eastAsia"/>
          <w:sz w:val="28"/>
        </w:rPr>
        <w:t>’</w:t>
      </w:r>
      <w:r w:rsidRPr="004F4F78">
        <w:rPr>
          <w:rFonts w:ascii="Times New Roman" w:eastAsia="標楷體" w:hAnsi="Times New Roman" w:hint="eastAsia"/>
          <w:sz w:val="28"/>
        </w:rPr>
        <w:t>s Rights</w:t>
      </w:r>
      <w:r>
        <w:rPr>
          <w:rFonts w:ascii="Times New Roman" w:eastAsia="標楷體" w:hAnsi="Times New Roman"/>
          <w:sz w:val="28"/>
        </w:rPr>
        <w:t>.”</w:t>
      </w:r>
    </w:p>
    <w:p w14:paraId="54BA25B1" w14:textId="77777777" w:rsidR="004F4F78" w:rsidRPr="005E758A" w:rsidRDefault="004F4F78" w:rsidP="004F4F78">
      <w:pPr>
        <w:pStyle w:val="a0"/>
        <w:numPr>
          <w:ilvl w:val="2"/>
          <w:numId w:val="1"/>
        </w:numPr>
        <w:snapToGrid w:val="0"/>
        <w:ind w:leftChars="0" w:left="448" w:hanging="448"/>
        <w:jc w:val="both"/>
        <w:rPr>
          <w:rFonts w:ascii="Times New Roman" w:eastAsia="標楷體" w:hAnsi="Times New Roman"/>
          <w:sz w:val="28"/>
        </w:rPr>
      </w:pPr>
      <w:r w:rsidRPr="004F4F78">
        <w:rPr>
          <w:rFonts w:ascii="Times New Roman" w:eastAsia="標楷體" w:hAnsi="Times New Roman" w:hint="eastAsia"/>
          <w:sz w:val="28"/>
        </w:rPr>
        <w:t>兒童權利委員會</w:t>
      </w:r>
      <w:r>
        <w:rPr>
          <w:rFonts w:ascii="Times New Roman" w:eastAsia="標楷體" w:hAnsi="Times New Roman" w:hint="eastAsia"/>
          <w:sz w:val="28"/>
        </w:rPr>
        <w:t>，</w:t>
      </w:r>
      <w:r w:rsidRPr="004F4F78">
        <w:rPr>
          <w:rFonts w:ascii="Times New Roman" w:eastAsia="標楷體" w:hAnsi="Times New Roman" w:hint="eastAsia"/>
          <w:sz w:val="28"/>
        </w:rPr>
        <w:t>第</w:t>
      </w:r>
      <w:r w:rsidRPr="004F4F78">
        <w:rPr>
          <w:rFonts w:ascii="Times New Roman" w:eastAsia="標楷體" w:hAnsi="Times New Roman" w:hint="eastAsia"/>
          <w:sz w:val="28"/>
        </w:rPr>
        <w:t>1</w:t>
      </w:r>
      <w:r w:rsidRPr="004F4F78">
        <w:rPr>
          <w:rFonts w:ascii="Times New Roman" w:eastAsia="標楷體" w:hAnsi="Times New Roman" w:hint="eastAsia"/>
          <w:sz w:val="28"/>
        </w:rPr>
        <w:t>號一般性意見「教育的目的」</w:t>
      </w:r>
      <w:r>
        <w:rPr>
          <w:rFonts w:ascii="Times New Roman" w:eastAsia="標楷體" w:hAnsi="Times New Roman" w:hint="eastAsia"/>
          <w:sz w:val="28"/>
        </w:rPr>
        <w:t>。</w:t>
      </w:r>
      <w:r>
        <w:rPr>
          <w:rFonts w:ascii="Times New Roman" w:eastAsia="標楷體" w:hAnsi="Times New Roman" w:hint="eastAsia"/>
          <w:sz w:val="28"/>
        </w:rPr>
        <w:t>(</w:t>
      </w:r>
      <w:r w:rsidRPr="004F4F78">
        <w:rPr>
          <w:rFonts w:ascii="Times New Roman" w:eastAsia="標楷體" w:hAnsi="Times New Roman"/>
          <w:sz w:val="28"/>
        </w:rPr>
        <w:t>Committee on the Rights of the Child, General Comment No. 1: The Aims of Education, U.N. Doc. CRC/GC/2001/1 (Apr. 17, 2001).</w:t>
      </w:r>
      <w:r>
        <w:rPr>
          <w:rFonts w:ascii="Times New Roman" w:eastAsia="標楷體" w:hAnsi="Times New Roman"/>
          <w:sz w:val="28"/>
        </w:rPr>
        <w:t>)</w:t>
      </w:r>
    </w:p>
    <w:p w14:paraId="0444D318" w14:textId="77777777" w:rsidR="004F4F78" w:rsidRPr="005E758A" w:rsidRDefault="004F4F78" w:rsidP="004F4F78">
      <w:pPr>
        <w:pStyle w:val="a0"/>
        <w:numPr>
          <w:ilvl w:val="2"/>
          <w:numId w:val="1"/>
        </w:numPr>
        <w:snapToGrid w:val="0"/>
        <w:ind w:leftChars="0" w:left="448" w:hanging="448"/>
        <w:jc w:val="both"/>
        <w:rPr>
          <w:rFonts w:ascii="Times New Roman" w:eastAsia="標楷體" w:hAnsi="Times New Roman"/>
          <w:sz w:val="28"/>
        </w:rPr>
      </w:pPr>
      <w:r w:rsidRPr="004F4F78">
        <w:rPr>
          <w:rFonts w:ascii="Times New Roman" w:eastAsia="標楷體" w:hAnsi="Times New Roman" w:hint="eastAsia"/>
          <w:sz w:val="28"/>
        </w:rPr>
        <w:t>兒童權利委員會</w:t>
      </w:r>
      <w:r>
        <w:rPr>
          <w:rFonts w:ascii="Times New Roman" w:eastAsia="標楷體" w:hAnsi="Times New Roman" w:hint="eastAsia"/>
          <w:sz w:val="28"/>
        </w:rPr>
        <w:t>，</w:t>
      </w:r>
      <w:r w:rsidRPr="004F4F78">
        <w:rPr>
          <w:rFonts w:ascii="Times New Roman" w:eastAsia="標楷體" w:hAnsi="Times New Roman" w:hint="eastAsia"/>
          <w:sz w:val="28"/>
        </w:rPr>
        <w:t>第</w:t>
      </w:r>
      <w:r w:rsidRPr="004F4F78">
        <w:rPr>
          <w:rFonts w:ascii="Times New Roman" w:eastAsia="標楷體" w:hAnsi="Times New Roman" w:hint="eastAsia"/>
          <w:sz w:val="28"/>
        </w:rPr>
        <w:t>11</w:t>
      </w:r>
      <w:r w:rsidRPr="004F4F78">
        <w:rPr>
          <w:rFonts w:ascii="Times New Roman" w:eastAsia="標楷體" w:hAnsi="Times New Roman" w:hint="eastAsia"/>
          <w:sz w:val="28"/>
        </w:rPr>
        <w:t>號一般性意見「原住民兒童及其在公約下的權利」</w:t>
      </w:r>
      <w:r>
        <w:rPr>
          <w:rFonts w:ascii="Times New Roman" w:eastAsia="標楷體" w:hAnsi="Times New Roman" w:hint="eastAsia"/>
          <w:sz w:val="28"/>
        </w:rPr>
        <w:t>。</w:t>
      </w:r>
      <w:r w:rsidRPr="004F4F78">
        <w:rPr>
          <w:rFonts w:ascii="Times New Roman" w:eastAsia="標楷體" w:hAnsi="Times New Roman" w:hint="eastAsia"/>
          <w:sz w:val="28"/>
        </w:rPr>
        <w:t>Committee on the Rights of the Child, General Comment No. 11: Indigenous Children and Their Rights under the Convention, U.N. Doc. CRC/C/GC/11 (Feb. 12, 2009).</w:t>
      </w:r>
    </w:p>
    <w:p w14:paraId="5F62E063" w14:textId="77777777" w:rsidR="004F4F78" w:rsidRDefault="004F4F78" w:rsidP="004F4F78">
      <w:pPr>
        <w:pStyle w:val="a0"/>
        <w:numPr>
          <w:ilvl w:val="2"/>
          <w:numId w:val="1"/>
        </w:numPr>
        <w:snapToGrid w:val="0"/>
        <w:ind w:leftChars="0" w:left="448" w:hanging="448"/>
        <w:jc w:val="both"/>
        <w:rPr>
          <w:rFonts w:ascii="Times New Roman" w:eastAsia="標楷體" w:hAnsi="Times New Roman"/>
          <w:sz w:val="28"/>
        </w:rPr>
      </w:pPr>
      <w:r w:rsidRPr="004F4F78">
        <w:rPr>
          <w:rFonts w:ascii="Times New Roman" w:eastAsia="標楷體" w:hAnsi="Times New Roman" w:hint="eastAsia"/>
          <w:sz w:val="28"/>
        </w:rPr>
        <w:t>兒童權利委員會</w:t>
      </w:r>
      <w:r>
        <w:rPr>
          <w:rFonts w:ascii="Times New Roman" w:eastAsia="標楷體" w:hAnsi="Times New Roman" w:hint="eastAsia"/>
          <w:sz w:val="28"/>
        </w:rPr>
        <w:t>，</w:t>
      </w:r>
      <w:r w:rsidRPr="004F4F78">
        <w:rPr>
          <w:rFonts w:ascii="Times New Roman" w:eastAsia="標楷體" w:hAnsi="Times New Roman" w:hint="eastAsia"/>
          <w:sz w:val="28"/>
        </w:rPr>
        <w:t>第</w:t>
      </w:r>
      <w:r w:rsidRPr="004F4F78">
        <w:rPr>
          <w:rFonts w:ascii="Times New Roman" w:eastAsia="標楷體" w:hAnsi="Times New Roman" w:hint="eastAsia"/>
          <w:sz w:val="28"/>
        </w:rPr>
        <w:t>16</w:t>
      </w:r>
      <w:r w:rsidRPr="004F4F78">
        <w:rPr>
          <w:rFonts w:ascii="Times New Roman" w:eastAsia="標楷體" w:hAnsi="Times New Roman" w:hint="eastAsia"/>
          <w:sz w:val="28"/>
        </w:rPr>
        <w:t>號一般性意見「商業部門對兒童權利之影響與國家義務」</w:t>
      </w:r>
      <w:r>
        <w:rPr>
          <w:rFonts w:ascii="Times New Roman" w:eastAsia="標楷體" w:hAnsi="Times New Roman" w:hint="eastAsia"/>
          <w:sz w:val="28"/>
        </w:rPr>
        <w:t>。</w:t>
      </w:r>
      <w:r>
        <w:rPr>
          <w:rFonts w:ascii="Times New Roman" w:eastAsia="標楷體" w:hAnsi="Times New Roman" w:hint="eastAsia"/>
          <w:sz w:val="28"/>
        </w:rPr>
        <w:t>(</w:t>
      </w:r>
      <w:r w:rsidRPr="004F4F78">
        <w:rPr>
          <w:rFonts w:ascii="Times New Roman" w:eastAsia="標楷體" w:hAnsi="Times New Roman"/>
          <w:sz w:val="28"/>
        </w:rPr>
        <w:t>Committee on the Rights of the Child, General Comment No. 16 on State Obligations Regarding the Impact of the Business Sector on Children’s Rights, U.N. Doc. CRC/C/GC/16 (Apr. 17, 2013).</w:t>
      </w:r>
      <w:r>
        <w:rPr>
          <w:rFonts w:ascii="Times New Roman" w:eastAsia="標楷體" w:hAnsi="Times New Roman"/>
          <w:sz w:val="28"/>
        </w:rPr>
        <w:t>)</w:t>
      </w:r>
    </w:p>
    <w:p w14:paraId="6F47174B" w14:textId="77777777" w:rsidR="004F4F78" w:rsidRPr="005E758A" w:rsidRDefault="004F4F78" w:rsidP="004F4F78">
      <w:pPr>
        <w:pStyle w:val="a0"/>
        <w:numPr>
          <w:ilvl w:val="2"/>
          <w:numId w:val="1"/>
        </w:numPr>
        <w:snapToGrid w:val="0"/>
        <w:ind w:leftChars="0" w:left="448" w:hanging="448"/>
        <w:jc w:val="both"/>
        <w:rPr>
          <w:rFonts w:ascii="Times New Roman" w:eastAsia="標楷體" w:hAnsi="Times New Roman"/>
          <w:sz w:val="28"/>
        </w:rPr>
      </w:pPr>
      <w:r w:rsidRPr="004F4F78">
        <w:rPr>
          <w:rFonts w:ascii="Times New Roman" w:eastAsia="標楷體" w:hAnsi="Times New Roman" w:hint="eastAsia"/>
          <w:sz w:val="28"/>
        </w:rPr>
        <w:t>兒童權利委員會，第</w:t>
      </w:r>
      <w:r w:rsidRPr="004F4F78">
        <w:rPr>
          <w:rFonts w:ascii="Times New Roman" w:eastAsia="標楷體" w:hAnsi="Times New Roman" w:hint="eastAsia"/>
          <w:sz w:val="28"/>
        </w:rPr>
        <w:t>13</w:t>
      </w:r>
      <w:r w:rsidRPr="004F4F78">
        <w:rPr>
          <w:rFonts w:ascii="Times New Roman" w:eastAsia="標楷體" w:hAnsi="Times New Roman" w:hint="eastAsia"/>
          <w:sz w:val="28"/>
        </w:rPr>
        <w:t>屆會議報告。</w:t>
      </w:r>
      <w:r w:rsidRPr="004F4F78">
        <w:rPr>
          <w:rFonts w:ascii="Times New Roman" w:eastAsia="標楷體" w:hAnsi="Times New Roman" w:hint="eastAsia"/>
          <w:sz w:val="28"/>
        </w:rPr>
        <w:t>Committee on the Rights of the Child, Report on the Thirteenth Session, U.N. Doc. CRC/C/57 (Oct. 31, 1996).</w:t>
      </w:r>
    </w:p>
    <w:p w14:paraId="15559694" w14:textId="77777777" w:rsidR="00F75D48" w:rsidRPr="005E758A" w:rsidRDefault="008D5C1D" w:rsidP="00DE4E74">
      <w:pPr>
        <w:pStyle w:val="a0"/>
        <w:numPr>
          <w:ilvl w:val="2"/>
          <w:numId w:val="1"/>
        </w:numPr>
        <w:snapToGrid w:val="0"/>
        <w:ind w:leftChars="0" w:left="448" w:hanging="448"/>
        <w:jc w:val="both"/>
        <w:rPr>
          <w:rFonts w:ascii="Times New Roman" w:eastAsia="標楷體" w:hAnsi="Times New Roman"/>
          <w:sz w:val="28"/>
        </w:rPr>
      </w:pPr>
      <w:r w:rsidRPr="005E758A">
        <w:rPr>
          <w:rFonts w:ascii="Times New Roman" w:eastAsia="標楷體" w:hAnsi="Times New Roman"/>
          <w:sz w:val="28"/>
          <w:szCs w:val="28"/>
        </w:rPr>
        <w:t>林沛君，兒少人權向前行，臺北市，台灣展翅協會，</w:t>
      </w:r>
      <w:r w:rsidRPr="005E758A">
        <w:rPr>
          <w:rFonts w:ascii="Times New Roman" w:eastAsia="標楷體" w:hAnsi="Times New Roman"/>
          <w:sz w:val="28"/>
          <w:szCs w:val="28"/>
        </w:rPr>
        <w:t>2015</w:t>
      </w:r>
      <w:r w:rsidRPr="005E758A">
        <w:rPr>
          <w:rFonts w:ascii="Times New Roman" w:eastAsia="標楷體" w:hAnsi="Times New Roman"/>
          <w:sz w:val="28"/>
          <w:szCs w:val="28"/>
        </w:rPr>
        <w:t>年</w:t>
      </w:r>
      <w:r w:rsidRPr="005E758A">
        <w:rPr>
          <w:rFonts w:ascii="Times New Roman" w:eastAsia="標楷體" w:hAnsi="Times New Roman"/>
          <w:sz w:val="28"/>
          <w:szCs w:val="28"/>
        </w:rPr>
        <w:t>4</w:t>
      </w:r>
      <w:r w:rsidRPr="005E758A">
        <w:rPr>
          <w:rFonts w:ascii="Times New Roman" w:eastAsia="標楷體" w:hAnsi="Times New Roman"/>
          <w:sz w:val="28"/>
          <w:szCs w:val="28"/>
        </w:rPr>
        <w:t>月。</w:t>
      </w:r>
    </w:p>
    <w:p w14:paraId="0F7E68D6" w14:textId="77777777" w:rsidR="00F75D48" w:rsidRPr="005E758A" w:rsidRDefault="00F75D48" w:rsidP="00F75D48">
      <w:pPr>
        <w:snapToGrid w:val="0"/>
        <w:spacing w:before="100" w:beforeAutospacing="1" w:after="100" w:afterAutospacing="1"/>
        <w:jc w:val="both"/>
        <w:rPr>
          <w:sz w:val="28"/>
          <w:szCs w:val="28"/>
        </w:rPr>
      </w:pPr>
    </w:p>
    <w:p w14:paraId="7F888EA3" w14:textId="77777777" w:rsidR="00F75D48" w:rsidRPr="005E758A" w:rsidRDefault="00F75D48" w:rsidP="00F75D48">
      <w:pPr>
        <w:snapToGrid w:val="0"/>
        <w:spacing w:before="100" w:beforeAutospacing="1" w:after="100" w:afterAutospacing="1"/>
        <w:jc w:val="both"/>
      </w:pPr>
      <w:r w:rsidRPr="005E758A">
        <w:rPr>
          <w:sz w:val="28"/>
          <w:szCs w:val="28"/>
        </w:rPr>
        <w:lastRenderedPageBreak/>
        <w:t>關鍵字：傳播媒體、資訊權、媒體權、網際網路</w:t>
      </w:r>
    </w:p>
    <w:p w14:paraId="34D50C8F" w14:textId="77777777" w:rsidR="00F75D48" w:rsidRPr="005E758A" w:rsidRDefault="00F75D48" w:rsidP="00F75D48">
      <w:pPr>
        <w:pStyle w:val="1"/>
        <w:sectPr w:rsidR="00F75D48" w:rsidRPr="005E758A" w:rsidSect="00135FC9">
          <w:footnotePr>
            <w:numRestart w:val="eachSect"/>
          </w:footnotePr>
          <w:endnotePr>
            <w:numFmt w:val="decimal"/>
            <w:numRestart w:val="eachSect"/>
          </w:endnotePr>
          <w:pgSz w:w="11906" w:h="16838"/>
          <w:pgMar w:top="1440" w:right="1797" w:bottom="1440" w:left="1797" w:header="851" w:footer="992" w:gutter="0"/>
          <w:cols w:space="425"/>
          <w:docGrid w:linePitch="360"/>
        </w:sectPr>
      </w:pPr>
    </w:p>
    <w:p w14:paraId="6C4FA1D6" w14:textId="77777777" w:rsidR="001D727A" w:rsidRDefault="001D727A" w:rsidP="001D727A">
      <w:pPr>
        <w:pStyle w:val="1"/>
        <w:rPr>
          <w:sz w:val="28"/>
          <w:szCs w:val="28"/>
        </w:rPr>
      </w:pPr>
      <w:bookmarkStart w:id="58" w:name="_Toc431072734"/>
      <w:r w:rsidRPr="005E758A">
        <w:lastRenderedPageBreak/>
        <w:t>第</w:t>
      </w:r>
      <w:r w:rsidRPr="005E758A">
        <w:t>18</w:t>
      </w:r>
      <w:r w:rsidRPr="005E758A">
        <w:t>條</w:t>
      </w:r>
      <w:r>
        <w:rPr>
          <w:rFonts w:hint="eastAsia"/>
        </w:rPr>
        <w:t xml:space="preserve">　</w:t>
      </w:r>
      <w:r w:rsidRPr="001D727A">
        <w:rPr>
          <w:rFonts w:hint="eastAsia"/>
        </w:rPr>
        <w:t>父母之責任與國家之協助</w:t>
      </w:r>
      <w:bookmarkEnd w:id="58"/>
    </w:p>
    <w:tbl>
      <w:tblPr>
        <w:tblW w:w="82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20"/>
      </w:tblGrid>
      <w:tr w:rsidR="001D727A" w:rsidRPr="005E758A" w14:paraId="3A296D05" w14:textId="77777777" w:rsidTr="002B035C">
        <w:trPr>
          <w:jc w:val="center"/>
        </w:trPr>
        <w:tc>
          <w:tcPr>
            <w:tcW w:w="8220" w:type="dxa"/>
            <w:shd w:val="clear" w:color="auto" w:fill="auto"/>
          </w:tcPr>
          <w:p w14:paraId="4600916B" w14:textId="77777777" w:rsidR="001D727A" w:rsidRPr="005E758A" w:rsidRDefault="001D727A" w:rsidP="002B035C">
            <w:pPr>
              <w:pStyle w:val="a0"/>
              <w:numPr>
                <w:ilvl w:val="0"/>
                <w:numId w:val="48"/>
              </w:numPr>
              <w:snapToGrid w:val="0"/>
              <w:spacing w:before="100" w:beforeAutospacing="1" w:after="100" w:afterAutospacing="1"/>
              <w:ind w:leftChars="0" w:left="482" w:hanging="482"/>
              <w:jc w:val="both"/>
              <w:rPr>
                <w:rFonts w:ascii="Times New Roman" w:eastAsia="標楷體" w:hAnsi="Times New Roman"/>
                <w:sz w:val="28"/>
                <w:szCs w:val="28"/>
              </w:rPr>
            </w:pPr>
            <w:r w:rsidRPr="005E758A">
              <w:rPr>
                <w:rFonts w:ascii="Times New Roman" w:eastAsia="標楷體" w:hAnsi="Times New Roman"/>
                <w:sz w:val="28"/>
                <w:szCs w:val="28"/>
              </w:rPr>
              <w:t>締約國應盡其最大努力，確保父母雙方對兒童之養育及發展負共同責任的原則獲得確認。父母、或視情況而定的法定監護人對兒童之養育及發展負擔主要責任。兒童之最佳利益應為其基本考量。</w:t>
            </w:r>
          </w:p>
          <w:p w14:paraId="1ED78752" w14:textId="77777777" w:rsidR="001D727A" w:rsidRPr="005E758A" w:rsidRDefault="001D727A" w:rsidP="002B035C">
            <w:pPr>
              <w:pStyle w:val="a0"/>
              <w:numPr>
                <w:ilvl w:val="0"/>
                <w:numId w:val="48"/>
              </w:numPr>
              <w:snapToGrid w:val="0"/>
              <w:spacing w:before="100" w:beforeAutospacing="1" w:after="100" w:afterAutospacing="1"/>
              <w:ind w:leftChars="0" w:left="482" w:hanging="482"/>
              <w:jc w:val="both"/>
              <w:rPr>
                <w:rFonts w:ascii="Times New Roman" w:eastAsia="標楷體" w:hAnsi="Times New Roman"/>
                <w:sz w:val="28"/>
                <w:szCs w:val="28"/>
              </w:rPr>
            </w:pPr>
            <w:r w:rsidRPr="005E758A">
              <w:rPr>
                <w:rFonts w:ascii="Times New Roman" w:eastAsia="標楷體" w:hAnsi="Times New Roman"/>
                <w:sz w:val="28"/>
                <w:szCs w:val="28"/>
              </w:rPr>
              <w:t>為保證與促進本公約所揭示之權利，締約國應於父母及法定監護人在擔負養育兒童責任時給予適當之協助，並確保照顧兒童之機構、設施與服務業務之發展。</w:t>
            </w:r>
          </w:p>
          <w:p w14:paraId="4D6F1946" w14:textId="77777777" w:rsidR="001D727A" w:rsidRPr="005E758A" w:rsidRDefault="001D727A" w:rsidP="002B035C">
            <w:pPr>
              <w:pStyle w:val="2"/>
              <w:numPr>
                <w:ilvl w:val="0"/>
                <w:numId w:val="48"/>
              </w:numPr>
              <w:ind w:left="482" w:hanging="482"/>
              <w:rPr>
                <w:szCs w:val="28"/>
              </w:rPr>
            </w:pPr>
            <w:r w:rsidRPr="005E758A">
              <w:rPr>
                <w:b w:val="0"/>
                <w:szCs w:val="28"/>
              </w:rPr>
              <w:t>締約國應採取一切適當措施確保就業父母之子女有權享有依其資格應有之托兒服務及設施。</w:t>
            </w:r>
          </w:p>
        </w:tc>
      </w:tr>
    </w:tbl>
    <w:p w14:paraId="62482371" w14:textId="77777777" w:rsidR="001D727A" w:rsidRPr="001D727A" w:rsidRDefault="001D727A" w:rsidP="001D727A">
      <w:pPr>
        <w:snapToGrid w:val="0"/>
        <w:spacing w:before="100" w:beforeAutospacing="1" w:after="100" w:afterAutospacing="1"/>
        <w:jc w:val="both"/>
        <w:rPr>
          <w:sz w:val="28"/>
          <w:szCs w:val="28"/>
        </w:rPr>
      </w:pPr>
    </w:p>
    <w:p w14:paraId="0484A2F6" w14:textId="77777777" w:rsidR="00135FC9" w:rsidRPr="005E758A" w:rsidRDefault="00135FC9" w:rsidP="007119F4">
      <w:pPr>
        <w:pStyle w:val="2"/>
        <w:numPr>
          <w:ilvl w:val="0"/>
          <w:numId w:val="50"/>
        </w:numPr>
        <w:rPr>
          <w:szCs w:val="28"/>
        </w:rPr>
      </w:pPr>
      <w:r w:rsidRPr="005E758A">
        <w:rPr>
          <w:szCs w:val="28"/>
        </w:rPr>
        <w:t>規範宗旨</w:t>
      </w:r>
    </w:p>
    <w:p w14:paraId="6F6C62F9" w14:textId="77777777" w:rsidR="00135FC9" w:rsidRPr="005E758A" w:rsidRDefault="00135FC9" w:rsidP="00135FC9">
      <w:pPr>
        <w:pStyle w:val="a0"/>
        <w:snapToGrid w:val="0"/>
        <w:spacing w:before="100" w:beforeAutospacing="1" w:after="100" w:afterAutospacing="1"/>
        <w:ind w:leftChars="0" w:left="0" w:firstLineChars="200" w:firstLine="560"/>
        <w:jc w:val="both"/>
        <w:rPr>
          <w:rFonts w:ascii="Times New Roman" w:eastAsia="標楷體" w:hAnsi="Times New Roman"/>
          <w:sz w:val="28"/>
          <w:szCs w:val="28"/>
        </w:rPr>
      </w:pPr>
      <w:r w:rsidRPr="005E758A">
        <w:rPr>
          <w:rFonts w:ascii="Times New Roman" w:eastAsia="標楷體" w:hAnsi="Times New Roman"/>
          <w:sz w:val="28"/>
          <w:szCs w:val="28"/>
        </w:rPr>
        <w:t>由本條草案之協商紀錄可知，本條強調擔負養育子女之「主要責任」的是父母，且父母雙方所擔負的是「共同責任」</w:t>
      </w:r>
      <w:r w:rsidRPr="005E758A">
        <w:rPr>
          <w:rFonts w:ascii="Times New Roman" w:eastAsia="標楷體" w:hAnsi="Times New Roman"/>
          <w:sz w:val="28"/>
          <w:szCs w:val="28"/>
        </w:rPr>
        <w:t>(common responsibility)</w:t>
      </w:r>
      <w:r w:rsidRPr="005E758A">
        <w:rPr>
          <w:rStyle w:val="af3"/>
          <w:rFonts w:ascii="Times New Roman" w:eastAsia="標楷體" w:hAnsi="Times New Roman"/>
        </w:rPr>
        <w:endnoteReference w:id="234"/>
      </w:r>
      <w:r w:rsidRPr="005E758A">
        <w:rPr>
          <w:rFonts w:ascii="Times New Roman" w:eastAsia="標楷體" w:hAnsi="Times New Roman"/>
          <w:sz w:val="28"/>
          <w:szCs w:val="28"/>
        </w:rPr>
        <w:t>;</w:t>
      </w:r>
      <w:r w:rsidRPr="005E758A">
        <w:rPr>
          <w:rFonts w:ascii="Times New Roman" w:eastAsia="標楷體" w:hAnsi="Times New Roman"/>
          <w:sz w:val="28"/>
          <w:szCs w:val="28"/>
        </w:rPr>
        <w:t>而國家提供適當協助之義務則與父母的責任</w:t>
      </w:r>
      <w:proofErr w:type="gramStart"/>
      <w:r w:rsidRPr="005E758A">
        <w:rPr>
          <w:rFonts w:ascii="Times New Roman" w:eastAsia="標楷體" w:hAnsi="Times New Roman"/>
          <w:sz w:val="28"/>
          <w:szCs w:val="28"/>
        </w:rPr>
        <w:t>兩者間應有所</w:t>
      </w:r>
      <w:proofErr w:type="gramEnd"/>
      <w:r w:rsidRPr="005E758A">
        <w:rPr>
          <w:rFonts w:ascii="Times New Roman" w:eastAsia="標楷體" w:hAnsi="Times New Roman"/>
          <w:sz w:val="28"/>
          <w:szCs w:val="28"/>
        </w:rPr>
        <w:t>平衡。父母養育兒童具有關鍵作用。在通常情況下，兒童的父母在實現幼兒權利方面發揮著影響之作用，家庭、大家庭或社區其他成員包括法定監護人等，亦應涵蓋於本條之</w:t>
      </w:r>
      <w:proofErr w:type="gramStart"/>
      <w:r w:rsidRPr="005E758A">
        <w:rPr>
          <w:rFonts w:ascii="Times New Roman" w:eastAsia="標楷體" w:hAnsi="Times New Roman"/>
          <w:sz w:val="28"/>
          <w:szCs w:val="28"/>
        </w:rPr>
        <w:t>內</w:t>
      </w:r>
      <w:bookmarkStart w:id="59" w:name="_Ref427442268"/>
      <w:proofErr w:type="gramEnd"/>
      <w:r w:rsidRPr="005E758A">
        <w:rPr>
          <w:rStyle w:val="af3"/>
          <w:rFonts w:ascii="Times New Roman" w:eastAsia="標楷體" w:hAnsi="Times New Roman"/>
        </w:rPr>
        <w:endnoteReference w:id="235"/>
      </w:r>
      <w:bookmarkEnd w:id="59"/>
      <w:r w:rsidRPr="005E758A">
        <w:rPr>
          <w:rFonts w:ascii="Times New Roman" w:eastAsia="標楷體" w:hAnsi="Times New Roman"/>
          <w:sz w:val="28"/>
          <w:szCs w:val="28"/>
        </w:rPr>
        <w:t>。</w:t>
      </w:r>
    </w:p>
    <w:p w14:paraId="2C1DDFB9" w14:textId="77777777" w:rsidR="00135FC9" w:rsidRPr="005E758A" w:rsidRDefault="00135FC9" w:rsidP="00135FC9">
      <w:pPr>
        <w:pStyle w:val="2"/>
      </w:pPr>
      <w:r w:rsidRPr="005E758A">
        <w:t>條文要義</w:t>
      </w:r>
    </w:p>
    <w:p w14:paraId="111C7A07" w14:textId="77777777" w:rsidR="00135FC9" w:rsidRPr="005E758A" w:rsidRDefault="00135FC9" w:rsidP="007119F4">
      <w:pPr>
        <w:pStyle w:val="3"/>
        <w:numPr>
          <w:ilvl w:val="0"/>
          <w:numId w:val="51"/>
        </w:numPr>
      </w:pPr>
      <w:r w:rsidRPr="005E758A">
        <w:t>第</w:t>
      </w:r>
      <w:r w:rsidRPr="005E758A">
        <w:t>18</w:t>
      </w:r>
      <w:r w:rsidRPr="005E758A">
        <w:t>條第</w:t>
      </w:r>
      <w:r w:rsidRPr="005E758A">
        <w:t>1</w:t>
      </w:r>
      <w:r w:rsidRPr="005E758A">
        <w:t>項</w:t>
      </w:r>
    </w:p>
    <w:p w14:paraId="0C820C67" w14:textId="77777777" w:rsidR="00135FC9" w:rsidRPr="005E758A" w:rsidRDefault="00135FC9" w:rsidP="00135FC9">
      <w:pPr>
        <w:pStyle w:val="a0"/>
        <w:snapToGrid w:val="0"/>
        <w:spacing w:before="100" w:beforeAutospacing="1" w:after="100" w:afterAutospacing="1"/>
        <w:ind w:leftChars="0" w:left="0" w:firstLineChars="200" w:firstLine="560"/>
        <w:jc w:val="both"/>
        <w:rPr>
          <w:rFonts w:ascii="Times New Roman" w:eastAsia="標楷體" w:hAnsi="Times New Roman"/>
          <w:sz w:val="28"/>
          <w:szCs w:val="28"/>
        </w:rPr>
      </w:pPr>
      <w:r w:rsidRPr="005E758A">
        <w:rPr>
          <w:rFonts w:ascii="Times New Roman" w:eastAsia="標楷體" w:hAnsi="Times New Roman"/>
          <w:sz w:val="28"/>
          <w:szCs w:val="28"/>
        </w:rPr>
        <w:t>本條規定明文確認，與國家對兒童所附之責任相較而言，父母應擔負起子女養育及發展的主要責任。兒童權利公約委員會指出，實際上，許多地區的家庭形態是可變的，而且正在產生變化，如家庭規模、父母作用和子女撫養安排方面的多樣性增強等</w:t>
      </w:r>
      <w:r w:rsidRPr="005E758A">
        <w:rPr>
          <w:rStyle w:val="af3"/>
          <w:rFonts w:ascii="Times New Roman" w:eastAsia="標楷體" w:hAnsi="Times New Roman"/>
        </w:rPr>
        <w:endnoteReference w:id="236"/>
      </w:r>
      <w:r w:rsidRPr="005E758A">
        <w:rPr>
          <w:rFonts w:ascii="Times New Roman" w:eastAsia="標楷體" w:hAnsi="Times New Roman"/>
          <w:sz w:val="28"/>
          <w:szCs w:val="28"/>
        </w:rPr>
        <w:t>。父母雙方對兒童的養育及發展應擔負「共同責任」。依據聯合國兒童基金會的執行手冊之說明，多數社會直到近年來才開始認可父親也應該與母親相同，擔負起兒童日常照顧的責任，且母親同樣地也須擔負子女之經濟並享有法律上的權利，而公約則是最早承認此等父母之共同責任係屬兒童權利的國際公約之</w:t>
      </w:r>
      <w:proofErr w:type="gramStart"/>
      <w:r w:rsidRPr="005E758A">
        <w:rPr>
          <w:rFonts w:ascii="Times New Roman" w:eastAsia="標楷體" w:hAnsi="Times New Roman"/>
          <w:sz w:val="28"/>
          <w:szCs w:val="28"/>
        </w:rPr>
        <w:t>一</w:t>
      </w:r>
      <w:bookmarkStart w:id="60" w:name="_Ref429393243"/>
      <w:proofErr w:type="gramEnd"/>
      <w:r w:rsidRPr="005E758A">
        <w:rPr>
          <w:rStyle w:val="af3"/>
          <w:rFonts w:ascii="Times New Roman" w:eastAsia="標楷體" w:hAnsi="Times New Roman"/>
        </w:rPr>
        <w:endnoteReference w:id="237"/>
      </w:r>
      <w:bookmarkEnd w:id="60"/>
      <w:r w:rsidRPr="005E758A">
        <w:rPr>
          <w:rFonts w:ascii="Times New Roman" w:eastAsia="標楷體" w:hAnsi="Times New Roman"/>
          <w:sz w:val="28"/>
          <w:szCs w:val="28"/>
        </w:rPr>
        <w:t>。但在現實中有以下幾種狀況必須特別考量</w:t>
      </w:r>
      <w:r w:rsidRPr="005E758A">
        <w:rPr>
          <w:rStyle w:val="af3"/>
          <w:rFonts w:ascii="Times New Roman" w:eastAsia="標楷體" w:hAnsi="Times New Roman"/>
        </w:rPr>
        <w:endnoteReference w:id="238"/>
      </w:r>
      <w:r w:rsidRPr="005E758A">
        <w:rPr>
          <w:rFonts w:ascii="Times New Roman" w:eastAsia="標楷體" w:hAnsi="Times New Roman"/>
          <w:sz w:val="28"/>
          <w:szCs w:val="28"/>
        </w:rPr>
        <w:t>：</w:t>
      </w:r>
    </w:p>
    <w:p w14:paraId="7422852F" w14:textId="77777777" w:rsidR="00135FC9" w:rsidRPr="005E758A" w:rsidRDefault="00135FC9" w:rsidP="00135FC9">
      <w:pPr>
        <w:pStyle w:val="4"/>
        <w:numPr>
          <w:ilvl w:val="2"/>
          <w:numId w:val="5"/>
        </w:numPr>
        <w:ind w:left="714" w:hanging="357"/>
      </w:pPr>
      <w:r w:rsidRPr="005E758A">
        <w:t>單親家庭</w:t>
      </w:r>
    </w:p>
    <w:p w14:paraId="6B5C5DFF" w14:textId="77777777" w:rsidR="00135FC9" w:rsidRPr="005E758A" w:rsidRDefault="00135FC9" w:rsidP="00135FC9">
      <w:pPr>
        <w:pStyle w:val="a0"/>
        <w:snapToGrid w:val="0"/>
        <w:spacing w:before="100" w:beforeAutospacing="1" w:after="100" w:afterAutospacing="1"/>
        <w:ind w:leftChars="0" w:left="0" w:firstLineChars="200" w:firstLine="560"/>
        <w:jc w:val="both"/>
        <w:rPr>
          <w:rFonts w:ascii="Times New Roman" w:eastAsia="標楷體" w:hAnsi="Times New Roman"/>
          <w:sz w:val="28"/>
          <w:szCs w:val="28"/>
        </w:rPr>
      </w:pPr>
      <w:r w:rsidRPr="005E758A">
        <w:rPr>
          <w:rFonts w:ascii="Times New Roman" w:eastAsia="標楷體" w:hAnsi="Times New Roman"/>
          <w:sz w:val="28"/>
          <w:szCs w:val="28"/>
        </w:rPr>
        <w:lastRenderedPageBreak/>
        <w:t>許多締約國之國家報告皆呈現單親家庭數量偏高的情況，且通常由母親擔負照顧子女的主要責任。兒童權利委員會對此呼籲，子女需要父母雙方積極地參與其成長，並應重視單親家庭與兒童貧窮的關聯性。</w:t>
      </w:r>
      <w:proofErr w:type="gramStart"/>
      <w:r w:rsidRPr="005E758A">
        <w:rPr>
          <w:rFonts w:ascii="Times New Roman" w:eastAsia="標楷體" w:hAnsi="Times New Roman"/>
          <w:sz w:val="28"/>
          <w:szCs w:val="28"/>
        </w:rPr>
        <w:t>此外，</w:t>
      </w:r>
      <w:proofErr w:type="gramEnd"/>
      <w:r w:rsidRPr="005E758A">
        <w:rPr>
          <w:rFonts w:ascii="Times New Roman" w:eastAsia="標楷體" w:hAnsi="Times New Roman"/>
          <w:sz w:val="28"/>
          <w:szCs w:val="28"/>
        </w:rPr>
        <w:t>國家可透過勞動、稅制及福利等措施鼓勵父母雙方共同參與子女之養育工作。</w:t>
      </w:r>
    </w:p>
    <w:p w14:paraId="518EFEA4" w14:textId="77777777" w:rsidR="00135FC9" w:rsidRPr="005E758A" w:rsidRDefault="00135FC9" w:rsidP="00135FC9">
      <w:pPr>
        <w:pStyle w:val="a0"/>
        <w:snapToGrid w:val="0"/>
        <w:spacing w:before="100" w:beforeAutospacing="1" w:after="100" w:afterAutospacing="1"/>
        <w:ind w:leftChars="0" w:left="0" w:firstLineChars="200" w:firstLine="560"/>
        <w:jc w:val="both"/>
        <w:rPr>
          <w:rFonts w:ascii="Times New Roman" w:eastAsia="標楷體" w:hAnsi="Times New Roman"/>
          <w:sz w:val="28"/>
          <w:szCs w:val="28"/>
        </w:rPr>
      </w:pPr>
      <w:r w:rsidRPr="005E758A">
        <w:rPr>
          <w:rFonts w:ascii="Times New Roman" w:eastAsia="標楷體" w:hAnsi="Times New Roman"/>
          <w:sz w:val="28"/>
          <w:szCs w:val="28"/>
        </w:rPr>
        <w:t>然而實際上，部分國家並不遵守賦予父母平等地位的原則，特別是在雙方未締結婚姻的情況下，所生的子女並未享有與婚生子女相同的地位，而在父母離婚或分居的情況下，許多父親沒有負起照</w:t>
      </w:r>
      <w:r w:rsidR="00921789" w:rsidRPr="005E758A">
        <w:rPr>
          <w:rFonts w:ascii="Times New Roman" w:eastAsia="標楷體" w:hAnsi="Times New Roman"/>
          <w:sz w:val="28"/>
          <w:szCs w:val="28"/>
        </w:rPr>
        <w:t>顧</w:t>
      </w:r>
      <w:r w:rsidRPr="005E758A">
        <w:rPr>
          <w:rFonts w:ascii="Times New Roman" w:eastAsia="標楷體" w:hAnsi="Times New Roman"/>
          <w:sz w:val="28"/>
          <w:szCs w:val="28"/>
        </w:rPr>
        <w:t>、保護和撫養子女的責任</w:t>
      </w:r>
      <w:r w:rsidRPr="005E758A">
        <w:rPr>
          <w:rStyle w:val="af3"/>
          <w:rFonts w:ascii="Times New Roman" w:eastAsia="標楷體" w:hAnsi="Times New Roman"/>
        </w:rPr>
        <w:endnoteReference w:id="239"/>
      </w:r>
      <w:r w:rsidRPr="005E758A">
        <w:rPr>
          <w:rFonts w:ascii="Times New Roman" w:eastAsia="標楷體" w:hAnsi="Times New Roman"/>
          <w:sz w:val="28"/>
          <w:szCs w:val="28"/>
        </w:rPr>
        <w:t>。</w:t>
      </w:r>
    </w:p>
    <w:p w14:paraId="75CBAEEB" w14:textId="77777777" w:rsidR="00135FC9" w:rsidRPr="005E758A" w:rsidRDefault="00135FC9" w:rsidP="00135FC9">
      <w:pPr>
        <w:pStyle w:val="4"/>
        <w:numPr>
          <w:ilvl w:val="2"/>
          <w:numId w:val="5"/>
        </w:numPr>
        <w:ind w:left="714" w:hanging="357"/>
      </w:pPr>
      <w:r w:rsidRPr="005E758A">
        <w:t>父母分居</w:t>
      </w:r>
    </w:p>
    <w:p w14:paraId="2202694E" w14:textId="77777777" w:rsidR="00135FC9" w:rsidRPr="005E758A" w:rsidRDefault="00135FC9" w:rsidP="00135FC9">
      <w:pPr>
        <w:pStyle w:val="a0"/>
        <w:snapToGrid w:val="0"/>
        <w:spacing w:before="100" w:beforeAutospacing="1" w:after="100" w:afterAutospacing="1"/>
        <w:ind w:leftChars="0" w:left="0" w:firstLineChars="200" w:firstLine="560"/>
        <w:jc w:val="both"/>
        <w:rPr>
          <w:rFonts w:ascii="Times New Roman" w:eastAsia="標楷體" w:hAnsi="Times New Roman"/>
          <w:sz w:val="28"/>
          <w:szCs w:val="28"/>
        </w:rPr>
      </w:pPr>
      <w:r w:rsidRPr="005E758A">
        <w:rPr>
          <w:rFonts w:ascii="Times New Roman" w:eastAsia="標楷體" w:hAnsi="Times New Roman"/>
          <w:sz w:val="28"/>
          <w:szCs w:val="28"/>
        </w:rPr>
        <w:t>兒童權利委員會並不贊成部分國家之法律以子女年齡判斷監護權歸屬的標準，並強調監護權之判斷應以子女最佳利益為依歸。</w:t>
      </w:r>
      <w:proofErr w:type="gramStart"/>
      <w:r w:rsidRPr="005E758A">
        <w:rPr>
          <w:rFonts w:ascii="Times New Roman" w:eastAsia="標楷體" w:hAnsi="Times New Roman"/>
          <w:sz w:val="28"/>
          <w:szCs w:val="28"/>
        </w:rPr>
        <w:t>再者，</w:t>
      </w:r>
      <w:proofErr w:type="gramEnd"/>
      <w:r w:rsidRPr="005E758A">
        <w:rPr>
          <w:rFonts w:ascii="Times New Roman" w:eastAsia="標楷體" w:hAnsi="Times New Roman"/>
          <w:sz w:val="28"/>
          <w:szCs w:val="28"/>
        </w:rPr>
        <w:t>由公約第</w:t>
      </w:r>
      <w:r w:rsidRPr="005E758A">
        <w:rPr>
          <w:rFonts w:ascii="Times New Roman" w:eastAsia="標楷體" w:hAnsi="Times New Roman"/>
          <w:sz w:val="28"/>
          <w:szCs w:val="28"/>
        </w:rPr>
        <w:t>7</w:t>
      </w:r>
      <w:r w:rsidRPr="005E758A">
        <w:rPr>
          <w:rFonts w:ascii="Times New Roman" w:eastAsia="標楷體" w:hAnsi="Times New Roman"/>
          <w:sz w:val="28"/>
          <w:szCs w:val="28"/>
        </w:rPr>
        <w:t>條及第</w:t>
      </w:r>
      <w:r w:rsidRPr="005E758A">
        <w:rPr>
          <w:rFonts w:ascii="Times New Roman" w:eastAsia="標楷體" w:hAnsi="Times New Roman"/>
          <w:sz w:val="28"/>
          <w:szCs w:val="28"/>
        </w:rPr>
        <w:t>9</w:t>
      </w:r>
      <w:r w:rsidRPr="005E758A">
        <w:rPr>
          <w:rFonts w:ascii="Times New Roman" w:eastAsia="標楷體" w:hAnsi="Times New Roman"/>
          <w:sz w:val="28"/>
          <w:szCs w:val="28"/>
        </w:rPr>
        <w:t>條及本條共同觀之，公約規範的意涵為「父母雙方持續地參與子女的生活係符合子女最佳利益，此乃法律之基本假設，除非經證明不符合前開假設者不在此限」。</w:t>
      </w:r>
    </w:p>
    <w:p w14:paraId="518E9998" w14:textId="77777777" w:rsidR="00135FC9" w:rsidRPr="005E758A" w:rsidRDefault="00135FC9" w:rsidP="00135FC9">
      <w:pPr>
        <w:pStyle w:val="a0"/>
        <w:snapToGrid w:val="0"/>
        <w:spacing w:before="100" w:beforeAutospacing="1" w:after="100" w:afterAutospacing="1"/>
        <w:ind w:leftChars="0" w:left="0" w:firstLineChars="200" w:firstLine="560"/>
        <w:jc w:val="both"/>
        <w:rPr>
          <w:rFonts w:ascii="Times New Roman" w:eastAsia="標楷體" w:hAnsi="Times New Roman"/>
          <w:sz w:val="28"/>
          <w:szCs w:val="28"/>
        </w:rPr>
      </w:pPr>
      <w:r w:rsidRPr="005E758A">
        <w:rPr>
          <w:rFonts w:ascii="Times New Roman" w:eastAsia="標楷體" w:hAnsi="Times New Roman"/>
          <w:sz w:val="28"/>
          <w:szCs w:val="28"/>
        </w:rPr>
        <w:t>又依據</w:t>
      </w:r>
      <w:r w:rsidR="00626943">
        <w:rPr>
          <w:rFonts w:ascii="Times New Roman" w:eastAsia="標楷體" w:hAnsi="Times New Roman" w:hint="eastAsia"/>
          <w:sz w:val="28"/>
          <w:szCs w:val="28"/>
        </w:rPr>
        <w:t>《</w:t>
      </w:r>
      <w:r w:rsidRPr="005E758A">
        <w:rPr>
          <w:rFonts w:ascii="Times New Roman" w:eastAsia="標楷體" w:hAnsi="Times New Roman"/>
          <w:sz w:val="28"/>
          <w:szCs w:val="28"/>
        </w:rPr>
        <w:t>消除對婦女一切形式歧視公約</w:t>
      </w:r>
      <w:r w:rsidR="00626943">
        <w:rPr>
          <w:rFonts w:ascii="Times New Roman" w:eastAsia="標楷體" w:hAnsi="Times New Roman" w:hint="eastAsia"/>
          <w:sz w:val="28"/>
          <w:szCs w:val="28"/>
        </w:rPr>
        <w:t>》</w:t>
      </w:r>
      <w:r w:rsidRPr="005E758A">
        <w:rPr>
          <w:rFonts w:ascii="Times New Roman" w:eastAsia="標楷體" w:hAnsi="Times New Roman"/>
          <w:sz w:val="28"/>
          <w:szCs w:val="28"/>
        </w:rPr>
        <w:t>，共同分擔的權利和責任，應依法透過監護、看管、受託和收養等概念酌情實施。締約國應確保其法律規定，不論父母的婚姻狀況如何，也不論他們是否與子女同住，父母雙方平等分擔對子女的權利和責任</w:t>
      </w:r>
      <w:r w:rsidRPr="005E758A">
        <w:rPr>
          <w:rStyle w:val="af3"/>
          <w:rFonts w:ascii="Times New Roman" w:eastAsia="標楷體" w:hAnsi="Times New Roman"/>
        </w:rPr>
        <w:endnoteReference w:id="240"/>
      </w:r>
      <w:r w:rsidRPr="005E758A">
        <w:rPr>
          <w:rFonts w:ascii="Times New Roman" w:eastAsia="標楷體" w:hAnsi="Times New Roman"/>
          <w:sz w:val="28"/>
          <w:szCs w:val="28"/>
        </w:rPr>
        <w:t>。</w:t>
      </w:r>
    </w:p>
    <w:p w14:paraId="66A74843" w14:textId="77777777" w:rsidR="00135FC9" w:rsidRPr="005E758A" w:rsidRDefault="00135FC9" w:rsidP="00135FC9">
      <w:pPr>
        <w:pStyle w:val="4"/>
        <w:numPr>
          <w:ilvl w:val="2"/>
          <w:numId w:val="5"/>
        </w:numPr>
        <w:ind w:left="714" w:hanging="357"/>
      </w:pPr>
      <w:r w:rsidRPr="005E758A">
        <w:t>兒童受國家安置</w:t>
      </w:r>
    </w:p>
    <w:p w14:paraId="3A8C2FB2" w14:textId="77777777" w:rsidR="00135FC9" w:rsidRPr="005E758A" w:rsidRDefault="00135FC9" w:rsidP="00135FC9">
      <w:pPr>
        <w:pStyle w:val="a0"/>
        <w:snapToGrid w:val="0"/>
        <w:spacing w:before="100" w:beforeAutospacing="1" w:after="100" w:afterAutospacing="1"/>
        <w:ind w:leftChars="0" w:left="0" w:firstLineChars="200" w:firstLine="560"/>
        <w:jc w:val="both"/>
        <w:rPr>
          <w:rFonts w:ascii="Times New Roman" w:eastAsia="標楷體" w:hAnsi="Times New Roman"/>
          <w:sz w:val="28"/>
          <w:szCs w:val="28"/>
        </w:rPr>
      </w:pPr>
      <w:r w:rsidRPr="005E758A">
        <w:rPr>
          <w:rFonts w:ascii="Times New Roman" w:eastAsia="標楷體" w:hAnsi="Times New Roman"/>
          <w:sz w:val="28"/>
          <w:szCs w:val="28"/>
        </w:rPr>
        <w:t>兒童權利委員會對於部分國家之法律規定於兒童受國家安置於機構中或寄養家庭時，父母即自動喪失親權</w:t>
      </w:r>
      <w:r w:rsidRPr="005E758A">
        <w:rPr>
          <w:rFonts w:ascii="Times New Roman" w:eastAsia="標楷體" w:hAnsi="Times New Roman"/>
          <w:sz w:val="28"/>
          <w:szCs w:val="28"/>
        </w:rPr>
        <w:t>(parental authority)</w:t>
      </w:r>
      <w:r w:rsidRPr="005E758A">
        <w:rPr>
          <w:rFonts w:ascii="Times New Roman" w:eastAsia="標楷體" w:hAnsi="Times New Roman"/>
          <w:sz w:val="28"/>
          <w:szCs w:val="28"/>
        </w:rPr>
        <w:t>的情況感到憂心，並建議修法以確實保障父母的權利及維繫親子關係。</w:t>
      </w:r>
    </w:p>
    <w:p w14:paraId="2F0E9515" w14:textId="77777777" w:rsidR="00135FC9" w:rsidRPr="005E758A" w:rsidRDefault="00135FC9" w:rsidP="007119F4">
      <w:pPr>
        <w:pStyle w:val="3"/>
        <w:numPr>
          <w:ilvl w:val="0"/>
          <w:numId w:val="51"/>
        </w:numPr>
      </w:pPr>
      <w:r w:rsidRPr="005E758A">
        <w:t>第</w:t>
      </w:r>
      <w:r w:rsidRPr="005E758A">
        <w:t>18</w:t>
      </w:r>
      <w:r w:rsidRPr="005E758A">
        <w:t>條第</w:t>
      </w:r>
      <w:r w:rsidRPr="005E758A">
        <w:t>2</w:t>
      </w:r>
      <w:r w:rsidRPr="005E758A">
        <w:t>項</w:t>
      </w:r>
    </w:p>
    <w:p w14:paraId="5D7A232A" w14:textId="77777777" w:rsidR="00135FC9" w:rsidRPr="005E758A" w:rsidRDefault="00135FC9" w:rsidP="00135FC9">
      <w:pPr>
        <w:pStyle w:val="a0"/>
        <w:snapToGrid w:val="0"/>
        <w:spacing w:before="100" w:beforeAutospacing="1" w:after="100" w:afterAutospacing="1"/>
        <w:ind w:leftChars="0" w:left="0" w:firstLineChars="200" w:firstLine="560"/>
        <w:jc w:val="both"/>
        <w:rPr>
          <w:rFonts w:ascii="Times New Roman" w:eastAsia="標楷體" w:hAnsi="Times New Roman"/>
          <w:sz w:val="28"/>
          <w:szCs w:val="28"/>
        </w:rPr>
      </w:pPr>
      <w:r w:rsidRPr="005E758A">
        <w:rPr>
          <w:rFonts w:ascii="Times New Roman" w:eastAsia="標楷體" w:hAnsi="Times New Roman"/>
          <w:sz w:val="28"/>
          <w:szCs w:val="28"/>
        </w:rPr>
        <w:t>國家應提供「適當之協助」：依據聯合國兒童基金會之說明，國家提供適當協助的義務不限於父母有疏失的情況。而所謂的適當協助，除金錢給付外，亦應包含提供住所、</w:t>
      </w:r>
      <w:proofErr w:type="gramStart"/>
      <w:r w:rsidRPr="005E758A">
        <w:rPr>
          <w:rFonts w:ascii="Times New Roman" w:eastAsia="標楷體" w:hAnsi="Times New Roman"/>
          <w:sz w:val="28"/>
          <w:szCs w:val="28"/>
        </w:rPr>
        <w:t>日間托</w:t>
      </w:r>
      <w:proofErr w:type="gramEnd"/>
      <w:r w:rsidRPr="005E758A">
        <w:rPr>
          <w:rFonts w:ascii="Times New Roman" w:eastAsia="標楷體" w:hAnsi="Times New Roman"/>
          <w:sz w:val="28"/>
          <w:szCs w:val="28"/>
        </w:rPr>
        <w:t>育、家內協助、設備暨心理及專業諮詢服務等</w:t>
      </w:r>
      <w:r w:rsidRPr="005E758A">
        <w:rPr>
          <w:rStyle w:val="af3"/>
          <w:rFonts w:ascii="Times New Roman" w:eastAsia="標楷體" w:hAnsi="Times New Roman"/>
        </w:rPr>
        <w:endnoteReference w:id="241"/>
      </w:r>
      <w:r w:rsidRPr="005E758A">
        <w:rPr>
          <w:rFonts w:ascii="Times New Roman" w:eastAsia="標楷體" w:hAnsi="Times New Roman"/>
          <w:sz w:val="28"/>
          <w:szCs w:val="28"/>
        </w:rPr>
        <w:t>。</w:t>
      </w:r>
    </w:p>
    <w:p w14:paraId="31A3E89C" w14:textId="77777777" w:rsidR="00135FC9" w:rsidRPr="005E758A" w:rsidRDefault="00135FC9" w:rsidP="007119F4">
      <w:pPr>
        <w:pStyle w:val="3"/>
        <w:numPr>
          <w:ilvl w:val="0"/>
          <w:numId w:val="51"/>
        </w:numPr>
      </w:pPr>
      <w:r w:rsidRPr="005E758A">
        <w:t>第</w:t>
      </w:r>
      <w:r w:rsidRPr="005E758A">
        <w:t>18</w:t>
      </w:r>
      <w:r w:rsidRPr="005E758A">
        <w:t>條第</w:t>
      </w:r>
      <w:r w:rsidRPr="005E758A">
        <w:t>3</w:t>
      </w:r>
      <w:r w:rsidRPr="005E758A">
        <w:t>項</w:t>
      </w:r>
    </w:p>
    <w:p w14:paraId="781F8727" w14:textId="77777777" w:rsidR="00135FC9" w:rsidRPr="005E758A" w:rsidRDefault="00135FC9" w:rsidP="00135FC9">
      <w:pPr>
        <w:pStyle w:val="a0"/>
        <w:snapToGrid w:val="0"/>
        <w:spacing w:before="100" w:beforeAutospacing="1" w:after="100" w:afterAutospacing="1"/>
        <w:ind w:leftChars="0" w:left="0" w:firstLineChars="200" w:firstLine="560"/>
        <w:jc w:val="both"/>
        <w:rPr>
          <w:rFonts w:ascii="Times New Roman" w:eastAsia="標楷體" w:hAnsi="Times New Roman"/>
          <w:sz w:val="28"/>
          <w:szCs w:val="28"/>
        </w:rPr>
      </w:pPr>
      <w:r w:rsidRPr="005E758A">
        <w:rPr>
          <w:rFonts w:ascii="Times New Roman" w:eastAsia="標楷體" w:hAnsi="Times New Roman"/>
          <w:sz w:val="28"/>
          <w:szCs w:val="28"/>
        </w:rPr>
        <w:t>由於現代婦女積極參與就業以及異於傳統大家庭之生活趨勢，各</w:t>
      </w:r>
      <w:r w:rsidRPr="005E758A">
        <w:rPr>
          <w:rFonts w:ascii="Times New Roman" w:eastAsia="標楷體" w:hAnsi="Times New Roman"/>
          <w:sz w:val="28"/>
          <w:szCs w:val="28"/>
        </w:rPr>
        <w:lastRenderedPageBreak/>
        <w:t>國應更加重視高品質、低收費（或免費）之兒童課後照顧之重要性；以及國內法有關育嬰假與相關津貼的措施是否足夠等問題</w:t>
      </w:r>
      <w:r w:rsidRPr="005E758A">
        <w:rPr>
          <w:rStyle w:val="af3"/>
          <w:rFonts w:ascii="Times New Roman" w:eastAsia="標楷體" w:hAnsi="Times New Roman"/>
        </w:rPr>
        <w:endnoteReference w:id="242"/>
      </w:r>
      <w:r w:rsidRPr="005E758A">
        <w:rPr>
          <w:rFonts w:ascii="Times New Roman" w:eastAsia="標楷體" w:hAnsi="Times New Roman"/>
          <w:sz w:val="28"/>
          <w:szCs w:val="28"/>
        </w:rPr>
        <w:t>。</w:t>
      </w:r>
    </w:p>
    <w:p w14:paraId="6C90E53E" w14:textId="77777777" w:rsidR="00135FC9" w:rsidRPr="005E758A" w:rsidRDefault="00135FC9" w:rsidP="00135FC9">
      <w:pPr>
        <w:pStyle w:val="2"/>
      </w:pPr>
      <w:r w:rsidRPr="005E758A">
        <w:t>案例介紹</w:t>
      </w:r>
    </w:p>
    <w:p w14:paraId="0DB761F4" w14:textId="77777777" w:rsidR="00135FC9" w:rsidRPr="005E758A" w:rsidRDefault="00135FC9" w:rsidP="007119F4">
      <w:pPr>
        <w:pStyle w:val="3"/>
        <w:numPr>
          <w:ilvl w:val="0"/>
          <w:numId w:val="52"/>
        </w:numPr>
      </w:pPr>
      <w:r w:rsidRPr="005E758A">
        <w:t>2015</w:t>
      </w:r>
      <w:r w:rsidRPr="005E758A">
        <w:t>年哈薩克</w:t>
      </w:r>
      <w:r w:rsidRPr="005E758A">
        <w:t>Karaganda</w:t>
      </w:r>
      <w:r w:rsidRPr="005E758A">
        <w:t>區</w:t>
      </w:r>
      <w:proofErr w:type="spellStart"/>
      <w:r w:rsidRPr="005E758A">
        <w:t>Nurinskiy</w:t>
      </w:r>
      <w:proofErr w:type="spellEnd"/>
      <w:r w:rsidRPr="005E758A">
        <w:t>地方法院子女監護權案：</w:t>
      </w:r>
      <w:r w:rsidRPr="005E758A">
        <w:t>Case No. 2-138 of 12 July 2015</w:t>
      </w:r>
      <w:r w:rsidRPr="005E758A">
        <w:rPr>
          <w:rStyle w:val="af3"/>
        </w:rPr>
        <w:endnoteReference w:id="243"/>
      </w:r>
    </w:p>
    <w:p w14:paraId="4F358CCE" w14:textId="77777777" w:rsidR="00135FC9" w:rsidRPr="005E758A" w:rsidRDefault="00135FC9" w:rsidP="00135FC9">
      <w:pPr>
        <w:pStyle w:val="a0"/>
        <w:snapToGrid w:val="0"/>
        <w:spacing w:before="100" w:beforeAutospacing="1" w:after="100" w:afterAutospacing="1"/>
        <w:ind w:leftChars="0" w:left="0" w:firstLineChars="200" w:firstLine="560"/>
        <w:jc w:val="both"/>
        <w:rPr>
          <w:rFonts w:ascii="Times New Roman" w:eastAsia="標楷體" w:hAnsi="Times New Roman"/>
          <w:sz w:val="28"/>
          <w:szCs w:val="28"/>
        </w:rPr>
      </w:pPr>
      <w:r w:rsidRPr="005E758A">
        <w:rPr>
          <w:rFonts w:ascii="Times New Roman" w:eastAsia="標楷體" w:hAnsi="Times New Roman"/>
          <w:sz w:val="28"/>
          <w:szCs w:val="28"/>
        </w:rPr>
        <w:t>A.K.</w:t>
      </w:r>
      <w:r w:rsidRPr="005E758A">
        <w:rPr>
          <w:rFonts w:ascii="Times New Roman" w:eastAsia="標楷體" w:hAnsi="Times New Roman"/>
          <w:sz w:val="28"/>
          <w:szCs w:val="28"/>
        </w:rPr>
        <w:t>向法院請求對其兒子</w:t>
      </w:r>
      <w:r w:rsidRPr="005E758A">
        <w:rPr>
          <w:rFonts w:ascii="Times New Roman" w:eastAsia="標楷體" w:hAnsi="Times New Roman"/>
          <w:sz w:val="28"/>
          <w:szCs w:val="28"/>
        </w:rPr>
        <w:t>(N)</w:t>
      </w:r>
      <w:r w:rsidRPr="005E758A">
        <w:rPr>
          <w:rFonts w:ascii="Times New Roman" w:eastAsia="標楷體" w:hAnsi="Times New Roman"/>
          <w:sz w:val="28"/>
          <w:szCs w:val="28"/>
        </w:rPr>
        <w:t>的監護權。當時</w:t>
      </w:r>
      <w:r w:rsidRPr="005E758A">
        <w:rPr>
          <w:rFonts w:ascii="Times New Roman" w:eastAsia="標楷體" w:hAnsi="Times New Roman"/>
          <w:sz w:val="28"/>
          <w:szCs w:val="28"/>
        </w:rPr>
        <w:t>N</w:t>
      </w:r>
      <w:r w:rsidRPr="005E758A">
        <w:rPr>
          <w:rFonts w:ascii="Times New Roman" w:eastAsia="標楷體" w:hAnsi="Times New Roman"/>
          <w:sz w:val="28"/>
          <w:szCs w:val="28"/>
        </w:rPr>
        <w:t>與他的父親，同父異母的妹妹及其他親戚一起居住。當</w:t>
      </w:r>
      <w:r w:rsidRPr="005E758A">
        <w:rPr>
          <w:rFonts w:ascii="Times New Roman" w:eastAsia="標楷體" w:hAnsi="Times New Roman"/>
          <w:sz w:val="28"/>
          <w:szCs w:val="28"/>
        </w:rPr>
        <w:t>N</w:t>
      </w:r>
      <w:r w:rsidRPr="005E758A">
        <w:rPr>
          <w:rFonts w:ascii="Times New Roman" w:eastAsia="標楷體" w:hAnsi="Times New Roman"/>
          <w:sz w:val="28"/>
          <w:szCs w:val="28"/>
        </w:rPr>
        <w:t>的父親無法參與兩名子女的成長時，則係由其祖母負責照顧生活。法院給了</w:t>
      </w:r>
      <w:r w:rsidRPr="005E758A">
        <w:rPr>
          <w:rFonts w:ascii="Times New Roman" w:eastAsia="標楷體" w:hAnsi="Times New Roman"/>
          <w:sz w:val="28"/>
          <w:szCs w:val="28"/>
        </w:rPr>
        <w:t>N</w:t>
      </w:r>
      <w:r w:rsidRPr="005E758A">
        <w:rPr>
          <w:rFonts w:ascii="Times New Roman" w:eastAsia="標楷體" w:hAnsi="Times New Roman"/>
          <w:sz w:val="28"/>
          <w:szCs w:val="28"/>
        </w:rPr>
        <w:t>陳述想法的機會，</w:t>
      </w:r>
      <w:r w:rsidRPr="005E758A">
        <w:rPr>
          <w:rFonts w:ascii="Times New Roman" w:eastAsia="標楷體" w:hAnsi="Times New Roman"/>
          <w:sz w:val="28"/>
          <w:szCs w:val="28"/>
        </w:rPr>
        <w:t>N</w:t>
      </w:r>
      <w:r w:rsidRPr="005E758A">
        <w:rPr>
          <w:rFonts w:ascii="Times New Roman" w:eastAsia="標楷體" w:hAnsi="Times New Roman"/>
          <w:sz w:val="28"/>
          <w:szCs w:val="28"/>
        </w:rPr>
        <w:t>一開始表示不願和</w:t>
      </w:r>
      <w:r w:rsidRPr="005E758A">
        <w:rPr>
          <w:rFonts w:ascii="Times New Roman" w:eastAsia="標楷體" w:hAnsi="Times New Roman"/>
          <w:sz w:val="28"/>
          <w:szCs w:val="28"/>
        </w:rPr>
        <w:t>A.K.</w:t>
      </w:r>
      <w:r w:rsidRPr="005E758A">
        <w:rPr>
          <w:rFonts w:ascii="Times New Roman" w:eastAsia="標楷體" w:hAnsi="Times New Roman"/>
          <w:sz w:val="28"/>
          <w:szCs w:val="28"/>
        </w:rPr>
        <w:t>一同生活，因為</w:t>
      </w:r>
      <w:r w:rsidRPr="005E758A">
        <w:rPr>
          <w:rFonts w:ascii="Times New Roman" w:eastAsia="標楷體" w:hAnsi="Times New Roman"/>
          <w:sz w:val="28"/>
          <w:szCs w:val="28"/>
        </w:rPr>
        <w:t>A.K.</w:t>
      </w:r>
      <w:r w:rsidRPr="005E758A">
        <w:rPr>
          <w:rFonts w:ascii="Times New Roman" w:eastAsia="標楷體" w:hAnsi="Times New Roman"/>
          <w:sz w:val="28"/>
          <w:szCs w:val="28"/>
        </w:rPr>
        <w:t>早已離開許久，並且也不認識</w:t>
      </w:r>
      <w:r w:rsidRPr="005E758A">
        <w:rPr>
          <w:rFonts w:ascii="Times New Roman" w:eastAsia="標楷體" w:hAnsi="Times New Roman"/>
          <w:sz w:val="28"/>
          <w:szCs w:val="28"/>
        </w:rPr>
        <w:t>A.K.</w:t>
      </w:r>
      <w:r w:rsidRPr="005E758A">
        <w:rPr>
          <w:rFonts w:ascii="Times New Roman" w:eastAsia="標楷體" w:hAnsi="Times New Roman"/>
          <w:sz w:val="28"/>
          <w:szCs w:val="28"/>
        </w:rPr>
        <w:t>，但當法院又繼續問他為何有這樣的想法時，</w:t>
      </w:r>
      <w:r w:rsidRPr="005E758A">
        <w:rPr>
          <w:rFonts w:ascii="Times New Roman" w:eastAsia="標楷體" w:hAnsi="Times New Roman"/>
          <w:sz w:val="28"/>
          <w:szCs w:val="28"/>
        </w:rPr>
        <w:t>N</w:t>
      </w:r>
      <w:r w:rsidRPr="005E758A">
        <w:rPr>
          <w:rFonts w:ascii="Times New Roman" w:eastAsia="標楷體" w:hAnsi="Times New Roman"/>
          <w:sz w:val="28"/>
          <w:szCs w:val="28"/>
        </w:rPr>
        <w:t>才承認是他的父親及祖母告訴他的說詞。法院判決將監護權給予</w:t>
      </w:r>
      <w:r w:rsidRPr="005E758A">
        <w:rPr>
          <w:rFonts w:ascii="Times New Roman" w:eastAsia="標楷體" w:hAnsi="Times New Roman"/>
          <w:sz w:val="28"/>
          <w:szCs w:val="28"/>
        </w:rPr>
        <w:t>A.K.</w:t>
      </w:r>
      <w:r w:rsidRPr="005E758A">
        <w:rPr>
          <w:rFonts w:ascii="Times New Roman" w:eastAsia="標楷體" w:hAnsi="Times New Roman"/>
          <w:sz w:val="28"/>
          <w:szCs w:val="28"/>
        </w:rPr>
        <w:t>，理由為其得以對子女提供較好的照顧。</w:t>
      </w:r>
    </w:p>
    <w:p w14:paraId="54679965" w14:textId="77777777" w:rsidR="00135FC9" w:rsidRPr="005E758A" w:rsidRDefault="00135FC9" w:rsidP="00135FC9">
      <w:pPr>
        <w:pStyle w:val="a0"/>
        <w:snapToGrid w:val="0"/>
        <w:spacing w:before="100" w:beforeAutospacing="1" w:after="100" w:afterAutospacing="1"/>
        <w:ind w:leftChars="0" w:left="0" w:firstLineChars="200" w:firstLine="560"/>
        <w:jc w:val="both"/>
        <w:rPr>
          <w:rFonts w:ascii="Times New Roman" w:eastAsia="標楷體" w:hAnsi="Times New Roman"/>
          <w:sz w:val="28"/>
          <w:szCs w:val="28"/>
        </w:rPr>
      </w:pPr>
      <w:r w:rsidRPr="005E758A">
        <w:rPr>
          <w:rFonts w:ascii="Times New Roman" w:eastAsia="標楷體" w:hAnsi="Times New Roman"/>
          <w:sz w:val="28"/>
          <w:szCs w:val="28"/>
        </w:rPr>
        <w:t>法院認為，依據哈薩克的法律以及兒童權利公約第</w:t>
      </w:r>
      <w:r w:rsidRPr="005E758A">
        <w:rPr>
          <w:rFonts w:ascii="Times New Roman" w:eastAsia="標楷體" w:hAnsi="Times New Roman"/>
          <w:sz w:val="28"/>
          <w:szCs w:val="28"/>
        </w:rPr>
        <w:t>18</w:t>
      </w:r>
      <w:r w:rsidRPr="005E758A">
        <w:rPr>
          <w:rFonts w:ascii="Times New Roman" w:eastAsia="標楷體" w:hAnsi="Times New Roman"/>
          <w:sz w:val="28"/>
          <w:szCs w:val="28"/>
        </w:rPr>
        <w:t>條規定，父母雙方對其子女皆有相同的權利及責任。法院並認為，即便是分居的父母，對其子女仍然有權和其子女維繫交流，參與子女的成長過程，並選擇子女的教育方式，此權利不得受到和子女居住之一方的父母干涉。</w:t>
      </w:r>
    </w:p>
    <w:p w14:paraId="25749A60" w14:textId="77777777" w:rsidR="00135FC9" w:rsidRPr="005E758A" w:rsidRDefault="00135FC9" w:rsidP="00135FC9">
      <w:pPr>
        <w:pStyle w:val="a0"/>
        <w:snapToGrid w:val="0"/>
        <w:spacing w:before="100" w:beforeAutospacing="1" w:after="100" w:afterAutospacing="1"/>
        <w:ind w:leftChars="0" w:left="0" w:firstLineChars="200" w:firstLine="560"/>
        <w:jc w:val="both"/>
        <w:rPr>
          <w:rFonts w:ascii="Times New Roman" w:eastAsia="標楷體" w:hAnsi="Times New Roman"/>
          <w:sz w:val="28"/>
          <w:szCs w:val="28"/>
        </w:rPr>
      </w:pPr>
      <w:r w:rsidRPr="005E758A">
        <w:rPr>
          <w:rFonts w:ascii="Times New Roman" w:eastAsia="標楷體" w:hAnsi="Times New Roman"/>
          <w:sz w:val="28"/>
          <w:szCs w:val="28"/>
        </w:rPr>
        <w:t>另外，法院也指出，對子女監護權之酌定必須要參考下述的標準：子女與其中一方父母和其他兄弟姊妹的關係；子女的年紀；父母的道德、個人特質以及是否有能力提供適合妥當的方法提供子女的人格發展及教育</w:t>
      </w:r>
      <w:r w:rsidRPr="005E758A">
        <w:rPr>
          <w:rFonts w:ascii="Times New Roman" w:eastAsia="標楷體" w:hAnsi="Times New Roman"/>
          <w:sz w:val="28"/>
          <w:szCs w:val="28"/>
        </w:rPr>
        <w:t>(</w:t>
      </w:r>
      <w:r w:rsidRPr="005E758A">
        <w:rPr>
          <w:rFonts w:ascii="Times New Roman" w:eastAsia="標楷體" w:hAnsi="Times New Roman"/>
          <w:sz w:val="28"/>
          <w:szCs w:val="28"/>
        </w:rPr>
        <w:t>如父母一方之職業，經濟，婚姻狀況等等</w:t>
      </w:r>
      <w:r w:rsidRPr="005E758A">
        <w:rPr>
          <w:rFonts w:ascii="Times New Roman" w:eastAsia="標楷體" w:hAnsi="Times New Roman"/>
          <w:sz w:val="28"/>
          <w:szCs w:val="28"/>
        </w:rPr>
        <w:t>)</w:t>
      </w:r>
      <w:r w:rsidRPr="005E758A">
        <w:rPr>
          <w:rFonts w:ascii="Times New Roman" w:eastAsia="標楷體" w:hAnsi="Times New Roman"/>
          <w:sz w:val="28"/>
          <w:szCs w:val="28"/>
        </w:rPr>
        <w:t>。在本案中，</w:t>
      </w:r>
      <w:r w:rsidRPr="005E758A">
        <w:rPr>
          <w:rFonts w:ascii="Times New Roman" w:eastAsia="標楷體" w:hAnsi="Times New Roman"/>
          <w:sz w:val="28"/>
          <w:szCs w:val="28"/>
        </w:rPr>
        <w:t>N</w:t>
      </w:r>
      <w:r w:rsidRPr="005E758A">
        <w:rPr>
          <w:rFonts w:ascii="Times New Roman" w:eastAsia="標楷體" w:hAnsi="Times New Roman"/>
          <w:sz w:val="28"/>
          <w:szCs w:val="28"/>
        </w:rPr>
        <w:t>的父親顯示出其很少參與子女的成長過程，且其亦有犯罪紀錄。該子女所表達的想法，法院認為將會過度地影響其他不應被分開考量的因素。因此，法院決定將監護權給予請願人，因其被認為可對子女的發展提供較好的方式。</w:t>
      </w:r>
    </w:p>
    <w:p w14:paraId="055310D2" w14:textId="77777777" w:rsidR="00135FC9" w:rsidRPr="005E758A" w:rsidRDefault="00135FC9" w:rsidP="007119F4">
      <w:pPr>
        <w:pStyle w:val="3"/>
        <w:numPr>
          <w:ilvl w:val="0"/>
          <w:numId w:val="52"/>
        </w:numPr>
      </w:pPr>
      <w:r w:rsidRPr="005E758A">
        <w:t>2009</w:t>
      </w:r>
      <w:r w:rsidR="003D3A6F" w:rsidRPr="005E758A">
        <w:t>年新加坡上訴法院非婚生子女請求繼承</w:t>
      </w:r>
      <w:r w:rsidRPr="005E758A">
        <w:t>遺產案：</w:t>
      </w:r>
      <w:r w:rsidRPr="005E758A">
        <w:t>AAG v. Estate of AAH</w:t>
      </w:r>
      <w:r w:rsidRPr="005E758A">
        <w:rPr>
          <w:rStyle w:val="af3"/>
        </w:rPr>
        <w:endnoteReference w:id="244"/>
      </w:r>
    </w:p>
    <w:p w14:paraId="5EB907C0" w14:textId="77777777" w:rsidR="00135FC9" w:rsidRPr="005E758A" w:rsidRDefault="003D3A6F" w:rsidP="00135FC9">
      <w:pPr>
        <w:pStyle w:val="a0"/>
        <w:snapToGrid w:val="0"/>
        <w:spacing w:before="100" w:beforeAutospacing="1" w:after="100" w:afterAutospacing="1"/>
        <w:ind w:leftChars="0" w:left="0" w:firstLineChars="200" w:firstLine="560"/>
        <w:jc w:val="both"/>
        <w:rPr>
          <w:rFonts w:ascii="Times New Roman" w:eastAsia="標楷體" w:hAnsi="Times New Roman"/>
          <w:sz w:val="28"/>
          <w:szCs w:val="28"/>
        </w:rPr>
      </w:pPr>
      <w:r w:rsidRPr="005E758A">
        <w:rPr>
          <w:rFonts w:ascii="Times New Roman" w:eastAsia="標楷體" w:hAnsi="Times New Roman"/>
          <w:sz w:val="28"/>
          <w:szCs w:val="28"/>
        </w:rPr>
        <w:t>本案被繼承人</w:t>
      </w:r>
      <w:r w:rsidR="00135FC9" w:rsidRPr="005E758A">
        <w:rPr>
          <w:rFonts w:ascii="Times New Roman" w:eastAsia="標楷體" w:hAnsi="Times New Roman"/>
          <w:sz w:val="28"/>
          <w:szCs w:val="28"/>
        </w:rPr>
        <w:t>於其婚姻關係存續中有</w:t>
      </w:r>
      <w:r w:rsidR="00135FC9" w:rsidRPr="005E758A">
        <w:rPr>
          <w:rFonts w:ascii="Times New Roman" w:eastAsia="標楷體" w:hAnsi="Times New Roman"/>
          <w:sz w:val="28"/>
          <w:szCs w:val="28"/>
        </w:rPr>
        <w:t>1</w:t>
      </w:r>
      <w:r w:rsidRPr="005E758A">
        <w:rPr>
          <w:rFonts w:ascii="Times New Roman" w:eastAsia="標楷體" w:hAnsi="Times New Roman"/>
          <w:sz w:val="28"/>
          <w:szCs w:val="28"/>
        </w:rPr>
        <w:t>名</w:t>
      </w:r>
      <w:r w:rsidR="00135FC9" w:rsidRPr="005E758A">
        <w:rPr>
          <w:rFonts w:ascii="Times New Roman" w:eastAsia="標楷體" w:hAnsi="Times New Roman"/>
          <w:sz w:val="28"/>
          <w:szCs w:val="28"/>
        </w:rPr>
        <w:t>妻子和</w:t>
      </w:r>
      <w:r w:rsidR="00135FC9" w:rsidRPr="005E758A">
        <w:rPr>
          <w:rFonts w:ascii="Times New Roman" w:eastAsia="標楷體" w:hAnsi="Times New Roman"/>
          <w:sz w:val="28"/>
          <w:szCs w:val="28"/>
        </w:rPr>
        <w:t>4</w:t>
      </w:r>
      <w:r w:rsidRPr="005E758A">
        <w:rPr>
          <w:rFonts w:ascii="Times New Roman" w:eastAsia="標楷體" w:hAnsi="Times New Roman"/>
          <w:sz w:val="28"/>
          <w:szCs w:val="28"/>
        </w:rPr>
        <w:t>名女兒，另</w:t>
      </w:r>
      <w:r w:rsidR="00135FC9" w:rsidRPr="005E758A">
        <w:rPr>
          <w:rFonts w:ascii="Times New Roman" w:eastAsia="標楷體" w:hAnsi="Times New Roman"/>
          <w:sz w:val="28"/>
          <w:szCs w:val="28"/>
        </w:rPr>
        <w:t>有</w:t>
      </w:r>
      <w:r w:rsidR="00135FC9" w:rsidRPr="005E758A">
        <w:rPr>
          <w:rFonts w:ascii="Times New Roman" w:eastAsia="標楷體" w:hAnsi="Times New Roman"/>
          <w:sz w:val="28"/>
          <w:szCs w:val="28"/>
        </w:rPr>
        <w:t>2</w:t>
      </w:r>
      <w:r w:rsidRPr="005E758A">
        <w:rPr>
          <w:rFonts w:ascii="Times New Roman" w:eastAsia="標楷體" w:hAnsi="Times New Roman"/>
          <w:sz w:val="28"/>
          <w:szCs w:val="28"/>
        </w:rPr>
        <w:t>名於婚姻關係外所生之女兒。上訴人代表</w:t>
      </w:r>
      <w:r w:rsidR="00135FC9" w:rsidRPr="005E758A">
        <w:rPr>
          <w:rFonts w:ascii="Times New Roman" w:eastAsia="標楷體" w:hAnsi="Times New Roman"/>
          <w:sz w:val="28"/>
          <w:szCs w:val="28"/>
        </w:rPr>
        <w:t>2</w:t>
      </w:r>
      <w:r w:rsidRPr="005E758A">
        <w:rPr>
          <w:rFonts w:ascii="Times New Roman" w:eastAsia="標楷體" w:hAnsi="Times New Roman"/>
          <w:sz w:val="28"/>
          <w:szCs w:val="28"/>
        </w:rPr>
        <w:t>名</w:t>
      </w:r>
      <w:r w:rsidR="00135FC9" w:rsidRPr="005E758A">
        <w:rPr>
          <w:rFonts w:ascii="Times New Roman" w:eastAsia="標楷體" w:hAnsi="Times New Roman"/>
          <w:sz w:val="28"/>
          <w:szCs w:val="28"/>
        </w:rPr>
        <w:t>女兒請求，依據</w:t>
      </w:r>
      <w:r w:rsidR="00626943">
        <w:rPr>
          <w:rFonts w:ascii="Times New Roman" w:eastAsia="標楷體" w:hAnsi="Times New Roman" w:hint="eastAsia"/>
          <w:sz w:val="28"/>
          <w:szCs w:val="28"/>
        </w:rPr>
        <w:t>新加坡</w:t>
      </w:r>
      <w:r w:rsidR="00135FC9" w:rsidRPr="005E758A">
        <w:rPr>
          <w:rFonts w:ascii="Times New Roman" w:eastAsia="標楷體" w:hAnsi="Times New Roman"/>
          <w:sz w:val="28"/>
          <w:szCs w:val="28"/>
        </w:rPr>
        <w:t>遺產法</w:t>
      </w:r>
      <w:r w:rsidR="00135FC9" w:rsidRPr="005E758A">
        <w:rPr>
          <w:rFonts w:ascii="Times New Roman" w:eastAsia="標楷體" w:hAnsi="Times New Roman"/>
          <w:sz w:val="28"/>
          <w:szCs w:val="28"/>
        </w:rPr>
        <w:t>(Inheritance Family Provision Act,</w:t>
      </w:r>
      <w:r w:rsidR="00626943">
        <w:rPr>
          <w:rFonts w:ascii="Times New Roman" w:eastAsia="標楷體" w:hAnsi="Times New Roman"/>
          <w:sz w:val="28"/>
          <w:szCs w:val="28"/>
        </w:rPr>
        <w:t xml:space="preserve"> </w:t>
      </w:r>
      <w:r w:rsidR="00135FC9" w:rsidRPr="005E758A">
        <w:rPr>
          <w:rFonts w:ascii="Times New Roman" w:eastAsia="標楷體" w:hAnsi="Times New Roman"/>
          <w:sz w:val="28"/>
          <w:szCs w:val="28"/>
        </w:rPr>
        <w:t>IFP (S) Act)</w:t>
      </w:r>
      <w:r w:rsidR="00135FC9" w:rsidRPr="005E758A">
        <w:rPr>
          <w:rFonts w:ascii="Times New Roman" w:eastAsia="標楷體" w:hAnsi="Times New Roman"/>
          <w:sz w:val="28"/>
          <w:szCs w:val="28"/>
        </w:rPr>
        <w:t>其應繼續持有死者之不動產。依據該法，為維護尚生存之配偶與其子女，</w:t>
      </w:r>
      <w:proofErr w:type="gramStart"/>
      <w:r w:rsidRPr="005E758A">
        <w:rPr>
          <w:rFonts w:ascii="Times New Roman" w:eastAsia="標楷體" w:hAnsi="Times New Roman"/>
          <w:sz w:val="28"/>
          <w:szCs w:val="28"/>
        </w:rPr>
        <w:t>法院得責付</w:t>
      </w:r>
      <w:proofErr w:type="gramEnd"/>
      <w:r w:rsidRPr="005E758A">
        <w:rPr>
          <w:rFonts w:ascii="Times New Roman" w:eastAsia="標楷體" w:hAnsi="Times New Roman"/>
          <w:sz w:val="28"/>
          <w:szCs w:val="28"/>
        </w:rPr>
        <w:t>以死者之遺產淨值予依賴死者生前所扶養之人。高等法院駁回</w:t>
      </w:r>
      <w:r w:rsidR="00135FC9" w:rsidRPr="005E758A">
        <w:rPr>
          <w:rFonts w:ascii="Times New Roman" w:eastAsia="標楷體" w:hAnsi="Times New Roman"/>
          <w:sz w:val="28"/>
          <w:szCs w:val="28"/>
        </w:rPr>
        <w:t>本件上訴，並判決非婚生子女不屬於該法所應適用之對象。</w:t>
      </w:r>
    </w:p>
    <w:p w14:paraId="7B6B4B2E" w14:textId="77777777" w:rsidR="00135FC9" w:rsidRPr="005E758A" w:rsidRDefault="00680782" w:rsidP="00135FC9">
      <w:pPr>
        <w:pStyle w:val="a0"/>
        <w:snapToGrid w:val="0"/>
        <w:spacing w:before="100" w:beforeAutospacing="1" w:after="100" w:afterAutospacing="1"/>
        <w:ind w:leftChars="0" w:left="0" w:firstLineChars="200" w:firstLine="560"/>
        <w:jc w:val="both"/>
        <w:rPr>
          <w:rFonts w:ascii="Times New Roman" w:eastAsia="標楷體" w:hAnsi="Times New Roman"/>
          <w:sz w:val="28"/>
          <w:szCs w:val="28"/>
        </w:rPr>
      </w:pPr>
      <w:r w:rsidRPr="005E758A">
        <w:rPr>
          <w:rFonts w:ascii="Times New Roman" w:eastAsia="標楷體" w:hAnsi="Times New Roman"/>
          <w:sz w:val="28"/>
          <w:szCs w:val="28"/>
        </w:rPr>
        <w:lastRenderedPageBreak/>
        <w:t>法院認為，</w:t>
      </w:r>
      <w:r w:rsidR="00135FC9" w:rsidRPr="005E758A">
        <w:rPr>
          <w:rFonts w:ascii="Times New Roman" w:eastAsia="標楷體" w:hAnsi="Times New Roman"/>
          <w:sz w:val="28"/>
          <w:szCs w:val="28"/>
        </w:rPr>
        <w:t>雖然法律已加強一般人保護其非婚生子女之責任，但並未延伸至死者或是遺產之範圍。原始字面上之涵義，「兒童」</w:t>
      </w:r>
      <w:r w:rsidR="00135FC9" w:rsidRPr="005E758A">
        <w:rPr>
          <w:rFonts w:ascii="Times New Roman" w:eastAsia="標楷體" w:hAnsi="Times New Roman"/>
          <w:sz w:val="28"/>
          <w:szCs w:val="28"/>
        </w:rPr>
        <w:t>(child)</w:t>
      </w:r>
      <w:r w:rsidR="00135FC9" w:rsidRPr="005E758A">
        <w:rPr>
          <w:rFonts w:ascii="Times New Roman" w:eastAsia="標楷體" w:hAnsi="Times New Roman"/>
          <w:sz w:val="28"/>
          <w:szCs w:val="28"/>
        </w:rPr>
        <w:t>，「兒子」</w:t>
      </w:r>
      <w:r w:rsidR="00135FC9" w:rsidRPr="005E758A">
        <w:rPr>
          <w:rFonts w:ascii="Times New Roman" w:eastAsia="標楷體" w:hAnsi="Times New Roman"/>
          <w:sz w:val="28"/>
          <w:szCs w:val="28"/>
        </w:rPr>
        <w:t>(son)</w:t>
      </w:r>
      <w:r w:rsidR="00135FC9" w:rsidRPr="005E758A">
        <w:rPr>
          <w:rFonts w:ascii="Times New Roman" w:eastAsia="標楷體" w:hAnsi="Times New Roman"/>
          <w:sz w:val="28"/>
          <w:szCs w:val="28"/>
        </w:rPr>
        <w:t>，「女兒」</w:t>
      </w:r>
      <w:r w:rsidR="00135FC9" w:rsidRPr="005E758A">
        <w:rPr>
          <w:rFonts w:ascii="Times New Roman" w:eastAsia="標楷體" w:hAnsi="Times New Roman"/>
          <w:sz w:val="28"/>
          <w:szCs w:val="28"/>
        </w:rPr>
        <w:t>(daughter)</w:t>
      </w:r>
      <w:r w:rsidR="00135FC9" w:rsidRPr="005E758A">
        <w:rPr>
          <w:rFonts w:ascii="Times New Roman" w:eastAsia="標楷體" w:hAnsi="Times New Roman"/>
          <w:sz w:val="28"/>
          <w:szCs w:val="28"/>
        </w:rPr>
        <w:t>，應係包括「非婚生子女」，然而此概念卻不適用遺產法下所稱之兒子及女兒。這將導致閱讀上下文有關「兒子」</w:t>
      </w:r>
      <w:r w:rsidR="00135FC9" w:rsidRPr="005E758A">
        <w:rPr>
          <w:rFonts w:ascii="Times New Roman" w:eastAsia="標楷體" w:hAnsi="Times New Roman"/>
          <w:sz w:val="28"/>
          <w:szCs w:val="28"/>
        </w:rPr>
        <w:t>(son)</w:t>
      </w:r>
      <w:r w:rsidR="00135FC9" w:rsidRPr="005E758A">
        <w:rPr>
          <w:rFonts w:ascii="Times New Roman" w:eastAsia="標楷體" w:hAnsi="Times New Roman"/>
          <w:sz w:val="28"/>
          <w:szCs w:val="28"/>
        </w:rPr>
        <w:t>，「女兒」</w:t>
      </w:r>
      <w:r w:rsidR="00135FC9" w:rsidRPr="005E758A">
        <w:rPr>
          <w:rFonts w:ascii="Times New Roman" w:eastAsia="標楷體" w:hAnsi="Times New Roman"/>
          <w:sz w:val="28"/>
          <w:szCs w:val="28"/>
        </w:rPr>
        <w:t>(daughter)</w:t>
      </w:r>
      <w:r w:rsidR="00135FC9" w:rsidRPr="005E758A">
        <w:rPr>
          <w:rFonts w:ascii="Times New Roman" w:eastAsia="標楷體" w:hAnsi="Times New Roman"/>
          <w:sz w:val="28"/>
          <w:szCs w:val="28"/>
        </w:rPr>
        <w:t>產生不利之影響，即便死者從未結婚卻與他人生有子女的狀況亦同。</w:t>
      </w:r>
    </w:p>
    <w:p w14:paraId="5E301C45" w14:textId="77777777" w:rsidR="00135FC9" w:rsidRPr="005E758A" w:rsidRDefault="00135FC9" w:rsidP="00135FC9">
      <w:pPr>
        <w:pStyle w:val="a0"/>
        <w:snapToGrid w:val="0"/>
        <w:spacing w:before="100" w:beforeAutospacing="1" w:after="100" w:afterAutospacing="1"/>
        <w:ind w:leftChars="0" w:left="0" w:firstLineChars="200" w:firstLine="560"/>
        <w:jc w:val="both"/>
        <w:rPr>
          <w:rFonts w:ascii="Times New Roman" w:eastAsia="標楷體" w:hAnsi="Times New Roman"/>
          <w:sz w:val="28"/>
          <w:szCs w:val="28"/>
        </w:rPr>
      </w:pPr>
      <w:r w:rsidRPr="005E758A">
        <w:rPr>
          <w:rFonts w:ascii="Times New Roman" w:eastAsia="標楷體" w:hAnsi="Times New Roman"/>
          <w:sz w:val="28"/>
          <w:szCs w:val="28"/>
        </w:rPr>
        <w:t>除此之外，在普通法下所提及「兒童」</w:t>
      </w:r>
      <w:r w:rsidRPr="005E758A">
        <w:rPr>
          <w:rFonts w:ascii="Times New Roman" w:eastAsia="標楷體" w:hAnsi="Times New Roman"/>
          <w:sz w:val="28"/>
          <w:szCs w:val="28"/>
        </w:rPr>
        <w:t>(child/children)</w:t>
      </w:r>
      <w:r w:rsidRPr="005E758A">
        <w:rPr>
          <w:rFonts w:ascii="Times New Roman" w:eastAsia="標楷體" w:hAnsi="Times New Roman"/>
          <w:sz w:val="28"/>
          <w:szCs w:val="28"/>
        </w:rPr>
        <w:t>係指</w:t>
      </w:r>
      <w:proofErr w:type="gramStart"/>
      <w:r w:rsidRPr="005E758A">
        <w:rPr>
          <w:rFonts w:ascii="Times New Roman" w:eastAsia="標楷體" w:hAnsi="Times New Roman"/>
          <w:sz w:val="28"/>
          <w:szCs w:val="28"/>
        </w:rPr>
        <w:t>婚生子女兒言</w:t>
      </w:r>
      <w:proofErr w:type="gramEnd"/>
      <w:r w:rsidRPr="005E758A">
        <w:rPr>
          <w:rFonts w:ascii="Times New Roman" w:eastAsia="標楷體" w:hAnsi="Times New Roman"/>
          <w:sz w:val="28"/>
          <w:szCs w:val="28"/>
        </w:rPr>
        <w:t>，進一步而論，法院結論依據遺產繼承法</w:t>
      </w:r>
      <w:r w:rsidRPr="005E758A">
        <w:rPr>
          <w:rFonts w:ascii="Times New Roman" w:eastAsia="標楷體" w:hAnsi="Times New Roman"/>
          <w:sz w:val="28"/>
          <w:szCs w:val="28"/>
        </w:rPr>
        <w:t>(Intestate Succession Act)</w:t>
      </w:r>
      <w:r w:rsidRPr="005E758A">
        <w:rPr>
          <w:rFonts w:ascii="Times New Roman" w:eastAsia="標楷體" w:hAnsi="Times New Roman"/>
          <w:sz w:val="28"/>
          <w:szCs w:val="28"/>
        </w:rPr>
        <w:t>，自然人父母的不動產只有婚生子女才得為適格之繼承人。允許非婚生子女對其已故父母之不動產之維護，等同間接地准許非婚生子女分配其父母的不動產，此亦違背遺囑繼承法之規定。法院亦確認了兒童權利公約第</w:t>
      </w:r>
      <w:r w:rsidRPr="005E758A">
        <w:rPr>
          <w:rFonts w:ascii="Times New Roman" w:eastAsia="標楷體" w:hAnsi="Times New Roman"/>
          <w:sz w:val="28"/>
          <w:szCs w:val="28"/>
        </w:rPr>
        <w:t>18</w:t>
      </w:r>
      <w:r w:rsidRPr="005E758A">
        <w:rPr>
          <w:rFonts w:ascii="Times New Roman" w:eastAsia="標楷體" w:hAnsi="Times New Roman"/>
          <w:sz w:val="28"/>
          <w:szCs w:val="28"/>
        </w:rPr>
        <w:t>條，父母必須盡其最大之努力確保此原則之實踐，即父母雙方對兒童之成長與發展具有共同之責任。然而法院也指出，此將會迫使新加坡將非婚生子女與婚生子女做相同之解釋。法院同時</w:t>
      </w:r>
      <w:r w:rsidR="00626943">
        <w:rPr>
          <w:rFonts w:ascii="Times New Roman" w:eastAsia="標楷體" w:hAnsi="Times New Roman" w:hint="eastAsia"/>
          <w:sz w:val="28"/>
          <w:szCs w:val="28"/>
        </w:rPr>
        <w:t>指出</w:t>
      </w:r>
      <w:r w:rsidRPr="005E758A">
        <w:rPr>
          <w:rFonts w:ascii="Times New Roman" w:eastAsia="標楷體" w:hAnsi="Times New Roman"/>
          <w:sz w:val="28"/>
          <w:szCs w:val="28"/>
        </w:rPr>
        <w:t>，非婚生子女是否有權利</w:t>
      </w:r>
      <w:r w:rsidR="00626943">
        <w:rPr>
          <w:rFonts w:ascii="Times New Roman" w:eastAsia="標楷體" w:hAnsi="Times New Roman" w:hint="eastAsia"/>
          <w:sz w:val="28"/>
          <w:szCs w:val="28"/>
        </w:rPr>
        <w:t>依據遺產法主張生活費，惟應由國會決定之</w:t>
      </w:r>
      <w:r w:rsidRPr="005E758A">
        <w:rPr>
          <w:rFonts w:ascii="Times New Roman" w:eastAsia="標楷體" w:hAnsi="Times New Roman"/>
          <w:sz w:val="28"/>
          <w:szCs w:val="28"/>
        </w:rPr>
        <w:t>公共政策選擇，</w:t>
      </w:r>
      <w:r w:rsidR="00626943">
        <w:rPr>
          <w:rFonts w:ascii="Times New Roman" w:eastAsia="標楷體" w:hAnsi="Times New Roman" w:hint="eastAsia"/>
          <w:sz w:val="28"/>
          <w:szCs w:val="28"/>
        </w:rPr>
        <w:t>因此敦促國會嚴正考慮推動必要的改革</w:t>
      </w:r>
      <w:r w:rsidRPr="005E758A">
        <w:rPr>
          <w:rFonts w:ascii="Times New Roman" w:eastAsia="標楷體" w:hAnsi="Times New Roman"/>
          <w:sz w:val="28"/>
          <w:szCs w:val="28"/>
        </w:rPr>
        <w:t>。</w:t>
      </w:r>
    </w:p>
    <w:p w14:paraId="76B966F1" w14:textId="77777777" w:rsidR="00135FC9" w:rsidRPr="005E758A" w:rsidRDefault="00135FC9" w:rsidP="00135FC9">
      <w:pPr>
        <w:pStyle w:val="2"/>
      </w:pPr>
      <w:r w:rsidRPr="005E758A">
        <w:t>綜合</w:t>
      </w:r>
      <w:r w:rsidRPr="005E758A">
        <w:rPr>
          <w:rStyle w:val="20"/>
          <w:b/>
        </w:rPr>
        <w:t>分</w:t>
      </w:r>
      <w:r w:rsidRPr="005E758A">
        <w:t>析</w:t>
      </w:r>
    </w:p>
    <w:p w14:paraId="41AF30A0" w14:textId="77777777" w:rsidR="00135FC9" w:rsidRPr="005E758A" w:rsidRDefault="00135FC9" w:rsidP="00043D86">
      <w:pPr>
        <w:pStyle w:val="a0"/>
        <w:snapToGrid w:val="0"/>
        <w:spacing w:before="100" w:beforeAutospacing="1" w:after="100" w:afterAutospacing="1"/>
        <w:ind w:leftChars="0" w:left="0" w:firstLineChars="200" w:firstLine="560"/>
        <w:jc w:val="both"/>
        <w:rPr>
          <w:rFonts w:ascii="Times New Roman" w:eastAsia="標楷體" w:hAnsi="Times New Roman"/>
        </w:rPr>
      </w:pPr>
      <w:r w:rsidRPr="005E758A">
        <w:rPr>
          <w:rFonts w:ascii="Times New Roman" w:eastAsia="標楷體" w:hAnsi="Times New Roman"/>
          <w:sz w:val="28"/>
          <w:szCs w:val="28"/>
        </w:rPr>
        <w:t>公約中與本條直接相關的條文包括第</w:t>
      </w:r>
      <w:r w:rsidRPr="005E758A">
        <w:rPr>
          <w:rFonts w:ascii="Times New Roman" w:eastAsia="標楷體" w:hAnsi="Times New Roman"/>
          <w:sz w:val="28"/>
          <w:szCs w:val="28"/>
        </w:rPr>
        <w:t>5</w:t>
      </w:r>
      <w:r w:rsidRPr="005E758A">
        <w:rPr>
          <w:rFonts w:ascii="Times New Roman" w:eastAsia="標楷體" w:hAnsi="Times New Roman"/>
          <w:sz w:val="28"/>
          <w:szCs w:val="28"/>
        </w:rPr>
        <w:t>條（父母之引導與兒童逐漸發展之能力）、第</w:t>
      </w:r>
      <w:r w:rsidRPr="005E758A">
        <w:rPr>
          <w:rFonts w:ascii="Times New Roman" w:eastAsia="標楷體" w:hAnsi="Times New Roman"/>
          <w:sz w:val="28"/>
          <w:szCs w:val="28"/>
        </w:rPr>
        <w:t>3</w:t>
      </w:r>
      <w:r w:rsidRPr="005E758A">
        <w:rPr>
          <w:rFonts w:ascii="Times New Roman" w:eastAsia="標楷體" w:hAnsi="Times New Roman"/>
          <w:sz w:val="28"/>
          <w:szCs w:val="28"/>
        </w:rPr>
        <w:t>條第</w:t>
      </w:r>
      <w:r w:rsidRPr="005E758A">
        <w:rPr>
          <w:rFonts w:ascii="Times New Roman" w:eastAsia="標楷體" w:hAnsi="Times New Roman"/>
          <w:sz w:val="28"/>
          <w:szCs w:val="28"/>
        </w:rPr>
        <w:t>2</w:t>
      </w:r>
      <w:r w:rsidRPr="005E758A">
        <w:rPr>
          <w:rFonts w:ascii="Times New Roman" w:eastAsia="標楷體" w:hAnsi="Times New Roman"/>
          <w:sz w:val="28"/>
          <w:szCs w:val="28"/>
        </w:rPr>
        <w:t>項（國家對於父母等權利與義務之考量）及第</w:t>
      </w:r>
      <w:r w:rsidRPr="005E758A">
        <w:rPr>
          <w:rFonts w:ascii="Times New Roman" w:eastAsia="標楷體" w:hAnsi="Times New Roman"/>
          <w:sz w:val="28"/>
          <w:szCs w:val="28"/>
        </w:rPr>
        <w:t>27</w:t>
      </w:r>
      <w:r w:rsidRPr="005E758A">
        <w:rPr>
          <w:rFonts w:ascii="Times New Roman" w:eastAsia="標楷體" w:hAnsi="Times New Roman"/>
          <w:sz w:val="28"/>
          <w:szCs w:val="28"/>
        </w:rPr>
        <w:t>條（有關國家之協助義務）</w:t>
      </w:r>
      <w:r w:rsidRPr="005E758A">
        <w:rPr>
          <w:rStyle w:val="af3"/>
          <w:rFonts w:ascii="Times New Roman" w:eastAsia="標楷體" w:hAnsi="Times New Roman"/>
        </w:rPr>
        <w:endnoteReference w:id="245"/>
      </w:r>
      <w:r w:rsidRPr="005E758A">
        <w:rPr>
          <w:rFonts w:ascii="Times New Roman" w:eastAsia="標楷體" w:hAnsi="Times New Roman"/>
          <w:sz w:val="28"/>
          <w:szCs w:val="28"/>
        </w:rPr>
        <w:t>。綜合此四條條文的精神，大體而言，「父母應擔負維護子女最佳利益之主要責任，但應符</w:t>
      </w:r>
      <w:r w:rsidR="00680782" w:rsidRPr="005E758A">
        <w:rPr>
          <w:rFonts w:ascii="Times New Roman" w:eastAsia="標楷體" w:hAnsi="Times New Roman"/>
          <w:sz w:val="28"/>
          <w:szCs w:val="28"/>
        </w:rPr>
        <w:t>合公約所保障之兒童權利且該責任得由大家庭之成員共同承擔；而國家則</w:t>
      </w:r>
      <w:r w:rsidRPr="005E758A">
        <w:rPr>
          <w:rFonts w:ascii="Times New Roman" w:eastAsia="標楷體" w:hAnsi="Times New Roman"/>
          <w:sz w:val="28"/>
          <w:szCs w:val="28"/>
        </w:rPr>
        <w:t>應採取適當措施協助父母，惟如父母無法擔負前開責任時，國家應介入以確保兒童的權利與需求能獲得保障」</w:t>
      </w:r>
      <w:r w:rsidRPr="005E758A">
        <w:rPr>
          <w:rStyle w:val="af3"/>
          <w:rFonts w:ascii="Times New Roman" w:eastAsia="標楷體" w:hAnsi="Times New Roman"/>
        </w:rPr>
        <w:endnoteReference w:id="246"/>
      </w:r>
      <w:r w:rsidRPr="005E758A">
        <w:rPr>
          <w:rFonts w:ascii="Times New Roman" w:eastAsia="標楷體" w:hAnsi="Times New Roman"/>
          <w:sz w:val="28"/>
          <w:szCs w:val="28"/>
        </w:rPr>
        <w:t>。</w:t>
      </w:r>
    </w:p>
    <w:p w14:paraId="78E93460" w14:textId="77777777" w:rsidR="00135FC9" w:rsidRPr="005E758A" w:rsidRDefault="00135FC9" w:rsidP="00135FC9">
      <w:pPr>
        <w:pStyle w:val="2"/>
      </w:pPr>
      <w:r w:rsidRPr="005E758A">
        <w:t>參考資料</w:t>
      </w:r>
    </w:p>
    <w:p w14:paraId="258B474E" w14:textId="77777777" w:rsidR="00041AD0" w:rsidRPr="005E758A" w:rsidRDefault="00041AD0" w:rsidP="00041AD0">
      <w:pPr>
        <w:pStyle w:val="a0"/>
        <w:numPr>
          <w:ilvl w:val="0"/>
          <w:numId w:val="49"/>
        </w:numPr>
        <w:snapToGrid w:val="0"/>
        <w:ind w:leftChars="0" w:left="448" w:hanging="448"/>
        <w:jc w:val="both"/>
        <w:rPr>
          <w:rFonts w:ascii="Times New Roman" w:eastAsia="標楷體" w:hAnsi="Times New Roman"/>
          <w:sz w:val="28"/>
          <w:szCs w:val="28"/>
        </w:rPr>
      </w:pPr>
      <w:r w:rsidRPr="005E758A">
        <w:rPr>
          <w:rFonts w:ascii="Times New Roman" w:eastAsia="標楷體" w:hAnsi="Times New Roman"/>
          <w:smallCaps/>
          <w:sz w:val="28"/>
          <w:szCs w:val="28"/>
        </w:rPr>
        <w:t xml:space="preserve">UNICEF, Implementation Handbook for the Convention on the Rights of the Child </w:t>
      </w:r>
      <w:r w:rsidRPr="005E758A">
        <w:rPr>
          <w:rFonts w:ascii="Times New Roman" w:eastAsia="標楷體" w:hAnsi="Times New Roman"/>
          <w:sz w:val="28"/>
          <w:szCs w:val="28"/>
        </w:rPr>
        <w:t>(3d ed. 2007).</w:t>
      </w:r>
    </w:p>
    <w:p w14:paraId="6B3B3BB2" w14:textId="77777777" w:rsidR="00041AD0" w:rsidRPr="005E758A" w:rsidRDefault="00041AD0" w:rsidP="00041AD0">
      <w:pPr>
        <w:pStyle w:val="a0"/>
        <w:numPr>
          <w:ilvl w:val="0"/>
          <w:numId w:val="49"/>
        </w:numPr>
        <w:snapToGrid w:val="0"/>
        <w:ind w:leftChars="0" w:left="448" w:hanging="448"/>
        <w:jc w:val="both"/>
        <w:rPr>
          <w:rFonts w:ascii="Times New Roman" w:eastAsia="標楷體" w:hAnsi="Times New Roman"/>
          <w:sz w:val="28"/>
          <w:szCs w:val="28"/>
        </w:rPr>
      </w:pPr>
      <w:r w:rsidRPr="005E758A">
        <w:rPr>
          <w:rFonts w:ascii="Times New Roman" w:eastAsia="標楷體" w:hAnsi="Times New Roman"/>
          <w:sz w:val="28"/>
          <w:szCs w:val="28"/>
        </w:rPr>
        <w:t>兒童權利公約，第</w:t>
      </w:r>
      <w:r w:rsidRPr="005E758A">
        <w:rPr>
          <w:rFonts w:ascii="Times New Roman" w:eastAsia="標楷體" w:hAnsi="Times New Roman"/>
          <w:sz w:val="28"/>
          <w:szCs w:val="28"/>
        </w:rPr>
        <w:t>7</w:t>
      </w:r>
      <w:r w:rsidRPr="005E758A">
        <w:rPr>
          <w:rFonts w:ascii="Times New Roman" w:eastAsia="標楷體" w:hAnsi="Times New Roman"/>
          <w:sz w:val="28"/>
          <w:szCs w:val="28"/>
        </w:rPr>
        <w:t>號一般性意見「在幼兒期落實兒童權利」。</w:t>
      </w:r>
      <w:r w:rsidRPr="005E758A">
        <w:rPr>
          <w:rFonts w:ascii="Times New Roman" w:eastAsia="標楷體" w:hAnsi="Times New Roman"/>
          <w:sz w:val="28"/>
          <w:szCs w:val="28"/>
        </w:rPr>
        <w:t>(Committee on the Rights of the Child, General Comment No. 7: Implementing Child Rights in Early Childhood, U.N. Doc. CRC/C/GC/7/Rev.1 (Sept. 20, 2006).)</w:t>
      </w:r>
    </w:p>
    <w:p w14:paraId="5A6E1CFD" w14:textId="77777777" w:rsidR="00041AD0" w:rsidRPr="005E758A" w:rsidRDefault="00041AD0" w:rsidP="00041AD0">
      <w:pPr>
        <w:pStyle w:val="a0"/>
        <w:numPr>
          <w:ilvl w:val="0"/>
          <w:numId w:val="49"/>
        </w:numPr>
        <w:ind w:leftChars="0"/>
        <w:jc w:val="both"/>
        <w:rPr>
          <w:rFonts w:ascii="Times New Roman" w:eastAsia="標楷體" w:hAnsi="Times New Roman"/>
          <w:sz w:val="28"/>
          <w:szCs w:val="28"/>
        </w:rPr>
      </w:pPr>
      <w:r w:rsidRPr="005E758A">
        <w:rPr>
          <w:rFonts w:ascii="Times New Roman" w:eastAsia="標楷體" w:hAnsi="Times New Roman"/>
          <w:sz w:val="28"/>
          <w:szCs w:val="28"/>
        </w:rPr>
        <w:t>林沛君，兒少人權向前行，臺北市，台灣展翅協會，</w:t>
      </w:r>
      <w:r w:rsidRPr="005E758A">
        <w:rPr>
          <w:rFonts w:ascii="Times New Roman" w:eastAsia="標楷體" w:hAnsi="Times New Roman"/>
          <w:sz w:val="28"/>
          <w:szCs w:val="28"/>
        </w:rPr>
        <w:t>2015</w:t>
      </w:r>
      <w:r w:rsidRPr="005E758A">
        <w:rPr>
          <w:rFonts w:ascii="Times New Roman" w:eastAsia="標楷體" w:hAnsi="Times New Roman"/>
          <w:sz w:val="28"/>
          <w:szCs w:val="28"/>
        </w:rPr>
        <w:t>年</w:t>
      </w:r>
      <w:r w:rsidRPr="005E758A">
        <w:rPr>
          <w:rFonts w:ascii="Times New Roman" w:eastAsia="標楷體" w:hAnsi="Times New Roman"/>
          <w:sz w:val="28"/>
          <w:szCs w:val="28"/>
        </w:rPr>
        <w:t>4</w:t>
      </w:r>
      <w:r w:rsidRPr="005E758A">
        <w:rPr>
          <w:rFonts w:ascii="Times New Roman" w:eastAsia="標楷體" w:hAnsi="Times New Roman"/>
          <w:sz w:val="28"/>
          <w:szCs w:val="28"/>
        </w:rPr>
        <w:t>月。</w:t>
      </w:r>
    </w:p>
    <w:p w14:paraId="4D5B0388" w14:textId="77777777" w:rsidR="00041AD0" w:rsidRPr="005E758A" w:rsidRDefault="00041AD0" w:rsidP="00041AD0">
      <w:pPr>
        <w:pStyle w:val="a0"/>
        <w:numPr>
          <w:ilvl w:val="0"/>
          <w:numId w:val="49"/>
        </w:numPr>
        <w:snapToGrid w:val="0"/>
        <w:ind w:leftChars="0"/>
        <w:jc w:val="both"/>
        <w:rPr>
          <w:rFonts w:ascii="Times New Roman" w:eastAsia="標楷體" w:hAnsi="Times New Roman"/>
          <w:sz w:val="28"/>
          <w:szCs w:val="28"/>
        </w:rPr>
      </w:pPr>
      <w:r w:rsidRPr="005E758A">
        <w:rPr>
          <w:rFonts w:ascii="Times New Roman" w:eastAsia="標楷體" w:hAnsi="Times New Roman"/>
          <w:sz w:val="28"/>
          <w:szCs w:val="28"/>
        </w:rPr>
        <w:t>消除對婦女歧視委員會，第</w:t>
      </w:r>
      <w:r w:rsidRPr="005E758A">
        <w:rPr>
          <w:rFonts w:ascii="Times New Roman" w:eastAsia="標楷體" w:hAnsi="Times New Roman"/>
          <w:sz w:val="28"/>
          <w:szCs w:val="28"/>
        </w:rPr>
        <w:t>21</w:t>
      </w:r>
      <w:r w:rsidRPr="005E758A">
        <w:rPr>
          <w:rFonts w:ascii="Times New Roman" w:eastAsia="標楷體" w:hAnsi="Times New Roman"/>
          <w:sz w:val="28"/>
          <w:szCs w:val="28"/>
        </w:rPr>
        <w:t>號一般性意見：婚姻和家庭關係中的平等。</w:t>
      </w:r>
      <w:r w:rsidRPr="005E758A">
        <w:rPr>
          <w:rFonts w:ascii="Times New Roman" w:eastAsia="標楷體" w:hAnsi="Times New Roman"/>
          <w:sz w:val="28"/>
          <w:szCs w:val="28"/>
        </w:rPr>
        <w:t xml:space="preserve">(Committee on the Elimination of Discrimination against Women (CEDAW), CEDAW General Recommendation No. 21: </w:t>
      </w:r>
      <w:r w:rsidRPr="005E758A">
        <w:rPr>
          <w:rFonts w:ascii="Times New Roman" w:eastAsia="標楷體" w:hAnsi="Times New Roman"/>
          <w:sz w:val="28"/>
          <w:szCs w:val="28"/>
        </w:rPr>
        <w:lastRenderedPageBreak/>
        <w:t>Equality in Marriage and Family Relations, U.N. Doc. HRI/GEN/1/Rev.9 (Vol. II), at 337 (May 27, 2008).)</w:t>
      </w:r>
    </w:p>
    <w:p w14:paraId="37A34848" w14:textId="77777777" w:rsidR="00135FC9" w:rsidRPr="005E758A" w:rsidRDefault="00135FC9" w:rsidP="007119F4">
      <w:pPr>
        <w:pStyle w:val="a0"/>
        <w:numPr>
          <w:ilvl w:val="0"/>
          <w:numId w:val="49"/>
        </w:numPr>
        <w:snapToGrid w:val="0"/>
        <w:ind w:leftChars="0"/>
        <w:jc w:val="both"/>
        <w:rPr>
          <w:rFonts w:ascii="Times New Roman" w:eastAsia="標楷體" w:hAnsi="Times New Roman"/>
          <w:sz w:val="28"/>
          <w:szCs w:val="28"/>
        </w:rPr>
      </w:pPr>
      <w:r w:rsidRPr="005E758A">
        <w:rPr>
          <w:rFonts w:ascii="Times New Roman" w:eastAsia="標楷體" w:hAnsi="Times New Roman"/>
          <w:smallCaps/>
          <w:sz w:val="28"/>
          <w:szCs w:val="28"/>
        </w:rPr>
        <w:t>聯合國人權事務高級專員辦事處，兒童權利公約立法歷史。</w:t>
      </w:r>
      <w:r w:rsidRPr="005E758A">
        <w:rPr>
          <w:rFonts w:ascii="Times New Roman" w:eastAsia="標楷體" w:hAnsi="Times New Roman"/>
          <w:smallCaps/>
          <w:sz w:val="28"/>
          <w:szCs w:val="28"/>
        </w:rPr>
        <w:t>(Office of the United Nations High Commissioner for Human Rights, Legislative History of the Convention on the Rights of the Child</w:t>
      </w:r>
      <w:r w:rsidRPr="005E758A">
        <w:rPr>
          <w:rFonts w:ascii="Times New Roman" w:eastAsia="標楷體" w:hAnsi="Times New Roman"/>
          <w:sz w:val="28"/>
          <w:szCs w:val="28"/>
        </w:rPr>
        <w:t xml:space="preserve"> (2007).)</w:t>
      </w:r>
    </w:p>
    <w:p w14:paraId="0E18BDC3" w14:textId="77777777" w:rsidR="00135FC9" w:rsidRPr="005E758A" w:rsidRDefault="00135FC9" w:rsidP="00135FC9">
      <w:pPr>
        <w:snapToGrid w:val="0"/>
        <w:spacing w:before="100" w:beforeAutospacing="1" w:after="100" w:afterAutospacing="1"/>
        <w:jc w:val="both"/>
        <w:rPr>
          <w:sz w:val="28"/>
          <w:szCs w:val="28"/>
        </w:rPr>
      </w:pPr>
    </w:p>
    <w:p w14:paraId="66349FE1" w14:textId="77777777" w:rsidR="00745DE3" w:rsidRPr="005E758A" w:rsidRDefault="00135FC9" w:rsidP="00135FC9">
      <w:pPr>
        <w:snapToGrid w:val="0"/>
        <w:spacing w:before="100" w:beforeAutospacing="1" w:after="100" w:afterAutospacing="1"/>
        <w:jc w:val="both"/>
        <w:rPr>
          <w:sz w:val="28"/>
          <w:szCs w:val="28"/>
        </w:rPr>
      </w:pPr>
      <w:r w:rsidRPr="005E758A">
        <w:rPr>
          <w:sz w:val="28"/>
          <w:szCs w:val="28"/>
        </w:rPr>
        <w:t>關鍵詞：主要責任、共同責任、養育及發展、國家安置</w:t>
      </w:r>
    </w:p>
    <w:p w14:paraId="0BE663DE" w14:textId="77777777" w:rsidR="00593A34" w:rsidRPr="005E758A" w:rsidRDefault="00593A34" w:rsidP="00745DE3">
      <w:pPr>
        <w:sectPr w:rsidR="00593A34" w:rsidRPr="005E758A" w:rsidSect="00135FC9">
          <w:footnotePr>
            <w:numRestart w:val="eachSect"/>
          </w:footnotePr>
          <w:endnotePr>
            <w:numFmt w:val="decimal"/>
            <w:numRestart w:val="eachSect"/>
          </w:endnotePr>
          <w:pgSz w:w="11906" w:h="16838"/>
          <w:pgMar w:top="1440" w:right="1797" w:bottom="1440" w:left="1797" w:header="851" w:footer="992" w:gutter="0"/>
          <w:cols w:space="425"/>
          <w:docGrid w:linePitch="360"/>
        </w:sectPr>
      </w:pPr>
    </w:p>
    <w:p w14:paraId="2091E90F" w14:textId="77777777" w:rsidR="001F4DFB" w:rsidRDefault="001F4DFB" w:rsidP="001F4DFB">
      <w:pPr>
        <w:pStyle w:val="1"/>
        <w:rPr>
          <w:sz w:val="28"/>
        </w:rPr>
      </w:pPr>
      <w:bookmarkStart w:id="61" w:name="_Toc431072735"/>
      <w:r w:rsidRPr="005E758A">
        <w:lastRenderedPageBreak/>
        <w:t>第</w:t>
      </w:r>
      <w:r w:rsidRPr="005E758A">
        <w:t>19</w:t>
      </w:r>
      <w:r w:rsidRPr="005E758A">
        <w:t>條</w:t>
      </w:r>
      <w:r>
        <w:rPr>
          <w:rFonts w:hint="eastAsia"/>
        </w:rPr>
        <w:t xml:space="preserve">　</w:t>
      </w:r>
      <w:r w:rsidRPr="001F4DFB">
        <w:rPr>
          <w:rFonts w:hint="eastAsia"/>
        </w:rPr>
        <w:t>不受任何形式之</w:t>
      </w:r>
      <w:r>
        <w:rPr>
          <w:rFonts w:hint="eastAsia"/>
        </w:rPr>
        <w:t>不當對待</w:t>
      </w:r>
      <w:bookmarkEnd w:id="61"/>
    </w:p>
    <w:tbl>
      <w:tblPr>
        <w:tblStyle w:val="af4"/>
        <w:tblW w:w="0" w:type="auto"/>
        <w:jc w:val="center"/>
        <w:tblLook w:val="04A0" w:firstRow="1" w:lastRow="0" w:firstColumn="1" w:lastColumn="0" w:noHBand="0" w:noVBand="1"/>
      </w:tblPr>
      <w:tblGrid>
        <w:gridCol w:w="8296"/>
      </w:tblGrid>
      <w:tr w:rsidR="001F4DFB" w:rsidRPr="005E758A" w14:paraId="081286CE" w14:textId="77777777" w:rsidTr="001F4DFB">
        <w:trPr>
          <w:jc w:val="center"/>
        </w:trPr>
        <w:tc>
          <w:tcPr>
            <w:tcW w:w="8296" w:type="dxa"/>
          </w:tcPr>
          <w:p w14:paraId="18A69AC6" w14:textId="77777777" w:rsidR="001F4DFB" w:rsidRPr="005E758A" w:rsidRDefault="001F4DFB" w:rsidP="002B035C">
            <w:pPr>
              <w:numPr>
                <w:ilvl w:val="0"/>
                <w:numId w:val="151"/>
              </w:numPr>
              <w:snapToGrid w:val="0"/>
              <w:ind w:left="357" w:hanging="357"/>
              <w:jc w:val="both"/>
              <w:rPr>
                <w:rFonts w:ascii="Times New Roman" w:eastAsia="標楷體" w:hAnsi="Times New Roman"/>
                <w:sz w:val="28"/>
                <w:szCs w:val="28"/>
              </w:rPr>
            </w:pPr>
            <w:r w:rsidRPr="005E758A">
              <w:rPr>
                <w:rFonts w:ascii="Times New Roman" w:eastAsia="標楷體" w:hAnsi="Times New Roman"/>
                <w:sz w:val="28"/>
                <w:szCs w:val="28"/>
                <w:shd w:val="clear" w:color="auto" w:fill="FFFFFF"/>
              </w:rPr>
              <w:t>締約國應採取一切適當之立法、行政、社會與教育措施，保護兒童於受其父母、法定監護人或其他照顧兒童之人照顧時，不受到任何形式之身心暴力、傷害或虐待、疏忽或疏失、不當對待或剝削，包括性虐待。</w:t>
            </w:r>
          </w:p>
          <w:p w14:paraId="4A8C6BDB" w14:textId="77777777" w:rsidR="001F4DFB" w:rsidRPr="005E758A" w:rsidRDefault="001F4DFB" w:rsidP="002B035C">
            <w:pPr>
              <w:numPr>
                <w:ilvl w:val="0"/>
                <w:numId w:val="151"/>
              </w:numPr>
              <w:snapToGrid w:val="0"/>
              <w:ind w:left="357" w:hanging="357"/>
              <w:jc w:val="both"/>
              <w:rPr>
                <w:rFonts w:ascii="Times New Roman" w:eastAsia="標楷體" w:hAnsi="Times New Roman"/>
                <w:b/>
                <w:sz w:val="28"/>
                <w:szCs w:val="28"/>
              </w:rPr>
            </w:pPr>
            <w:r w:rsidRPr="005E758A">
              <w:rPr>
                <w:rFonts w:ascii="Times New Roman" w:eastAsia="標楷體" w:hAnsi="Times New Roman"/>
                <w:sz w:val="28"/>
                <w:szCs w:val="28"/>
                <w:shd w:val="clear" w:color="auto" w:fill="FFFFFF"/>
              </w:rPr>
              <w:t>此等保護措施，如為適當，應</w:t>
            </w:r>
            <w:r w:rsidRPr="005E758A">
              <w:rPr>
                <w:rFonts w:ascii="Times New Roman" w:eastAsia="標楷體" w:hAnsi="Times New Roman"/>
                <w:sz w:val="28"/>
                <w:szCs w:val="28"/>
              </w:rPr>
              <w:t>包括</w:t>
            </w:r>
            <w:r w:rsidRPr="005E758A">
              <w:rPr>
                <w:rFonts w:ascii="Times New Roman" w:eastAsia="標楷體" w:hAnsi="Times New Roman"/>
                <w:sz w:val="28"/>
                <w:szCs w:val="28"/>
                <w:shd w:val="clear" w:color="auto" w:fill="FFFFFF"/>
              </w:rPr>
              <w:t>有效程序以建置社會規劃對兒童及其照顧者提供必要之支持，並對前述兒童不當對待事件採取其他預防方式與用以指認、報告、轉</w:t>
            </w:r>
            <w:proofErr w:type="gramStart"/>
            <w:r w:rsidRPr="005E758A">
              <w:rPr>
                <w:rFonts w:ascii="Times New Roman" w:eastAsia="標楷體" w:hAnsi="Times New Roman"/>
                <w:sz w:val="28"/>
                <w:szCs w:val="28"/>
                <w:shd w:val="clear" w:color="auto" w:fill="FFFFFF"/>
              </w:rPr>
              <w:t>介</w:t>
            </w:r>
            <w:proofErr w:type="gramEnd"/>
            <w:r w:rsidRPr="005E758A">
              <w:rPr>
                <w:rFonts w:ascii="Times New Roman" w:eastAsia="標楷體" w:hAnsi="Times New Roman"/>
                <w:sz w:val="28"/>
                <w:szCs w:val="28"/>
                <w:shd w:val="clear" w:color="auto" w:fill="FFFFFF"/>
              </w:rPr>
              <w:t>、調查、處理與後續追蹤，以及，如適當的話，以司法介入。</w:t>
            </w:r>
          </w:p>
        </w:tc>
      </w:tr>
    </w:tbl>
    <w:p w14:paraId="49CA42EF" w14:textId="77777777" w:rsidR="001F4DFB" w:rsidRPr="001F4DFB" w:rsidRDefault="001F4DFB" w:rsidP="001F4DFB">
      <w:pPr>
        <w:snapToGrid w:val="0"/>
        <w:spacing w:before="100" w:beforeAutospacing="1" w:after="100" w:afterAutospacing="1"/>
        <w:jc w:val="both"/>
        <w:rPr>
          <w:sz w:val="28"/>
        </w:rPr>
      </w:pPr>
    </w:p>
    <w:p w14:paraId="6F76AA35" w14:textId="77777777" w:rsidR="00043D86" w:rsidRPr="005E758A" w:rsidRDefault="00043D86" w:rsidP="00F02A5C">
      <w:pPr>
        <w:pStyle w:val="2"/>
        <w:numPr>
          <w:ilvl w:val="0"/>
          <w:numId w:val="152"/>
        </w:numPr>
      </w:pPr>
      <w:r w:rsidRPr="005E758A">
        <w:t>規範宗旨</w:t>
      </w:r>
    </w:p>
    <w:p w14:paraId="366C95DC" w14:textId="77777777" w:rsidR="00043D86" w:rsidRPr="005E758A" w:rsidRDefault="00043D86" w:rsidP="00043D86">
      <w:pPr>
        <w:pStyle w:val="a0"/>
        <w:snapToGrid w:val="0"/>
        <w:spacing w:before="100" w:beforeAutospacing="1" w:after="100" w:afterAutospacing="1"/>
        <w:ind w:leftChars="0" w:left="0" w:firstLineChars="200" w:firstLine="560"/>
        <w:jc w:val="both"/>
        <w:rPr>
          <w:rFonts w:ascii="Times New Roman" w:eastAsia="標楷體" w:hAnsi="Times New Roman"/>
          <w:sz w:val="28"/>
          <w:szCs w:val="28"/>
        </w:rPr>
      </w:pPr>
      <w:r w:rsidRPr="005E758A">
        <w:rPr>
          <w:rFonts w:ascii="Times New Roman" w:eastAsia="標楷體" w:hAnsi="Times New Roman"/>
          <w:sz w:val="28"/>
          <w:szCs w:val="28"/>
        </w:rPr>
        <w:t>本條之規範精神主要在於強調兒童的人格應受到全面的尊重。第</w:t>
      </w:r>
      <w:r w:rsidRPr="005E758A">
        <w:rPr>
          <w:rFonts w:ascii="Times New Roman" w:eastAsia="標楷體" w:hAnsi="Times New Roman"/>
          <w:sz w:val="28"/>
          <w:szCs w:val="28"/>
        </w:rPr>
        <w:t>1</w:t>
      </w:r>
      <w:r w:rsidRPr="005E758A">
        <w:rPr>
          <w:rFonts w:ascii="Times New Roman" w:eastAsia="標楷體" w:hAnsi="Times New Roman"/>
          <w:sz w:val="28"/>
          <w:szCs w:val="28"/>
        </w:rPr>
        <w:t>項所禁止的行為除身體、心靈上之虐待外，更將疏忽、傷害、受到不當對待或剝削等行為亦納入；第</w:t>
      </w:r>
      <w:r w:rsidRPr="005E758A">
        <w:rPr>
          <w:rFonts w:ascii="Times New Roman" w:eastAsia="標楷體" w:hAnsi="Times New Roman"/>
          <w:sz w:val="28"/>
          <w:szCs w:val="28"/>
        </w:rPr>
        <w:t>2</w:t>
      </w:r>
      <w:r w:rsidRPr="005E758A">
        <w:rPr>
          <w:rFonts w:ascii="Times New Roman" w:eastAsia="標楷體" w:hAnsi="Times New Roman"/>
          <w:sz w:val="28"/>
          <w:szCs w:val="28"/>
        </w:rPr>
        <w:t>項則列舉出可能的保護措施，並特別強調針對此等暴力行為採取預防對策之重要性。</w:t>
      </w:r>
    </w:p>
    <w:p w14:paraId="7EBDF442" w14:textId="77777777" w:rsidR="00043D86" w:rsidRPr="005E758A" w:rsidRDefault="00043D86" w:rsidP="00043D86">
      <w:pPr>
        <w:pStyle w:val="a0"/>
        <w:snapToGrid w:val="0"/>
        <w:spacing w:before="100" w:beforeAutospacing="1" w:after="100" w:afterAutospacing="1"/>
        <w:ind w:leftChars="0" w:left="0" w:firstLineChars="200" w:firstLine="560"/>
        <w:jc w:val="both"/>
        <w:rPr>
          <w:rFonts w:ascii="Times New Roman" w:eastAsia="標楷體" w:hAnsi="Times New Roman"/>
          <w:sz w:val="28"/>
          <w:szCs w:val="28"/>
        </w:rPr>
      </w:pPr>
      <w:r w:rsidRPr="005E758A">
        <w:rPr>
          <w:rFonts w:ascii="Times New Roman" w:eastAsia="標楷體" w:hAnsi="Times New Roman"/>
          <w:sz w:val="28"/>
          <w:szCs w:val="28"/>
        </w:rPr>
        <w:t>禁止對兒童施加任何形式之暴力是兒童權利委員會持續關切的議題，兒童權利委員會於</w:t>
      </w:r>
      <w:r w:rsidRPr="005E758A">
        <w:rPr>
          <w:rFonts w:ascii="Times New Roman" w:eastAsia="標楷體" w:hAnsi="Times New Roman"/>
          <w:sz w:val="28"/>
          <w:szCs w:val="28"/>
        </w:rPr>
        <w:t>2007</w:t>
      </w:r>
      <w:r w:rsidRPr="005E758A">
        <w:rPr>
          <w:rFonts w:ascii="Times New Roman" w:eastAsia="標楷體" w:hAnsi="Times New Roman"/>
          <w:sz w:val="28"/>
          <w:szCs w:val="28"/>
        </w:rPr>
        <w:t>年公布的第</w:t>
      </w:r>
      <w:r w:rsidRPr="005E758A">
        <w:rPr>
          <w:rFonts w:ascii="Times New Roman" w:eastAsia="標楷體" w:hAnsi="Times New Roman"/>
          <w:sz w:val="28"/>
          <w:szCs w:val="28"/>
        </w:rPr>
        <w:t>8</w:t>
      </w:r>
      <w:r w:rsidRPr="005E758A">
        <w:rPr>
          <w:rFonts w:ascii="Times New Roman" w:eastAsia="標楷體" w:hAnsi="Times New Roman"/>
          <w:sz w:val="28"/>
          <w:szCs w:val="28"/>
        </w:rPr>
        <w:t>號一般性意見，及</w:t>
      </w:r>
      <w:r w:rsidRPr="005E758A">
        <w:rPr>
          <w:rFonts w:ascii="Times New Roman" w:eastAsia="標楷體" w:hAnsi="Times New Roman"/>
          <w:sz w:val="28"/>
          <w:szCs w:val="28"/>
        </w:rPr>
        <w:t>2011</w:t>
      </w:r>
      <w:r w:rsidRPr="005E758A">
        <w:rPr>
          <w:rFonts w:ascii="Times New Roman" w:eastAsia="標楷體" w:hAnsi="Times New Roman"/>
          <w:sz w:val="28"/>
          <w:szCs w:val="28"/>
        </w:rPr>
        <w:t>年公布的第</w:t>
      </w:r>
      <w:r w:rsidRPr="005E758A">
        <w:rPr>
          <w:rFonts w:ascii="Times New Roman" w:eastAsia="標楷體" w:hAnsi="Times New Roman"/>
          <w:sz w:val="28"/>
          <w:szCs w:val="28"/>
        </w:rPr>
        <w:t>13</w:t>
      </w:r>
      <w:r w:rsidRPr="005E758A">
        <w:rPr>
          <w:rFonts w:ascii="Times New Roman" w:eastAsia="標楷體" w:hAnsi="Times New Roman"/>
          <w:sz w:val="28"/>
          <w:szCs w:val="28"/>
        </w:rPr>
        <w:t>號一般性意見，皆對本條之解釋及落實有詳盡</w:t>
      </w:r>
      <w:proofErr w:type="gramStart"/>
      <w:r w:rsidRPr="005E758A">
        <w:rPr>
          <w:rFonts w:ascii="Times New Roman" w:eastAsia="標楷體" w:hAnsi="Times New Roman"/>
          <w:sz w:val="28"/>
          <w:szCs w:val="28"/>
        </w:rPr>
        <w:t>之著</w:t>
      </w:r>
      <w:proofErr w:type="gramEnd"/>
      <w:r w:rsidRPr="005E758A">
        <w:rPr>
          <w:rFonts w:ascii="Times New Roman" w:eastAsia="標楷體" w:hAnsi="Times New Roman"/>
          <w:sz w:val="28"/>
          <w:szCs w:val="28"/>
        </w:rPr>
        <w:t>墨，可見其重視程度。</w:t>
      </w:r>
    </w:p>
    <w:p w14:paraId="585071ED" w14:textId="77777777" w:rsidR="00043D86" w:rsidRPr="005E758A" w:rsidRDefault="00043D86" w:rsidP="00043D86">
      <w:pPr>
        <w:pStyle w:val="2"/>
      </w:pPr>
      <w:r w:rsidRPr="005E758A">
        <w:t>條文要義</w:t>
      </w:r>
    </w:p>
    <w:p w14:paraId="212F64F2" w14:textId="77777777" w:rsidR="00043D86" w:rsidRPr="005E758A" w:rsidRDefault="00043D86" w:rsidP="00043D86">
      <w:pPr>
        <w:pStyle w:val="a0"/>
        <w:snapToGrid w:val="0"/>
        <w:spacing w:before="100" w:beforeAutospacing="1" w:after="100" w:afterAutospacing="1"/>
        <w:ind w:leftChars="0" w:left="0" w:firstLineChars="200" w:firstLine="560"/>
        <w:jc w:val="both"/>
        <w:rPr>
          <w:rFonts w:ascii="Times New Roman" w:eastAsia="標楷體" w:hAnsi="Times New Roman"/>
          <w:sz w:val="28"/>
          <w:szCs w:val="28"/>
        </w:rPr>
      </w:pPr>
      <w:r w:rsidRPr="005E758A">
        <w:rPr>
          <w:rFonts w:ascii="Times New Roman" w:eastAsia="標楷體" w:hAnsi="Times New Roman"/>
          <w:sz w:val="28"/>
          <w:szCs w:val="28"/>
        </w:rPr>
        <w:t>兒童權利委員會對於本條所</w:t>
      </w:r>
      <w:proofErr w:type="gramStart"/>
      <w:r w:rsidRPr="005E758A">
        <w:rPr>
          <w:rFonts w:ascii="Times New Roman" w:eastAsia="標楷體" w:hAnsi="Times New Roman"/>
          <w:sz w:val="28"/>
          <w:szCs w:val="28"/>
        </w:rPr>
        <w:t>採</w:t>
      </w:r>
      <w:proofErr w:type="gramEnd"/>
      <w:r w:rsidRPr="005E758A">
        <w:rPr>
          <w:rFonts w:ascii="Times New Roman" w:eastAsia="標楷體" w:hAnsi="Times New Roman"/>
          <w:sz w:val="28"/>
          <w:szCs w:val="28"/>
        </w:rPr>
        <w:t>行之基本理念包括：</w:t>
      </w:r>
      <w:bookmarkStart w:id="62" w:name="_Ref430779928"/>
      <w:r w:rsidRPr="005E758A">
        <w:rPr>
          <w:rStyle w:val="af3"/>
          <w:rFonts w:ascii="Times New Roman" w:eastAsia="標楷體" w:hAnsi="Times New Roman"/>
        </w:rPr>
        <w:endnoteReference w:id="247"/>
      </w:r>
      <w:bookmarkEnd w:id="62"/>
    </w:p>
    <w:p w14:paraId="32405535" w14:textId="77777777" w:rsidR="00043D86" w:rsidRPr="005E758A" w:rsidRDefault="00043D86" w:rsidP="00043D86">
      <w:pPr>
        <w:pStyle w:val="a0"/>
        <w:numPr>
          <w:ilvl w:val="5"/>
          <w:numId w:val="1"/>
        </w:numPr>
        <w:snapToGrid w:val="0"/>
        <w:ind w:leftChars="0" w:left="567"/>
        <w:rPr>
          <w:rFonts w:ascii="Times New Roman" w:eastAsia="標楷體" w:hAnsi="Times New Roman"/>
          <w:sz w:val="28"/>
          <w:szCs w:val="28"/>
        </w:rPr>
      </w:pPr>
      <w:r w:rsidRPr="005E758A">
        <w:rPr>
          <w:rFonts w:ascii="Times New Roman" w:eastAsia="標楷體" w:hAnsi="Times New Roman"/>
          <w:sz w:val="28"/>
          <w:szCs w:val="28"/>
        </w:rPr>
        <w:t>「任何針對兒童的暴力行為均不可原諒；所有對兒童施暴的現象都可預防」；</w:t>
      </w:r>
      <w:r w:rsidRPr="005E758A">
        <w:rPr>
          <w:rFonts w:ascii="Times New Roman" w:eastAsia="標楷體" w:hAnsi="Times New Roman"/>
          <w:sz w:val="28"/>
          <w:szCs w:val="28"/>
        </w:rPr>
        <w:t xml:space="preserve">  </w:t>
      </w:r>
    </w:p>
    <w:p w14:paraId="69119C0E" w14:textId="77777777" w:rsidR="00043D86" w:rsidRPr="005E758A" w:rsidRDefault="00043D86" w:rsidP="00043D86">
      <w:pPr>
        <w:pStyle w:val="a0"/>
        <w:numPr>
          <w:ilvl w:val="5"/>
          <w:numId w:val="1"/>
        </w:numPr>
        <w:snapToGrid w:val="0"/>
        <w:ind w:leftChars="0" w:left="567"/>
        <w:rPr>
          <w:rFonts w:ascii="Times New Roman" w:eastAsia="標楷體" w:hAnsi="Times New Roman"/>
          <w:sz w:val="28"/>
          <w:szCs w:val="28"/>
        </w:rPr>
      </w:pPr>
      <w:r w:rsidRPr="005E758A">
        <w:rPr>
          <w:rFonts w:ascii="Times New Roman" w:eastAsia="標楷體" w:hAnsi="Times New Roman"/>
          <w:sz w:val="28"/>
          <w:szCs w:val="28"/>
        </w:rPr>
        <w:t>以兒童權利為基礎的照顧和保護兒童的方針需要做出範式的轉變，尊重和促進兒童的人格尊嚴及身心</w:t>
      </w:r>
      <w:proofErr w:type="gramStart"/>
      <w:r w:rsidRPr="005E758A">
        <w:rPr>
          <w:rFonts w:ascii="Times New Roman" w:eastAsia="標楷體" w:hAnsi="Times New Roman"/>
          <w:sz w:val="28"/>
          <w:szCs w:val="28"/>
        </w:rPr>
        <w:t>健全，</w:t>
      </w:r>
      <w:proofErr w:type="gramEnd"/>
      <w:r w:rsidRPr="005E758A">
        <w:rPr>
          <w:rFonts w:ascii="Times New Roman" w:eastAsia="標楷體" w:hAnsi="Times New Roman"/>
          <w:sz w:val="28"/>
          <w:szCs w:val="28"/>
        </w:rPr>
        <w:t>將兒童作為擁有權利的個人，不再只是被保護的「客體」。</w:t>
      </w:r>
    </w:p>
    <w:p w14:paraId="639CC211" w14:textId="77777777" w:rsidR="00043D86" w:rsidRPr="005E758A" w:rsidRDefault="00043D86" w:rsidP="00043D86">
      <w:pPr>
        <w:pStyle w:val="a0"/>
        <w:numPr>
          <w:ilvl w:val="5"/>
          <w:numId w:val="1"/>
        </w:numPr>
        <w:snapToGrid w:val="0"/>
        <w:ind w:leftChars="0" w:left="567"/>
        <w:rPr>
          <w:rFonts w:ascii="Times New Roman" w:eastAsia="標楷體" w:hAnsi="Times New Roman"/>
          <w:sz w:val="28"/>
          <w:szCs w:val="28"/>
        </w:rPr>
      </w:pPr>
      <w:r w:rsidRPr="005E758A">
        <w:rPr>
          <w:rFonts w:ascii="Times New Roman" w:eastAsia="標楷體" w:hAnsi="Times New Roman"/>
          <w:sz w:val="28"/>
          <w:szCs w:val="28"/>
        </w:rPr>
        <w:t>以尊嚴的概念內涵，要求每</w:t>
      </w:r>
      <w:proofErr w:type="gramStart"/>
      <w:r w:rsidRPr="005E758A">
        <w:rPr>
          <w:rFonts w:ascii="Times New Roman" w:eastAsia="標楷體" w:hAnsi="Times New Roman"/>
          <w:sz w:val="28"/>
          <w:szCs w:val="28"/>
        </w:rPr>
        <w:t>個</w:t>
      </w:r>
      <w:proofErr w:type="gramEnd"/>
      <w:r w:rsidRPr="005E758A">
        <w:rPr>
          <w:rFonts w:ascii="Times New Roman" w:eastAsia="標楷體" w:hAnsi="Times New Roman"/>
          <w:sz w:val="28"/>
          <w:szCs w:val="28"/>
        </w:rPr>
        <w:t>兒童被作為權利擁有者及具有獨立人格、特殊需要、利益和隱私的權利持有者；</w:t>
      </w:r>
    </w:p>
    <w:p w14:paraId="0FCDDF1E" w14:textId="77777777" w:rsidR="00043D86" w:rsidRPr="005E758A" w:rsidRDefault="00043D86" w:rsidP="00043D86">
      <w:pPr>
        <w:pStyle w:val="a0"/>
        <w:numPr>
          <w:ilvl w:val="5"/>
          <w:numId w:val="1"/>
        </w:numPr>
        <w:snapToGrid w:val="0"/>
        <w:ind w:leftChars="0" w:left="567"/>
        <w:rPr>
          <w:rFonts w:ascii="Times New Roman" w:eastAsia="標楷體" w:hAnsi="Times New Roman"/>
          <w:sz w:val="28"/>
          <w:szCs w:val="28"/>
        </w:rPr>
      </w:pPr>
      <w:r w:rsidRPr="005E758A">
        <w:rPr>
          <w:rFonts w:ascii="Times New Roman" w:eastAsia="標楷體" w:hAnsi="Times New Roman"/>
          <w:sz w:val="28"/>
          <w:szCs w:val="28"/>
        </w:rPr>
        <w:t>無論成人或兒童，接應受法治原則的完整保障；</w:t>
      </w:r>
    </w:p>
    <w:p w14:paraId="67F54CAD" w14:textId="77777777" w:rsidR="00043D86" w:rsidRPr="005E758A" w:rsidRDefault="00043D86" w:rsidP="00043D86">
      <w:pPr>
        <w:pStyle w:val="a0"/>
        <w:numPr>
          <w:ilvl w:val="5"/>
          <w:numId w:val="1"/>
        </w:numPr>
        <w:snapToGrid w:val="0"/>
        <w:ind w:leftChars="0" w:left="567"/>
        <w:rPr>
          <w:rFonts w:ascii="Times New Roman" w:eastAsia="標楷體" w:hAnsi="Times New Roman"/>
          <w:sz w:val="28"/>
          <w:szCs w:val="28"/>
        </w:rPr>
      </w:pPr>
      <w:r w:rsidRPr="005E758A">
        <w:rPr>
          <w:rFonts w:ascii="Times New Roman" w:eastAsia="標楷體" w:hAnsi="Times New Roman"/>
          <w:sz w:val="28"/>
          <w:szCs w:val="28"/>
        </w:rPr>
        <w:t>應尊重兒童表示意見的權利，而在擬定兒童照顧與兒童保護措施的策略及方案時，兒童的實際參與應為核心；</w:t>
      </w:r>
    </w:p>
    <w:p w14:paraId="488B6D54" w14:textId="77777777" w:rsidR="00043D86" w:rsidRPr="005E758A" w:rsidRDefault="00043D86" w:rsidP="00043D86">
      <w:pPr>
        <w:pStyle w:val="a0"/>
        <w:numPr>
          <w:ilvl w:val="5"/>
          <w:numId w:val="1"/>
        </w:numPr>
        <w:snapToGrid w:val="0"/>
        <w:ind w:leftChars="0" w:left="567"/>
        <w:rPr>
          <w:rFonts w:ascii="Times New Roman" w:eastAsia="標楷體" w:hAnsi="Times New Roman"/>
          <w:sz w:val="28"/>
          <w:szCs w:val="28"/>
        </w:rPr>
      </w:pPr>
      <w:r w:rsidRPr="005E758A">
        <w:rPr>
          <w:rFonts w:ascii="Times New Roman" w:eastAsia="標楷體" w:hAnsi="Times New Roman"/>
          <w:sz w:val="28"/>
          <w:szCs w:val="28"/>
        </w:rPr>
        <w:lastRenderedPageBreak/>
        <w:t>兒童應受其最佳利益為優先考量的保障，特別當兒童是受暴力之被害人；</w:t>
      </w:r>
    </w:p>
    <w:p w14:paraId="27EDF93F" w14:textId="77777777" w:rsidR="00043D86" w:rsidRPr="005E758A" w:rsidRDefault="00043D86" w:rsidP="00043D86">
      <w:pPr>
        <w:pStyle w:val="a0"/>
        <w:numPr>
          <w:ilvl w:val="5"/>
          <w:numId w:val="1"/>
        </w:numPr>
        <w:snapToGrid w:val="0"/>
        <w:ind w:leftChars="0" w:left="567"/>
        <w:rPr>
          <w:rFonts w:ascii="Times New Roman" w:eastAsia="標楷體" w:hAnsi="Times New Roman"/>
          <w:sz w:val="28"/>
          <w:szCs w:val="28"/>
        </w:rPr>
      </w:pPr>
      <w:r w:rsidRPr="005E758A">
        <w:rPr>
          <w:rFonts w:ascii="Times New Roman" w:eastAsia="標楷體" w:hAnsi="Times New Roman"/>
          <w:sz w:val="28"/>
          <w:szCs w:val="28"/>
        </w:rPr>
        <w:t>基本的措施對一切暴力行為之預防至關重要，可通過公共衛生、教育、社會服務和其他方針實施；</w:t>
      </w:r>
    </w:p>
    <w:p w14:paraId="6F7FB588" w14:textId="77777777" w:rsidR="00043D86" w:rsidRPr="005E758A" w:rsidRDefault="00043D86" w:rsidP="00043D86">
      <w:pPr>
        <w:pStyle w:val="a0"/>
        <w:numPr>
          <w:ilvl w:val="5"/>
          <w:numId w:val="1"/>
        </w:numPr>
        <w:snapToGrid w:val="0"/>
        <w:ind w:leftChars="0" w:left="567"/>
        <w:rPr>
          <w:rFonts w:ascii="Times New Roman" w:eastAsia="標楷體" w:hAnsi="Times New Roman"/>
          <w:sz w:val="28"/>
          <w:szCs w:val="28"/>
        </w:rPr>
      </w:pPr>
      <w:r w:rsidRPr="005E758A">
        <w:rPr>
          <w:rFonts w:ascii="Times New Roman" w:eastAsia="標楷體" w:hAnsi="Times New Roman"/>
          <w:sz w:val="28"/>
          <w:szCs w:val="28"/>
        </w:rPr>
        <w:t>儘管家庭對於照護和保護兒童及預防暴力方面的首要地位。但是確實有大多數暴力行為發生在家庭範圍內，因此當兒童成為家庭所施加或源於家庭的苦難和痛苦的受害者時，國家應進行介入或給予支持性措施；</w:t>
      </w:r>
    </w:p>
    <w:p w14:paraId="116425D5" w14:textId="77777777" w:rsidR="00043D86" w:rsidRPr="005E758A" w:rsidRDefault="00043D86" w:rsidP="00043D86">
      <w:pPr>
        <w:pStyle w:val="a0"/>
        <w:numPr>
          <w:ilvl w:val="5"/>
          <w:numId w:val="1"/>
        </w:numPr>
        <w:snapToGrid w:val="0"/>
        <w:ind w:leftChars="0" w:left="567"/>
        <w:rPr>
          <w:rFonts w:ascii="Times New Roman" w:eastAsia="標楷體" w:hAnsi="Times New Roman"/>
          <w:sz w:val="28"/>
          <w:szCs w:val="28"/>
        </w:rPr>
      </w:pPr>
      <w:r w:rsidRPr="005E758A">
        <w:rPr>
          <w:rFonts w:ascii="Times New Roman" w:eastAsia="標楷體" w:hAnsi="Times New Roman"/>
          <w:sz w:val="28"/>
          <w:szCs w:val="28"/>
        </w:rPr>
        <w:t>兒童委員會也意識到到，在國家機構及國家行為者包括學校、照看中心、寄宿之家、警方拘留所和司法機構中亦廣泛存在嚴重的針對兒童的暴力行為，有可能構成酷刑和殺害兒童行為，還有武裝群體和國家軍事力量經常對兒童採取的暴力行為。</w:t>
      </w:r>
    </w:p>
    <w:p w14:paraId="4A0C26EF" w14:textId="77777777" w:rsidR="00043D86" w:rsidRPr="005E758A" w:rsidRDefault="00043D86" w:rsidP="00F02A5C">
      <w:pPr>
        <w:pStyle w:val="3"/>
        <w:numPr>
          <w:ilvl w:val="0"/>
          <w:numId w:val="155"/>
        </w:numPr>
      </w:pPr>
      <w:r w:rsidRPr="005E758A">
        <w:t>第</w:t>
      </w:r>
      <w:r w:rsidRPr="005E758A">
        <w:t>19</w:t>
      </w:r>
      <w:r w:rsidRPr="005E758A">
        <w:t>條第</w:t>
      </w:r>
      <w:r w:rsidRPr="005E758A">
        <w:t>1</w:t>
      </w:r>
      <w:r w:rsidRPr="005E758A">
        <w:t>項</w:t>
      </w:r>
    </w:p>
    <w:p w14:paraId="4F3E6E66" w14:textId="77777777" w:rsidR="00043D86" w:rsidRPr="005E758A" w:rsidRDefault="00043D86" w:rsidP="00043D86">
      <w:pPr>
        <w:pStyle w:val="a0"/>
        <w:snapToGrid w:val="0"/>
        <w:spacing w:before="100" w:beforeAutospacing="1" w:after="100" w:afterAutospacing="1"/>
        <w:ind w:leftChars="0" w:left="0" w:firstLineChars="200" w:firstLine="560"/>
        <w:jc w:val="both"/>
        <w:rPr>
          <w:rFonts w:ascii="Times New Roman" w:eastAsia="標楷體" w:hAnsi="Times New Roman"/>
          <w:sz w:val="28"/>
        </w:rPr>
      </w:pPr>
      <w:r w:rsidRPr="005E758A">
        <w:rPr>
          <w:rFonts w:ascii="Times New Roman" w:eastAsia="標楷體" w:hAnsi="Times New Roman"/>
          <w:sz w:val="28"/>
        </w:rPr>
        <w:t>兒童權利委</w:t>
      </w:r>
      <w:r w:rsidRPr="005E758A">
        <w:rPr>
          <w:rFonts w:ascii="Times New Roman" w:eastAsia="標楷體" w:hAnsi="Times New Roman"/>
          <w:sz w:val="28"/>
          <w:szCs w:val="28"/>
        </w:rPr>
        <w:t>員會於第</w:t>
      </w:r>
      <w:r w:rsidRPr="005E758A">
        <w:rPr>
          <w:rFonts w:ascii="Times New Roman" w:eastAsia="標楷體" w:hAnsi="Times New Roman"/>
          <w:sz w:val="28"/>
          <w:szCs w:val="28"/>
        </w:rPr>
        <w:t>13</w:t>
      </w:r>
      <w:r w:rsidRPr="005E758A">
        <w:rPr>
          <w:rFonts w:ascii="Times New Roman" w:eastAsia="標楷體" w:hAnsi="Times New Roman"/>
          <w:sz w:val="28"/>
          <w:szCs w:val="28"/>
        </w:rPr>
        <w:t>號一般性建議中特別針對本項暴力之形式提</w:t>
      </w:r>
      <w:r w:rsidRPr="005E758A">
        <w:rPr>
          <w:rFonts w:ascii="Times New Roman" w:eastAsia="標楷體" w:hAnsi="Times New Roman"/>
          <w:sz w:val="28"/>
        </w:rPr>
        <w:t>出說明：</w:t>
      </w:r>
      <w:r w:rsidRPr="005E758A">
        <w:rPr>
          <w:rStyle w:val="af3"/>
          <w:rFonts w:ascii="Times New Roman" w:eastAsia="標楷體" w:hAnsi="Times New Roman"/>
          <w:sz w:val="28"/>
        </w:rPr>
        <w:endnoteReference w:id="248"/>
      </w:r>
    </w:p>
    <w:p w14:paraId="291E1526" w14:textId="77777777" w:rsidR="00043D86" w:rsidRPr="005E758A" w:rsidRDefault="00043D86" w:rsidP="00F02A5C">
      <w:pPr>
        <w:pStyle w:val="a0"/>
        <w:numPr>
          <w:ilvl w:val="0"/>
          <w:numId w:val="153"/>
        </w:numPr>
        <w:snapToGrid w:val="0"/>
        <w:spacing w:before="100" w:beforeAutospacing="1" w:after="100" w:afterAutospacing="1"/>
        <w:ind w:leftChars="0"/>
        <w:jc w:val="both"/>
        <w:rPr>
          <w:rFonts w:ascii="Times New Roman" w:eastAsia="標楷體" w:hAnsi="Times New Roman"/>
          <w:sz w:val="28"/>
          <w:szCs w:val="28"/>
        </w:rPr>
      </w:pPr>
      <w:r w:rsidRPr="005E758A">
        <w:rPr>
          <w:rFonts w:ascii="Times New Roman" w:eastAsia="標楷體" w:hAnsi="Times New Roman"/>
          <w:sz w:val="28"/>
          <w:szCs w:val="28"/>
        </w:rPr>
        <w:t>疏忽或疏失之對待：此部分係指未能提供兒童的生理和心理之照顧，未能保護兒童免於危險，負責照料兒童之父母或照顧者有能力、智識及管道向使其於相關部門獲得醫療、出生登記或其他照料時，卻未顧及之，</w:t>
      </w:r>
      <w:proofErr w:type="gramStart"/>
      <w:r w:rsidRPr="005E758A">
        <w:rPr>
          <w:rFonts w:ascii="Times New Roman" w:eastAsia="標楷體" w:hAnsi="Times New Roman"/>
          <w:sz w:val="28"/>
          <w:szCs w:val="28"/>
        </w:rPr>
        <w:t>其態樣</w:t>
      </w:r>
      <w:proofErr w:type="gramEnd"/>
      <w:r w:rsidRPr="005E758A">
        <w:rPr>
          <w:rFonts w:ascii="Times New Roman" w:eastAsia="標楷體" w:hAnsi="Times New Roman"/>
          <w:sz w:val="28"/>
          <w:szCs w:val="28"/>
        </w:rPr>
        <w:t>包括：</w:t>
      </w:r>
    </w:p>
    <w:p w14:paraId="021E2155" w14:textId="77777777" w:rsidR="00043D86" w:rsidRPr="005E758A" w:rsidRDefault="00043D86" w:rsidP="00F02A5C">
      <w:pPr>
        <w:pStyle w:val="a0"/>
        <w:numPr>
          <w:ilvl w:val="0"/>
          <w:numId w:val="154"/>
        </w:numPr>
        <w:snapToGrid w:val="0"/>
        <w:ind w:leftChars="0" w:left="993"/>
        <w:rPr>
          <w:rFonts w:ascii="Times New Roman" w:eastAsia="標楷體" w:hAnsi="Times New Roman"/>
          <w:sz w:val="28"/>
          <w:szCs w:val="28"/>
        </w:rPr>
      </w:pPr>
      <w:r w:rsidRPr="005E758A">
        <w:rPr>
          <w:rFonts w:ascii="Times New Roman" w:eastAsia="標楷體" w:hAnsi="Times New Roman"/>
          <w:sz w:val="28"/>
          <w:szCs w:val="28"/>
        </w:rPr>
        <w:t>身體照顧上之忽視：未能提供兒童基本食、衣、住、行及醫療上之基本生活照護。</w:t>
      </w:r>
    </w:p>
    <w:p w14:paraId="58F17B24" w14:textId="77777777" w:rsidR="00043D86" w:rsidRPr="005E758A" w:rsidRDefault="00043D86" w:rsidP="00F02A5C">
      <w:pPr>
        <w:pStyle w:val="a0"/>
        <w:numPr>
          <w:ilvl w:val="0"/>
          <w:numId w:val="154"/>
        </w:numPr>
        <w:snapToGrid w:val="0"/>
        <w:ind w:leftChars="0" w:left="993"/>
        <w:rPr>
          <w:rFonts w:ascii="Times New Roman" w:eastAsia="標楷體" w:hAnsi="Times New Roman"/>
          <w:sz w:val="28"/>
          <w:szCs w:val="28"/>
        </w:rPr>
      </w:pPr>
      <w:r w:rsidRPr="005E758A">
        <w:rPr>
          <w:rFonts w:ascii="Times New Roman" w:eastAsia="標楷體" w:hAnsi="Times New Roman"/>
          <w:sz w:val="28"/>
          <w:szCs w:val="28"/>
        </w:rPr>
        <w:t>心理或情感上忽視：長期缺少應給予兒童之任何情感及支持和愛，或使兒童暴露於家庭暴力之恐懼或風險中。</w:t>
      </w:r>
    </w:p>
    <w:p w14:paraId="430DF5F0" w14:textId="77777777" w:rsidR="00043D86" w:rsidRPr="005E758A" w:rsidRDefault="00043D86" w:rsidP="00F02A5C">
      <w:pPr>
        <w:pStyle w:val="a0"/>
        <w:numPr>
          <w:ilvl w:val="0"/>
          <w:numId w:val="154"/>
        </w:numPr>
        <w:snapToGrid w:val="0"/>
        <w:ind w:leftChars="0" w:left="993"/>
        <w:rPr>
          <w:rFonts w:ascii="Times New Roman" w:eastAsia="標楷體" w:hAnsi="Times New Roman"/>
          <w:sz w:val="28"/>
          <w:szCs w:val="28"/>
        </w:rPr>
      </w:pPr>
      <w:r w:rsidRPr="005E758A">
        <w:rPr>
          <w:rFonts w:ascii="Times New Roman" w:eastAsia="標楷體" w:hAnsi="Times New Roman"/>
          <w:sz w:val="28"/>
          <w:szCs w:val="28"/>
        </w:rPr>
        <w:t>忽視兒童的生理或精神健康：未使兒童受到基本醫療照顧；</w:t>
      </w:r>
    </w:p>
    <w:p w14:paraId="09A0CB36" w14:textId="77777777" w:rsidR="00043D86" w:rsidRPr="005E758A" w:rsidRDefault="00043D86" w:rsidP="00F02A5C">
      <w:pPr>
        <w:pStyle w:val="a0"/>
        <w:numPr>
          <w:ilvl w:val="0"/>
          <w:numId w:val="154"/>
        </w:numPr>
        <w:snapToGrid w:val="0"/>
        <w:ind w:leftChars="0" w:left="993"/>
        <w:rPr>
          <w:rFonts w:ascii="Times New Roman" w:eastAsia="標楷體" w:hAnsi="Times New Roman"/>
          <w:sz w:val="28"/>
          <w:szCs w:val="28"/>
        </w:rPr>
      </w:pPr>
      <w:r w:rsidRPr="005E758A">
        <w:rPr>
          <w:rFonts w:ascii="Times New Roman" w:eastAsia="標楷體" w:hAnsi="Times New Roman"/>
          <w:sz w:val="28"/>
          <w:szCs w:val="28"/>
        </w:rPr>
        <w:t>教育之忽略：未使兒童通過入學或其他方式依法接受教育；</w:t>
      </w:r>
    </w:p>
    <w:p w14:paraId="78A093FB" w14:textId="77777777" w:rsidR="00043D86" w:rsidRPr="005E758A" w:rsidRDefault="00043D86" w:rsidP="00F02A5C">
      <w:pPr>
        <w:pStyle w:val="a0"/>
        <w:numPr>
          <w:ilvl w:val="0"/>
          <w:numId w:val="154"/>
        </w:numPr>
        <w:snapToGrid w:val="0"/>
        <w:ind w:leftChars="0" w:left="993"/>
        <w:rPr>
          <w:rFonts w:ascii="Times New Roman" w:eastAsia="標楷體" w:hAnsi="Times New Roman"/>
          <w:sz w:val="28"/>
          <w:szCs w:val="28"/>
        </w:rPr>
      </w:pPr>
      <w:r w:rsidRPr="005E758A">
        <w:rPr>
          <w:rFonts w:ascii="Times New Roman" w:eastAsia="標楷體" w:hAnsi="Times New Roman"/>
          <w:sz w:val="28"/>
          <w:szCs w:val="28"/>
        </w:rPr>
        <w:t>遺棄：這一做法引起大量關切，在有些社會中更容易發生在非婚生兒童和殘疾兒童身上。</w:t>
      </w:r>
    </w:p>
    <w:p w14:paraId="4359FB52" w14:textId="77777777" w:rsidR="00043D86" w:rsidRPr="005E758A" w:rsidRDefault="00043D86" w:rsidP="00F02A5C">
      <w:pPr>
        <w:pStyle w:val="a0"/>
        <w:numPr>
          <w:ilvl w:val="0"/>
          <w:numId w:val="153"/>
        </w:numPr>
        <w:snapToGrid w:val="0"/>
        <w:spacing w:before="100" w:beforeAutospacing="1" w:after="100" w:afterAutospacing="1"/>
        <w:ind w:leftChars="0"/>
        <w:jc w:val="both"/>
        <w:rPr>
          <w:rFonts w:ascii="Times New Roman" w:eastAsia="標楷體" w:hAnsi="Times New Roman"/>
          <w:sz w:val="28"/>
          <w:szCs w:val="28"/>
        </w:rPr>
      </w:pPr>
      <w:r w:rsidRPr="005E758A">
        <w:rPr>
          <w:rFonts w:ascii="Times New Roman" w:eastAsia="標楷體" w:hAnsi="Times New Roman"/>
          <w:sz w:val="28"/>
          <w:szCs w:val="28"/>
        </w:rPr>
        <w:t>精神暴力：精神暴力往往被描述為心理虐待、精神凌辱、辱駡、情感淩辱或忽視，它可包括各種形式對兒童的長期損害性接觸：</w:t>
      </w:r>
    </w:p>
    <w:p w14:paraId="6E0B4B6F" w14:textId="77777777" w:rsidR="00043D86" w:rsidRPr="005E758A" w:rsidRDefault="00043D86" w:rsidP="00F02A5C">
      <w:pPr>
        <w:pStyle w:val="a0"/>
        <w:numPr>
          <w:ilvl w:val="0"/>
          <w:numId w:val="154"/>
        </w:numPr>
        <w:snapToGrid w:val="0"/>
        <w:ind w:leftChars="0" w:left="993"/>
        <w:rPr>
          <w:rFonts w:ascii="Times New Roman" w:eastAsia="標楷體" w:hAnsi="Times New Roman"/>
          <w:sz w:val="28"/>
          <w:szCs w:val="28"/>
        </w:rPr>
      </w:pPr>
      <w:r w:rsidRPr="005E758A">
        <w:rPr>
          <w:rFonts w:ascii="Times New Roman" w:eastAsia="標楷體" w:hAnsi="Times New Roman"/>
          <w:sz w:val="28"/>
          <w:szCs w:val="28"/>
        </w:rPr>
        <w:t>如告訴兒童他們沒有用、沒人愛、惹人嫌、有危險，或者說他們唯一的價值就是符合成人的需求；</w:t>
      </w:r>
    </w:p>
    <w:p w14:paraId="4259C893" w14:textId="77777777" w:rsidR="00043D86" w:rsidRPr="005E758A" w:rsidRDefault="00043D86" w:rsidP="00F02A5C">
      <w:pPr>
        <w:pStyle w:val="a0"/>
        <w:numPr>
          <w:ilvl w:val="0"/>
          <w:numId w:val="154"/>
        </w:numPr>
        <w:snapToGrid w:val="0"/>
        <w:ind w:leftChars="0" w:left="993"/>
        <w:rPr>
          <w:rFonts w:ascii="Times New Roman" w:eastAsia="標楷體" w:hAnsi="Times New Roman"/>
          <w:sz w:val="28"/>
          <w:szCs w:val="28"/>
        </w:rPr>
      </w:pPr>
      <w:r w:rsidRPr="005E758A">
        <w:rPr>
          <w:rFonts w:ascii="Times New Roman" w:eastAsia="標楷體" w:hAnsi="Times New Roman"/>
          <w:sz w:val="28"/>
          <w:szCs w:val="28"/>
        </w:rPr>
        <w:t>嚇唬、恐嚇、威脅、剝削、蔑視、排斥、孤立、忽視和偏心</w:t>
      </w:r>
      <w:r w:rsidRPr="005E758A">
        <w:rPr>
          <w:rFonts w:ascii="Times New Roman" w:eastAsia="標楷體" w:hAnsi="Times New Roman"/>
          <w:sz w:val="28"/>
          <w:szCs w:val="28"/>
        </w:rPr>
        <w:lastRenderedPageBreak/>
        <w:t>等行為；</w:t>
      </w:r>
    </w:p>
    <w:p w14:paraId="097094EF" w14:textId="77777777" w:rsidR="00043D86" w:rsidRPr="005E758A" w:rsidRDefault="00043D86" w:rsidP="00F02A5C">
      <w:pPr>
        <w:pStyle w:val="a0"/>
        <w:numPr>
          <w:ilvl w:val="0"/>
          <w:numId w:val="154"/>
        </w:numPr>
        <w:snapToGrid w:val="0"/>
        <w:ind w:leftChars="0" w:left="993"/>
        <w:rPr>
          <w:rFonts w:ascii="Times New Roman" w:eastAsia="標楷體" w:hAnsi="Times New Roman"/>
          <w:sz w:val="28"/>
          <w:szCs w:val="28"/>
        </w:rPr>
      </w:pPr>
      <w:r w:rsidRPr="005E758A">
        <w:rPr>
          <w:rFonts w:ascii="Times New Roman" w:eastAsia="標楷體" w:hAnsi="Times New Roman"/>
          <w:sz w:val="28"/>
          <w:szCs w:val="28"/>
        </w:rPr>
        <w:t>拒絕情感回應；忽視心理健康、醫療和教育需要；</w:t>
      </w:r>
    </w:p>
    <w:p w14:paraId="3F0E4D05" w14:textId="77777777" w:rsidR="00043D86" w:rsidRPr="005E758A" w:rsidRDefault="00043D86" w:rsidP="00F02A5C">
      <w:pPr>
        <w:pStyle w:val="a0"/>
        <w:numPr>
          <w:ilvl w:val="0"/>
          <w:numId w:val="154"/>
        </w:numPr>
        <w:snapToGrid w:val="0"/>
        <w:ind w:leftChars="0" w:left="993"/>
        <w:rPr>
          <w:rFonts w:ascii="Times New Roman" w:eastAsia="標楷體" w:hAnsi="Times New Roman"/>
          <w:sz w:val="28"/>
          <w:szCs w:val="28"/>
        </w:rPr>
      </w:pPr>
      <w:r w:rsidRPr="005E758A">
        <w:rPr>
          <w:rFonts w:ascii="Times New Roman" w:eastAsia="標楷體" w:hAnsi="Times New Roman"/>
          <w:sz w:val="28"/>
          <w:szCs w:val="28"/>
        </w:rPr>
        <w:t>侮辱、責駡、羞辱、輕視、取笑和傷害兒童的情感；</w:t>
      </w:r>
    </w:p>
    <w:p w14:paraId="22AD9B80" w14:textId="77777777" w:rsidR="00043D86" w:rsidRPr="005E758A" w:rsidRDefault="00043D86" w:rsidP="00F02A5C">
      <w:pPr>
        <w:pStyle w:val="a0"/>
        <w:numPr>
          <w:ilvl w:val="0"/>
          <w:numId w:val="154"/>
        </w:numPr>
        <w:snapToGrid w:val="0"/>
        <w:ind w:leftChars="0" w:left="993"/>
        <w:rPr>
          <w:rFonts w:ascii="Times New Roman" w:eastAsia="標楷體" w:hAnsi="Times New Roman"/>
          <w:sz w:val="28"/>
          <w:szCs w:val="28"/>
        </w:rPr>
      </w:pPr>
      <w:r w:rsidRPr="005E758A">
        <w:rPr>
          <w:rFonts w:ascii="Times New Roman" w:eastAsia="標楷體" w:hAnsi="Times New Roman"/>
          <w:sz w:val="28"/>
          <w:szCs w:val="28"/>
        </w:rPr>
        <w:t>使兒童暴露於家庭暴力下；</w:t>
      </w:r>
    </w:p>
    <w:p w14:paraId="79333971" w14:textId="77777777" w:rsidR="00043D86" w:rsidRPr="005E758A" w:rsidRDefault="00043D86" w:rsidP="00F02A5C">
      <w:pPr>
        <w:pStyle w:val="a0"/>
        <w:numPr>
          <w:ilvl w:val="0"/>
          <w:numId w:val="154"/>
        </w:numPr>
        <w:snapToGrid w:val="0"/>
        <w:ind w:leftChars="0" w:left="993"/>
        <w:rPr>
          <w:rFonts w:ascii="Times New Roman" w:eastAsia="標楷體" w:hAnsi="Times New Roman"/>
          <w:sz w:val="28"/>
          <w:szCs w:val="28"/>
        </w:rPr>
      </w:pPr>
      <w:r w:rsidRPr="005E758A">
        <w:rPr>
          <w:rFonts w:ascii="Times New Roman" w:eastAsia="標楷體" w:hAnsi="Times New Roman"/>
          <w:sz w:val="28"/>
          <w:szCs w:val="28"/>
        </w:rPr>
        <w:t>單獨禁閉、隔離或羞辱性或有辱人格的拘禁；</w:t>
      </w:r>
    </w:p>
    <w:p w14:paraId="3D2F89E1" w14:textId="77777777" w:rsidR="00043D86" w:rsidRPr="005E758A" w:rsidRDefault="00043D86" w:rsidP="00F02A5C">
      <w:pPr>
        <w:pStyle w:val="a0"/>
        <w:numPr>
          <w:ilvl w:val="0"/>
          <w:numId w:val="154"/>
        </w:numPr>
        <w:snapToGrid w:val="0"/>
        <w:ind w:leftChars="0" w:left="993"/>
        <w:rPr>
          <w:rFonts w:ascii="Times New Roman" w:eastAsia="標楷體" w:hAnsi="Times New Roman"/>
          <w:sz w:val="28"/>
          <w:szCs w:val="28"/>
        </w:rPr>
      </w:pPr>
      <w:r w:rsidRPr="005E758A">
        <w:rPr>
          <w:rFonts w:ascii="Times New Roman" w:eastAsia="標楷體" w:hAnsi="Times New Roman"/>
          <w:sz w:val="28"/>
          <w:szCs w:val="28"/>
        </w:rPr>
        <w:t>來自成人和其他兒童的心理欺</w:t>
      </w:r>
      <w:proofErr w:type="gramStart"/>
      <w:r w:rsidRPr="005E758A">
        <w:rPr>
          <w:rFonts w:ascii="Times New Roman" w:eastAsia="標楷體" w:hAnsi="Times New Roman"/>
          <w:sz w:val="28"/>
          <w:szCs w:val="28"/>
        </w:rPr>
        <w:t>淩</w:t>
      </w:r>
      <w:proofErr w:type="gramEnd"/>
      <w:r w:rsidRPr="005E758A">
        <w:rPr>
          <w:rFonts w:ascii="Times New Roman" w:eastAsia="標楷體" w:hAnsi="Times New Roman"/>
          <w:sz w:val="28"/>
          <w:szCs w:val="28"/>
        </w:rPr>
        <w:t>和</w:t>
      </w:r>
      <w:proofErr w:type="gramStart"/>
      <w:r w:rsidRPr="005E758A">
        <w:rPr>
          <w:rFonts w:ascii="Times New Roman" w:eastAsia="標楷體" w:hAnsi="Times New Roman"/>
          <w:sz w:val="28"/>
          <w:szCs w:val="28"/>
        </w:rPr>
        <w:t>霸凌</w:t>
      </w:r>
      <w:proofErr w:type="gramEnd"/>
      <w:r w:rsidRPr="005E758A">
        <w:rPr>
          <w:rFonts w:ascii="Times New Roman" w:eastAsia="標楷體" w:hAnsi="Times New Roman"/>
          <w:sz w:val="28"/>
          <w:szCs w:val="28"/>
        </w:rPr>
        <w:t>，包括「網路</w:t>
      </w:r>
      <w:proofErr w:type="gramStart"/>
      <w:r w:rsidRPr="005E758A">
        <w:rPr>
          <w:rFonts w:ascii="Times New Roman" w:eastAsia="標楷體" w:hAnsi="Times New Roman"/>
          <w:sz w:val="28"/>
          <w:szCs w:val="28"/>
        </w:rPr>
        <w:t>霸凌」</w:t>
      </w:r>
      <w:proofErr w:type="gramEnd"/>
      <w:r w:rsidRPr="005E758A">
        <w:rPr>
          <w:rFonts w:ascii="Times New Roman" w:eastAsia="標楷體" w:hAnsi="Times New Roman"/>
          <w:sz w:val="28"/>
          <w:szCs w:val="28"/>
        </w:rPr>
        <w:t>。</w:t>
      </w:r>
    </w:p>
    <w:p w14:paraId="63C950E2" w14:textId="77777777" w:rsidR="00043D86" w:rsidRPr="005E758A" w:rsidRDefault="00043D86" w:rsidP="00F02A5C">
      <w:pPr>
        <w:pStyle w:val="a0"/>
        <w:numPr>
          <w:ilvl w:val="0"/>
          <w:numId w:val="153"/>
        </w:numPr>
        <w:snapToGrid w:val="0"/>
        <w:spacing w:before="100" w:beforeAutospacing="1" w:after="100" w:afterAutospacing="1"/>
        <w:ind w:leftChars="0"/>
        <w:jc w:val="both"/>
        <w:rPr>
          <w:rFonts w:ascii="Times New Roman" w:eastAsia="標楷體" w:hAnsi="Times New Roman"/>
          <w:sz w:val="28"/>
          <w:szCs w:val="28"/>
        </w:rPr>
      </w:pPr>
      <w:r w:rsidRPr="005E758A">
        <w:rPr>
          <w:rFonts w:ascii="Times New Roman" w:eastAsia="標楷體" w:hAnsi="Times New Roman"/>
          <w:sz w:val="28"/>
          <w:szCs w:val="28"/>
        </w:rPr>
        <w:t>身體暴力：包括致命和非致命性人身暴力。兒童權利委員會認為，人身暴力包括：所有體罰和所有其他形式的酷刑，殘忍、不人道或有辱人格的待遇或處罰；來自成人和其他兒童的人身</w:t>
      </w:r>
      <w:proofErr w:type="gramStart"/>
      <w:r w:rsidRPr="005E758A">
        <w:rPr>
          <w:rFonts w:ascii="Times New Roman" w:eastAsia="標楷體" w:hAnsi="Times New Roman"/>
          <w:sz w:val="28"/>
          <w:szCs w:val="28"/>
        </w:rPr>
        <w:t>霸凌。</w:t>
      </w:r>
      <w:proofErr w:type="gramEnd"/>
    </w:p>
    <w:p w14:paraId="3D30C744" w14:textId="77777777" w:rsidR="00043D86" w:rsidRPr="005E758A" w:rsidRDefault="00043D86" w:rsidP="00F02A5C">
      <w:pPr>
        <w:pStyle w:val="a0"/>
        <w:numPr>
          <w:ilvl w:val="0"/>
          <w:numId w:val="153"/>
        </w:numPr>
        <w:snapToGrid w:val="0"/>
        <w:spacing w:before="100" w:beforeAutospacing="1" w:after="100" w:afterAutospacing="1"/>
        <w:ind w:leftChars="0"/>
        <w:jc w:val="both"/>
        <w:rPr>
          <w:rFonts w:ascii="Times New Roman" w:eastAsia="標楷體" w:hAnsi="Times New Roman"/>
          <w:sz w:val="28"/>
          <w:szCs w:val="28"/>
        </w:rPr>
      </w:pPr>
      <w:r w:rsidRPr="005E758A">
        <w:rPr>
          <w:rFonts w:ascii="Times New Roman" w:eastAsia="標楷體" w:hAnsi="Times New Roman"/>
          <w:sz w:val="28"/>
          <w:szCs w:val="28"/>
        </w:rPr>
        <w:t>身心障礙兒童可能遭受特殊形式的人身暴力：如強迫絕育，特別是女童；或以治療為掩蓋的暴力</w:t>
      </w:r>
      <w:proofErr w:type="gramStart"/>
      <w:r w:rsidRPr="005E758A">
        <w:rPr>
          <w:rFonts w:ascii="Times New Roman" w:eastAsia="標楷體" w:hAnsi="Times New Roman"/>
          <w:sz w:val="28"/>
          <w:szCs w:val="28"/>
        </w:rPr>
        <w:t>（</w:t>
      </w:r>
      <w:proofErr w:type="gramEnd"/>
      <w:r w:rsidRPr="005E758A">
        <w:rPr>
          <w:rFonts w:ascii="Times New Roman" w:eastAsia="標楷體" w:hAnsi="Times New Roman"/>
          <w:sz w:val="28"/>
          <w:szCs w:val="28"/>
        </w:rPr>
        <w:t>如以治療為名，故意使兒童殘廢，以便利用他們沿街或在其他地方行乞等。）</w:t>
      </w:r>
    </w:p>
    <w:p w14:paraId="13595B64" w14:textId="77777777" w:rsidR="00043D86" w:rsidRPr="005E758A" w:rsidRDefault="00043D86" w:rsidP="00F02A5C">
      <w:pPr>
        <w:pStyle w:val="a0"/>
        <w:numPr>
          <w:ilvl w:val="0"/>
          <w:numId w:val="153"/>
        </w:numPr>
        <w:snapToGrid w:val="0"/>
        <w:spacing w:before="100" w:beforeAutospacing="1" w:after="100" w:afterAutospacing="1"/>
        <w:ind w:leftChars="0"/>
        <w:jc w:val="both"/>
        <w:rPr>
          <w:rFonts w:ascii="Times New Roman" w:eastAsia="標楷體" w:hAnsi="Times New Roman"/>
          <w:sz w:val="28"/>
          <w:szCs w:val="28"/>
        </w:rPr>
      </w:pPr>
      <w:r w:rsidRPr="005E758A">
        <w:rPr>
          <w:rFonts w:ascii="Times New Roman" w:eastAsia="標楷體" w:hAnsi="Times New Roman"/>
          <w:sz w:val="28"/>
          <w:szCs w:val="28"/>
        </w:rPr>
        <w:t>體罰：兒童權利委員會在第</w:t>
      </w:r>
      <w:r w:rsidRPr="005E758A">
        <w:rPr>
          <w:rFonts w:ascii="Times New Roman" w:eastAsia="標楷體" w:hAnsi="Times New Roman"/>
          <w:sz w:val="28"/>
          <w:szCs w:val="28"/>
        </w:rPr>
        <w:t>8</w:t>
      </w:r>
      <w:r w:rsidRPr="005E758A">
        <w:rPr>
          <w:rFonts w:ascii="Times New Roman" w:eastAsia="標楷體" w:hAnsi="Times New Roman"/>
          <w:sz w:val="28"/>
          <w:szCs w:val="28"/>
        </w:rPr>
        <w:t>號一般性意見中，將「體罰」或「身體上之懲罰」定義為：「任何使用人身暴力並旨在造成某種程度疼痛或不適（無論如何輕微）的處罰」。大多數涉及用手或工具，如鞭子、棍子、皮帶、鞋子、</w:t>
      </w:r>
      <w:proofErr w:type="gramStart"/>
      <w:r w:rsidRPr="005E758A">
        <w:rPr>
          <w:rFonts w:ascii="Times New Roman" w:eastAsia="標楷體" w:hAnsi="Times New Roman"/>
          <w:sz w:val="28"/>
          <w:szCs w:val="28"/>
        </w:rPr>
        <w:t>木鏟等</w:t>
      </w:r>
      <w:proofErr w:type="gramEnd"/>
      <w:r w:rsidRPr="005E758A">
        <w:rPr>
          <w:rFonts w:ascii="Times New Roman" w:eastAsia="標楷體" w:hAnsi="Times New Roman"/>
          <w:sz w:val="28"/>
          <w:szCs w:val="28"/>
        </w:rPr>
        <w:t>，拍、</w:t>
      </w:r>
      <w:proofErr w:type="gramStart"/>
      <w:r w:rsidRPr="005E758A">
        <w:rPr>
          <w:rFonts w:ascii="Times New Roman" w:eastAsia="標楷體" w:hAnsi="Times New Roman"/>
          <w:sz w:val="28"/>
          <w:szCs w:val="28"/>
        </w:rPr>
        <w:t>搧</w:t>
      </w:r>
      <w:proofErr w:type="gramEnd"/>
      <w:r w:rsidRPr="005E758A">
        <w:rPr>
          <w:rFonts w:ascii="Times New Roman" w:eastAsia="標楷體" w:hAnsi="Times New Roman"/>
          <w:sz w:val="28"/>
          <w:szCs w:val="28"/>
        </w:rPr>
        <w:t>、</w:t>
      </w:r>
      <w:proofErr w:type="gramStart"/>
      <w:r w:rsidRPr="005E758A">
        <w:rPr>
          <w:rFonts w:ascii="Times New Roman" w:eastAsia="標楷體" w:hAnsi="Times New Roman"/>
          <w:sz w:val="28"/>
          <w:szCs w:val="28"/>
        </w:rPr>
        <w:t>摑</w:t>
      </w:r>
      <w:proofErr w:type="gramEnd"/>
      <w:r w:rsidRPr="005E758A">
        <w:rPr>
          <w:rFonts w:ascii="Times New Roman" w:eastAsia="標楷體" w:hAnsi="Times New Roman"/>
          <w:sz w:val="28"/>
          <w:szCs w:val="28"/>
        </w:rPr>
        <w:t>打兒童。但也可能涉及踢、晃、扔、抓撓、</w:t>
      </w:r>
      <w:proofErr w:type="gramStart"/>
      <w:r w:rsidRPr="005E758A">
        <w:rPr>
          <w:rFonts w:ascii="Times New Roman" w:eastAsia="標楷體" w:hAnsi="Times New Roman"/>
          <w:sz w:val="28"/>
          <w:szCs w:val="28"/>
        </w:rPr>
        <w:t>捏掐、嘶咬</w:t>
      </w:r>
      <w:proofErr w:type="gramEnd"/>
      <w:r w:rsidRPr="005E758A">
        <w:rPr>
          <w:rFonts w:ascii="Times New Roman" w:eastAsia="標楷體" w:hAnsi="Times New Roman"/>
          <w:sz w:val="28"/>
          <w:szCs w:val="28"/>
        </w:rPr>
        <w:t>、抓頭髮或打耳光、</w:t>
      </w:r>
      <w:proofErr w:type="gramStart"/>
      <w:r w:rsidRPr="005E758A">
        <w:rPr>
          <w:rFonts w:ascii="Times New Roman" w:eastAsia="標楷體" w:hAnsi="Times New Roman"/>
          <w:sz w:val="28"/>
          <w:szCs w:val="28"/>
        </w:rPr>
        <w:t>笞</w:t>
      </w:r>
      <w:proofErr w:type="gramEnd"/>
      <w:r w:rsidRPr="005E758A">
        <w:rPr>
          <w:rFonts w:ascii="Times New Roman" w:eastAsia="標楷體" w:hAnsi="Times New Roman"/>
          <w:sz w:val="28"/>
          <w:szCs w:val="28"/>
        </w:rPr>
        <w:t>責、強迫兒童維持不舒服的姿勢，燒、燙或強迫吞咽等行為。</w:t>
      </w:r>
      <w:r w:rsidRPr="005E758A">
        <w:rPr>
          <w:rStyle w:val="af3"/>
          <w:rFonts w:ascii="Times New Roman" w:eastAsia="標楷體" w:hAnsi="Times New Roman"/>
        </w:rPr>
        <w:endnoteReference w:id="249"/>
      </w:r>
    </w:p>
    <w:p w14:paraId="6613BD14" w14:textId="77777777" w:rsidR="00043D86" w:rsidRPr="005E758A" w:rsidRDefault="00043D86" w:rsidP="00F02A5C">
      <w:pPr>
        <w:pStyle w:val="a0"/>
        <w:numPr>
          <w:ilvl w:val="0"/>
          <w:numId w:val="153"/>
        </w:numPr>
        <w:snapToGrid w:val="0"/>
        <w:spacing w:before="100" w:beforeAutospacing="1" w:after="100" w:afterAutospacing="1"/>
        <w:ind w:leftChars="0"/>
        <w:jc w:val="both"/>
        <w:rPr>
          <w:rFonts w:ascii="Times New Roman" w:eastAsia="標楷體" w:hAnsi="Times New Roman"/>
          <w:sz w:val="28"/>
          <w:szCs w:val="28"/>
        </w:rPr>
      </w:pPr>
      <w:r w:rsidRPr="005E758A">
        <w:rPr>
          <w:rFonts w:ascii="Times New Roman" w:eastAsia="標楷體" w:hAnsi="Times New Roman"/>
          <w:sz w:val="28"/>
          <w:szCs w:val="28"/>
        </w:rPr>
        <w:t>性暴力和剝削：略</w:t>
      </w:r>
      <w:proofErr w:type="gramStart"/>
      <w:r w:rsidRPr="005E758A">
        <w:rPr>
          <w:rFonts w:ascii="Times New Roman" w:eastAsia="標楷體" w:hAnsi="Times New Roman"/>
          <w:sz w:val="28"/>
          <w:szCs w:val="28"/>
        </w:rPr>
        <w:t>誘</w:t>
      </w:r>
      <w:proofErr w:type="gramEnd"/>
      <w:r w:rsidRPr="005E758A">
        <w:rPr>
          <w:rFonts w:ascii="Times New Roman" w:eastAsia="標楷體" w:hAnsi="Times New Roman"/>
          <w:sz w:val="28"/>
          <w:szCs w:val="28"/>
        </w:rPr>
        <w:t>兒童從事任何非法或具有心理傷害性的性活動，或利用兒童進行商業性剝削，如：利用兒童製作兒童色情製品、兒童賣淫、性奴役、兒童性伴遊等。</w:t>
      </w:r>
    </w:p>
    <w:p w14:paraId="1E49997C" w14:textId="77777777" w:rsidR="00043D86" w:rsidRPr="005E758A" w:rsidRDefault="00043D86" w:rsidP="00F02A5C">
      <w:pPr>
        <w:pStyle w:val="a0"/>
        <w:numPr>
          <w:ilvl w:val="0"/>
          <w:numId w:val="153"/>
        </w:numPr>
        <w:snapToGrid w:val="0"/>
        <w:spacing w:before="100" w:beforeAutospacing="1" w:after="100" w:afterAutospacing="1"/>
        <w:ind w:leftChars="0"/>
        <w:jc w:val="both"/>
        <w:rPr>
          <w:rFonts w:ascii="Times New Roman" w:eastAsia="標楷體" w:hAnsi="Times New Roman"/>
          <w:sz w:val="28"/>
          <w:szCs w:val="28"/>
        </w:rPr>
      </w:pPr>
      <w:r w:rsidRPr="005E758A">
        <w:rPr>
          <w:rFonts w:ascii="Times New Roman" w:eastAsia="標楷體" w:hAnsi="Times New Roman"/>
          <w:sz w:val="28"/>
          <w:szCs w:val="28"/>
        </w:rPr>
        <w:t>酷刑、羞辱性之處罰或對待：此等行為通常由具有權利之人，如警察和執法官員、寄宿機構和其他機構人員以及對兒童擁有權力者實施。受害兒童往往是被邊緣化的弱勢兒童，處於不利地位並遭受歧視，且通常缺乏可捍衛或保護這些兒童的成人。此類行為往往導致被害兒童終生的生理和心理傷害及社會壓力。</w:t>
      </w:r>
    </w:p>
    <w:p w14:paraId="0891EF22" w14:textId="77777777" w:rsidR="00043D86" w:rsidRPr="005E758A" w:rsidRDefault="00043D86" w:rsidP="00F02A5C">
      <w:pPr>
        <w:pStyle w:val="a0"/>
        <w:numPr>
          <w:ilvl w:val="0"/>
          <w:numId w:val="153"/>
        </w:numPr>
        <w:snapToGrid w:val="0"/>
        <w:spacing w:before="100" w:beforeAutospacing="1" w:after="100" w:afterAutospacing="1"/>
        <w:ind w:leftChars="0"/>
        <w:jc w:val="both"/>
        <w:rPr>
          <w:rFonts w:ascii="Times New Roman" w:eastAsia="標楷體" w:hAnsi="Times New Roman"/>
          <w:sz w:val="28"/>
          <w:szCs w:val="28"/>
        </w:rPr>
      </w:pPr>
      <w:r w:rsidRPr="005E758A">
        <w:rPr>
          <w:rFonts w:ascii="Times New Roman" w:eastAsia="標楷體" w:hAnsi="Times New Roman"/>
          <w:sz w:val="28"/>
          <w:szCs w:val="28"/>
        </w:rPr>
        <w:t>兒童之間的暴力：這些包括人身、心理和性暴力，行為人往往亦是成群的兒童，這不僅傷害兒童當時的身心健全和幸福，而且就兒童的中長期發展而言，將造成教育和社會融入方面嚴重的後果。而且，無論是作為受害者還是參與者，</w:t>
      </w:r>
      <w:proofErr w:type="gramStart"/>
      <w:r w:rsidRPr="005E758A">
        <w:rPr>
          <w:rFonts w:ascii="Times New Roman" w:eastAsia="標楷體" w:hAnsi="Times New Roman"/>
          <w:sz w:val="28"/>
          <w:szCs w:val="28"/>
        </w:rPr>
        <w:t>兒童間的暴力</w:t>
      </w:r>
      <w:proofErr w:type="gramEnd"/>
      <w:r w:rsidRPr="005E758A">
        <w:rPr>
          <w:rFonts w:ascii="Times New Roman" w:eastAsia="標楷體" w:hAnsi="Times New Roman"/>
          <w:sz w:val="28"/>
          <w:szCs w:val="28"/>
        </w:rPr>
        <w:t>皆會對兒童的未來造成重大影響。雖然行為人是兒童，但對這些兒童負有責任的成年人，亦應努力且適當地反對和防止此類暴力，但不得採取以暴制暴的措施。</w:t>
      </w:r>
    </w:p>
    <w:p w14:paraId="618FB0F5" w14:textId="77777777" w:rsidR="00043D86" w:rsidRPr="005E758A" w:rsidRDefault="00043D86" w:rsidP="00F02A5C">
      <w:pPr>
        <w:pStyle w:val="a0"/>
        <w:numPr>
          <w:ilvl w:val="0"/>
          <w:numId w:val="153"/>
        </w:numPr>
        <w:snapToGrid w:val="0"/>
        <w:spacing w:before="100" w:beforeAutospacing="1" w:after="100" w:afterAutospacing="1"/>
        <w:ind w:leftChars="0"/>
        <w:jc w:val="both"/>
        <w:rPr>
          <w:rFonts w:ascii="Times New Roman" w:eastAsia="標楷體" w:hAnsi="Times New Roman"/>
          <w:sz w:val="28"/>
          <w:szCs w:val="28"/>
        </w:rPr>
      </w:pPr>
      <w:r w:rsidRPr="005E758A">
        <w:rPr>
          <w:rFonts w:ascii="Times New Roman" w:eastAsia="標楷體" w:hAnsi="Times New Roman"/>
          <w:sz w:val="28"/>
          <w:szCs w:val="28"/>
        </w:rPr>
        <w:lastRenderedPageBreak/>
        <w:t>自我傷害：這包括使用毒品、厭食症及暴食症等異常狀況，特別是少年的自殺狀況，特別受到委員會的關注。</w:t>
      </w:r>
    </w:p>
    <w:p w14:paraId="60849D64" w14:textId="77777777" w:rsidR="00043D86" w:rsidRPr="005E758A" w:rsidRDefault="00043D86" w:rsidP="00F02A5C">
      <w:pPr>
        <w:pStyle w:val="a0"/>
        <w:numPr>
          <w:ilvl w:val="0"/>
          <w:numId w:val="153"/>
        </w:numPr>
        <w:snapToGrid w:val="0"/>
        <w:spacing w:before="100" w:beforeAutospacing="1" w:after="100" w:afterAutospacing="1"/>
        <w:ind w:leftChars="0"/>
        <w:jc w:val="both"/>
        <w:rPr>
          <w:rFonts w:ascii="Times New Roman" w:eastAsia="標楷體" w:hAnsi="Times New Roman"/>
          <w:sz w:val="28"/>
          <w:szCs w:val="28"/>
        </w:rPr>
      </w:pPr>
      <w:r w:rsidRPr="005E758A">
        <w:rPr>
          <w:rFonts w:ascii="Times New Roman" w:eastAsia="標楷體" w:hAnsi="Times New Roman"/>
          <w:sz w:val="28"/>
          <w:szCs w:val="28"/>
        </w:rPr>
        <w:t>有害兒童之宗教、國家及部落習俗：如強迫婚姻和早婚、</w:t>
      </w:r>
      <w:proofErr w:type="gramStart"/>
      <w:r w:rsidRPr="005E758A">
        <w:rPr>
          <w:rFonts w:ascii="Times New Roman" w:eastAsia="標楷體" w:hAnsi="Times New Roman"/>
          <w:sz w:val="28"/>
          <w:szCs w:val="28"/>
        </w:rPr>
        <w:t>割禮</w:t>
      </w:r>
      <w:proofErr w:type="gramEnd"/>
      <w:r w:rsidRPr="005E758A">
        <w:rPr>
          <w:rFonts w:ascii="Times New Roman" w:eastAsia="標楷體" w:hAnsi="Times New Roman"/>
          <w:sz w:val="28"/>
          <w:szCs w:val="28"/>
        </w:rPr>
        <w:t>、「榮譽」犯罪、「報復性」暴力行為等等。</w:t>
      </w:r>
    </w:p>
    <w:p w14:paraId="5A96DEDE" w14:textId="77777777" w:rsidR="00043D86" w:rsidRPr="005E758A" w:rsidRDefault="00043D86" w:rsidP="00F02A5C">
      <w:pPr>
        <w:pStyle w:val="a0"/>
        <w:numPr>
          <w:ilvl w:val="0"/>
          <w:numId w:val="153"/>
        </w:numPr>
        <w:snapToGrid w:val="0"/>
        <w:spacing w:before="100" w:beforeAutospacing="1" w:after="100" w:afterAutospacing="1"/>
        <w:ind w:leftChars="0"/>
        <w:jc w:val="both"/>
        <w:rPr>
          <w:rFonts w:ascii="Times New Roman" w:eastAsia="標楷體" w:hAnsi="Times New Roman"/>
          <w:sz w:val="28"/>
          <w:szCs w:val="28"/>
        </w:rPr>
      </w:pPr>
      <w:r w:rsidRPr="005E758A">
        <w:rPr>
          <w:rFonts w:ascii="Times New Roman" w:eastAsia="標楷體" w:hAnsi="Times New Roman"/>
          <w:sz w:val="28"/>
          <w:szCs w:val="28"/>
        </w:rPr>
        <w:t>傳播媒體暴力：此部分係指媒體對兒童的影響，媒體往往影響著大眾的觀點，並可能形成兒童的偏見和成見，特別是弱勢兒童或青少年，往往被描繪成暴力或違法者，而原因僅僅是他們有著不同的行為或生活型態而遭污名化，進而影響到國家對於兒童偏差行為處遇政策的影響。</w:t>
      </w:r>
    </w:p>
    <w:p w14:paraId="68F0C6CF" w14:textId="77777777" w:rsidR="00043D86" w:rsidRPr="005E758A" w:rsidRDefault="00043D86" w:rsidP="00F02A5C">
      <w:pPr>
        <w:pStyle w:val="a0"/>
        <w:numPr>
          <w:ilvl w:val="0"/>
          <w:numId w:val="153"/>
        </w:numPr>
        <w:snapToGrid w:val="0"/>
        <w:spacing w:before="100" w:beforeAutospacing="1" w:after="100" w:afterAutospacing="1"/>
        <w:ind w:leftChars="0"/>
        <w:jc w:val="both"/>
        <w:rPr>
          <w:rFonts w:ascii="Times New Roman" w:eastAsia="標楷體" w:hAnsi="Times New Roman"/>
          <w:sz w:val="28"/>
          <w:szCs w:val="28"/>
        </w:rPr>
      </w:pPr>
      <w:r w:rsidRPr="005E758A">
        <w:rPr>
          <w:rFonts w:ascii="Times New Roman" w:eastAsia="標楷體" w:hAnsi="Times New Roman"/>
          <w:sz w:val="28"/>
          <w:szCs w:val="28"/>
        </w:rPr>
        <w:t>使用資訊和通信技術的暴力：網路的發達及方便性所帶來的性暴力、兒童色情照片的傳播、暴力電子遊戲等等，均可能對兒童心理造成負面影響。</w:t>
      </w:r>
    </w:p>
    <w:p w14:paraId="7807DD12" w14:textId="77777777" w:rsidR="00043D86" w:rsidRPr="005E758A" w:rsidRDefault="00043D86" w:rsidP="00F02A5C">
      <w:pPr>
        <w:pStyle w:val="a0"/>
        <w:numPr>
          <w:ilvl w:val="0"/>
          <w:numId w:val="153"/>
        </w:numPr>
        <w:snapToGrid w:val="0"/>
        <w:spacing w:before="100" w:beforeAutospacing="1" w:after="100" w:afterAutospacing="1"/>
        <w:ind w:leftChars="0"/>
        <w:jc w:val="both"/>
        <w:rPr>
          <w:rFonts w:ascii="Times New Roman" w:eastAsia="標楷體" w:hAnsi="Times New Roman"/>
          <w:sz w:val="28"/>
          <w:szCs w:val="28"/>
        </w:rPr>
      </w:pPr>
      <w:r w:rsidRPr="005E758A">
        <w:rPr>
          <w:rFonts w:ascii="Times New Roman" w:eastAsia="標楷體" w:hAnsi="Times New Roman"/>
          <w:sz w:val="28"/>
          <w:szCs w:val="28"/>
        </w:rPr>
        <w:t xml:space="preserve"> </w:t>
      </w:r>
      <w:r w:rsidRPr="005E758A">
        <w:rPr>
          <w:rFonts w:ascii="Times New Roman" w:eastAsia="標楷體" w:hAnsi="Times New Roman"/>
          <w:sz w:val="28"/>
          <w:szCs w:val="28"/>
        </w:rPr>
        <w:t>機構與兒童權利：此部份的問題包括機構人員是否忽略兒童最佳利益及兒童表意權，相關法律規範的執行是否確實、國家監督及糾正機構管理措施機制是否足夠，國家能否提供足夠的人力及資源，用以預防、發現並回應機構內之暴力行</w:t>
      </w:r>
    </w:p>
    <w:p w14:paraId="60B8EEA1" w14:textId="77777777" w:rsidR="00043D86" w:rsidRPr="005E758A" w:rsidRDefault="00043D86" w:rsidP="00043D86">
      <w:pPr>
        <w:pStyle w:val="a0"/>
        <w:snapToGrid w:val="0"/>
        <w:spacing w:before="100" w:beforeAutospacing="1" w:after="100" w:afterAutospacing="1"/>
        <w:ind w:leftChars="0" w:left="0" w:firstLineChars="200" w:firstLine="560"/>
        <w:jc w:val="both"/>
        <w:rPr>
          <w:rFonts w:ascii="Times New Roman" w:eastAsia="標楷體" w:hAnsi="Times New Roman"/>
          <w:sz w:val="28"/>
          <w:szCs w:val="28"/>
        </w:rPr>
      </w:pPr>
      <w:r w:rsidRPr="005E758A">
        <w:rPr>
          <w:rFonts w:ascii="Times New Roman" w:eastAsia="標楷體" w:hAnsi="Times New Roman"/>
          <w:sz w:val="28"/>
          <w:szCs w:val="28"/>
        </w:rPr>
        <w:t>所謂照顧者的定義，兒童權利公約委員會認為，未滿</w:t>
      </w:r>
      <w:r w:rsidRPr="005E758A">
        <w:rPr>
          <w:rFonts w:ascii="Times New Roman" w:eastAsia="標楷體" w:hAnsi="Times New Roman"/>
          <w:sz w:val="28"/>
          <w:szCs w:val="28"/>
        </w:rPr>
        <w:t>18</w:t>
      </w:r>
      <w:r w:rsidRPr="005E758A">
        <w:rPr>
          <w:rFonts w:ascii="Times New Roman" w:eastAsia="標楷體" w:hAnsi="Times New Roman"/>
          <w:sz w:val="28"/>
          <w:szCs w:val="28"/>
        </w:rPr>
        <w:t>歲之兒童皆可被認為是處於「他人照顧的階段」，而所謂的照顧者係指「父母、法定監護人或其他任何負責照顧兒童的人。」，其中涵蓋那些對兒童的安全、健康、發展和幸福具有明確、獲得承認的法律、職業、道德和</w:t>
      </w:r>
      <w:r w:rsidRPr="005E758A">
        <w:rPr>
          <w:rFonts w:ascii="Times New Roman" w:eastAsia="標楷體" w:hAnsi="Times New Roman"/>
          <w:sz w:val="28"/>
          <w:szCs w:val="28"/>
        </w:rPr>
        <w:t>/</w:t>
      </w:r>
      <w:r w:rsidRPr="005E758A">
        <w:rPr>
          <w:rFonts w:ascii="Times New Roman" w:eastAsia="標楷體" w:hAnsi="Times New Roman"/>
          <w:sz w:val="28"/>
          <w:szCs w:val="28"/>
        </w:rPr>
        <w:t>或文化責任者，主要是：父母、養父母、收養父母、伊斯蘭法所稱「卡法拉」中的照料者、監護人、大家庭和社區成員；教育、學校和幼兒機構工作人員；父母雇用的保姆；休閒和運動教練，包括少年管教者；工作場所雇主或監管人，及從事照顧工作的機構工作人員，如在保健、少年司法收留及寄宿照顧機構負有責任的成人等。</w:t>
      </w:r>
      <w:r w:rsidRPr="005E758A">
        <w:rPr>
          <w:rStyle w:val="af3"/>
          <w:rFonts w:ascii="Times New Roman" w:eastAsia="標楷體" w:hAnsi="Times New Roman"/>
        </w:rPr>
        <w:endnoteReference w:id="250"/>
      </w:r>
    </w:p>
    <w:p w14:paraId="31A77054" w14:textId="77777777" w:rsidR="00043D86" w:rsidRPr="005E758A" w:rsidRDefault="00043D86" w:rsidP="00043D86">
      <w:pPr>
        <w:pStyle w:val="3"/>
      </w:pPr>
      <w:r w:rsidRPr="005E758A">
        <w:t>第</w:t>
      </w:r>
      <w:r w:rsidRPr="005E758A">
        <w:t>19</w:t>
      </w:r>
      <w:r w:rsidRPr="005E758A">
        <w:t>條第</w:t>
      </w:r>
      <w:r w:rsidRPr="005E758A">
        <w:t>2</w:t>
      </w:r>
      <w:r w:rsidRPr="005E758A">
        <w:t>項</w:t>
      </w:r>
    </w:p>
    <w:p w14:paraId="7F8D182F" w14:textId="77777777" w:rsidR="00043D86" w:rsidRPr="005E758A" w:rsidRDefault="00043D86" w:rsidP="00043D86">
      <w:pPr>
        <w:pStyle w:val="a0"/>
        <w:snapToGrid w:val="0"/>
        <w:spacing w:before="100" w:beforeAutospacing="1" w:after="100" w:afterAutospacing="1"/>
        <w:ind w:leftChars="0" w:left="0" w:firstLineChars="200" w:firstLine="560"/>
        <w:jc w:val="both"/>
        <w:rPr>
          <w:rFonts w:ascii="Times New Roman" w:eastAsia="標楷體" w:hAnsi="Times New Roman"/>
          <w:sz w:val="28"/>
          <w:szCs w:val="28"/>
        </w:rPr>
      </w:pPr>
      <w:r w:rsidRPr="005E758A">
        <w:rPr>
          <w:rFonts w:ascii="Times New Roman" w:eastAsia="標楷體" w:hAnsi="Times New Roman"/>
          <w:sz w:val="28"/>
          <w:szCs w:val="28"/>
        </w:rPr>
        <w:t>兒童權利委員會強調，兒童保護必須從積極預防及明令禁止一切形式的暴力做起。締約國有義務實行一切必要措施，確保負責照顧、教導和撫養兒童的成人尊重並保護兒童的權利。例如透過健康教育及其他措施宣導父母及兒童的其他照顧者，皆應尊重並維護兒童的權利。</w:t>
      </w:r>
      <w:r w:rsidRPr="005E758A">
        <w:rPr>
          <w:rStyle w:val="af3"/>
          <w:rFonts w:ascii="Times New Roman" w:eastAsia="標楷體" w:hAnsi="Times New Roman"/>
        </w:rPr>
        <w:endnoteReference w:id="251"/>
      </w:r>
      <w:r w:rsidRPr="005E758A">
        <w:rPr>
          <w:rFonts w:ascii="Times New Roman" w:eastAsia="標楷體" w:hAnsi="Times New Roman"/>
          <w:sz w:val="28"/>
          <w:szCs w:val="28"/>
        </w:rPr>
        <w:t>預防之手段則包括但不限於以下措施：</w:t>
      </w:r>
      <w:r w:rsidRPr="005E758A">
        <w:rPr>
          <w:rStyle w:val="af3"/>
          <w:rFonts w:ascii="Times New Roman" w:eastAsia="標楷體" w:hAnsi="Times New Roman"/>
        </w:rPr>
        <w:endnoteReference w:id="252"/>
      </w:r>
    </w:p>
    <w:p w14:paraId="62E5C2D3" w14:textId="77777777" w:rsidR="00043D86" w:rsidRPr="005E758A" w:rsidRDefault="00043D86" w:rsidP="00F02A5C">
      <w:pPr>
        <w:pStyle w:val="a0"/>
        <w:numPr>
          <w:ilvl w:val="0"/>
          <w:numId w:val="156"/>
        </w:numPr>
        <w:snapToGrid w:val="0"/>
        <w:spacing w:before="100" w:beforeAutospacing="1" w:after="100" w:afterAutospacing="1"/>
        <w:ind w:leftChars="0"/>
        <w:jc w:val="both"/>
        <w:rPr>
          <w:rFonts w:ascii="Times New Roman" w:eastAsia="標楷體" w:hAnsi="Times New Roman"/>
          <w:sz w:val="28"/>
          <w:szCs w:val="28"/>
        </w:rPr>
      </w:pPr>
      <w:r w:rsidRPr="005E758A">
        <w:rPr>
          <w:rFonts w:ascii="Times New Roman" w:eastAsia="標楷體" w:hAnsi="Times New Roman"/>
          <w:sz w:val="28"/>
          <w:szCs w:val="28"/>
        </w:rPr>
        <w:t>針對所有利益</w:t>
      </w:r>
      <w:proofErr w:type="gramStart"/>
      <w:r w:rsidRPr="005E758A">
        <w:rPr>
          <w:rFonts w:ascii="Times New Roman" w:eastAsia="標楷體" w:hAnsi="Times New Roman"/>
          <w:sz w:val="28"/>
          <w:szCs w:val="28"/>
        </w:rPr>
        <w:t>攸</w:t>
      </w:r>
      <w:proofErr w:type="gramEnd"/>
      <w:r w:rsidRPr="005E758A">
        <w:rPr>
          <w:rFonts w:ascii="Times New Roman" w:eastAsia="標楷體" w:hAnsi="Times New Roman"/>
          <w:sz w:val="28"/>
          <w:szCs w:val="28"/>
        </w:rPr>
        <w:t>關之人及機構：</w:t>
      </w:r>
    </w:p>
    <w:p w14:paraId="23700D51" w14:textId="77777777" w:rsidR="00043D86" w:rsidRPr="005E758A" w:rsidRDefault="00043D86" w:rsidP="00F02A5C">
      <w:pPr>
        <w:pStyle w:val="a0"/>
        <w:numPr>
          <w:ilvl w:val="0"/>
          <w:numId w:val="154"/>
        </w:numPr>
        <w:snapToGrid w:val="0"/>
        <w:ind w:leftChars="0" w:left="993"/>
        <w:rPr>
          <w:rFonts w:ascii="Times New Roman" w:eastAsia="標楷體" w:hAnsi="Times New Roman"/>
          <w:sz w:val="28"/>
          <w:szCs w:val="28"/>
        </w:rPr>
      </w:pPr>
      <w:r w:rsidRPr="005E758A">
        <w:rPr>
          <w:rFonts w:ascii="Times New Roman" w:eastAsia="標楷體" w:hAnsi="Times New Roman"/>
          <w:sz w:val="28"/>
          <w:szCs w:val="28"/>
        </w:rPr>
        <w:t>反對一切縱容對兒童施暴的態度或觀念，包括關於性別、種族、膚色、宗教、民族或社會出身、身心障礙或其不平等的</w:t>
      </w:r>
      <w:r w:rsidRPr="005E758A">
        <w:rPr>
          <w:rFonts w:ascii="Times New Roman" w:eastAsia="標楷體" w:hAnsi="Times New Roman"/>
          <w:sz w:val="28"/>
          <w:szCs w:val="28"/>
        </w:rPr>
        <w:lastRenderedPageBreak/>
        <w:t>觀念；</w:t>
      </w:r>
    </w:p>
    <w:p w14:paraId="1CBBAF26" w14:textId="77777777" w:rsidR="00043D86" w:rsidRPr="005E758A" w:rsidRDefault="00043D86" w:rsidP="00F02A5C">
      <w:pPr>
        <w:pStyle w:val="a0"/>
        <w:numPr>
          <w:ilvl w:val="0"/>
          <w:numId w:val="154"/>
        </w:numPr>
        <w:snapToGrid w:val="0"/>
        <w:ind w:leftChars="0" w:left="993"/>
        <w:rPr>
          <w:rFonts w:ascii="Times New Roman" w:eastAsia="標楷體" w:hAnsi="Times New Roman"/>
          <w:sz w:val="28"/>
          <w:szCs w:val="28"/>
        </w:rPr>
      </w:pPr>
      <w:r w:rsidRPr="005E758A">
        <w:rPr>
          <w:rFonts w:ascii="Times New Roman" w:eastAsia="標楷體" w:hAnsi="Times New Roman"/>
          <w:sz w:val="28"/>
          <w:szCs w:val="28"/>
        </w:rPr>
        <w:t>透過媒體傳播資訊的力量，向大眾傳達公約的理念；</w:t>
      </w:r>
    </w:p>
    <w:p w14:paraId="673B0CA9" w14:textId="77777777" w:rsidR="00043D86" w:rsidRPr="005E758A" w:rsidRDefault="00043D86" w:rsidP="00F02A5C">
      <w:pPr>
        <w:pStyle w:val="a0"/>
        <w:numPr>
          <w:ilvl w:val="0"/>
          <w:numId w:val="154"/>
        </w:numPr>
        <w:snapToGrid w:val="0"/>
        <w:ind w:leftChars="0" w:left="993"/>
        <w:rPr>
          <w:rFonts w:ascii="Times New Roman" w:eastAsia="標楷體" w:hAnsi="Times New Roman"/>
          <w:sz w:val="28"/>
          <w:szCs w:val="28"/>
        </w:rPr>
      </w:pPr>
      <w:r w:rsidRPr="005E758A">
        <w:rPr>
          <w:rFonts w:ascii="Times New Roman" w:eastAsia="標楷體" w:hAnsi="Times New Roman"/>
          <w:sz w:val="28"/>
          <w:szCs w:val="28"/>
        </w:rPr>
        <w:t>藉由民間組織、媒體，或包括與兒童本身合作的方式達成目標；</w:t>
      </w:r>
    </w:p>
    <w:p w14:paraId="5F6190A6" w14:textId="77777777" w:rsidR="00043D86" w:rsidRPr="005E758A" w:rsidRDefault="00043D86" w:rsidP="005E758A">
      <w:pPr>
        <w:pStyle w:val="a0"/>
        <w:numPr>
          <w:ilvl w:val="0"/>
          <w:numId w:val="156"/>
        </w:numPr>
        <w:snapToGrid w:val="0"/>
        <w:spacing w:before="100" w:beforeAutospacing="1" w:after="100" w:afterAutospacing="1"/>
        <w:ind w:leftChars="0"/>
        <w:jc w:val="both"/>
        <w:rPr>
          <w:rFonts w:ascii="Times New Roman" w:eastAsia="標楷體" w:hAnsi="Times New Roman"/>
          <w:sz w:val="28"/>
          <w:szCs w:val="28"/>
        </w:rPr>
      </w:pPr>
      <w:r w:rsidRPr="005E758A">
        <w:rPr>
          <w:rFonts w:ascii="Times New Roman" w:eastAsia="標楷體" w:hAnsi="Times New Roman"/>
          <w:sz w:val="28"/>
          <w:szCs w:val="28"/>
        </w:rPr>
        <w:t>針對兒童，國家應</w:t>
      </w:r>
    </w:p>
    <w:p w14:paraId="3CF727AA" w14:textId="77777777" w:rsidR="00043D86" w:rsidRPr="005E758A" w:rsidRDefault="00043D86" w:rsidP="005E758A">
      <w:pPr>
        <w:pStyle w:val="a0"/>
        <w:numPr>
          <w:ilvl w:val="0"/>
          <w:numId w:val="154"/>
        </w:numPr>
        <w:snapToGrid w:val="0"/>
        <w:ind w:leftChars="0" w:left="993"/>
        <w:jc w:val="both"/>
        <w:rPr>
          <w:rFonts w:ascii="Times New Roman" w:eastAsia="標楷體" w:hAnsi="Times New Roman"/>
          <w:sz w:val="28"/>
          <w:szCs w:val="28"/>
        </w:rPr>
      </w:pPr>
      <w:r w:rsidRPr="005E758A">
        <w:rPr>
          <w:rFonts w:ascii="Times New Roman" w:eastAsia="標楷體" w:hAnsi="Times New Roman"/>
          <w:sz w:val="28"/>
          <w:szCs w:val="28"/>
        </w:rPr>
        <w:t>確保所有兒童獲得身分登記，便於他們利用及接受各種國家福利措施及進行救濟的管道；</w:t>
      </w:r>
    </w:p>
    <w:p w14:paraId="70B98C28" w14:textId="77777777" w:rsidR="00043D86" w:rsidRPr="005E758A" w:rsidRDefault="00043D86" w:rsidP="005E758A">
      <w:pPr>
        <w:pStyle w:val="a0"/>
        <w:numPr>
          <w:ilvl w:val="0"/>
          <w:numId w:val="154"/>
        </w:numPr>
        <w:snapToGrid w:val="0"/>
        <w:ind w:leftChars="0" w:left="993"/>
        <w:jc w:val="both"/>
        <w:rPr>
          <w:rFonts w:ascii="Times New Roman" w:eastAsia="標楷體" w:hAnsi="Times New Roman"/>
          <w:sz w:val="28"/>
          <w:szCs w:val="28"/>
        </w:rPr>
      </w:pPr>
      <w:r w:rsidRPr="005E758A">
        <w:rPr>
          <w:rFonts w:ascii="Times New Roman" w:eastAsia="標楷體" w:hAnsi="Times New Roman"/>
          <w:sz w:val="28"/>
          <w:szCs w:val="28"/>
        </w:rPr>
        <w:t>使兒童能充分認識符合其年齡能保護自身權利之策略、增強其對自身權利的意識與認知，從而使兒童具備保護自己及其同伴的能力；</w:t>
      </w:r>
    </w:p>
    <w:p w14:paraId="1942CDD9" w14:textId="77777777" w:rsidR="00043D86" w:rsidRPr="005E758A" w:rsidRDefault="00043D86" w:rsidP="005E758A">
      <w:pPr>
        <w:pStyle w:val="a0"/>
        <w:numPr>
          <w:ilvl w:val="0"/>
          <w:numId w:val="154"/>
        </w:numPr>
        <w:snapToGrid w:val="0"/>
        <w:ind w:leftChars="0" w:left="993"/>
        <w:jc w:val="both"/>
        <w:rPr>
          <w:rFonts w:ascii="Times New Roman" w:eastAsia="標楷體" w:hAnsi="Times New Roman"/>
          <w:sz w:val="28"/>
          <w:szCs w:val="28"/>
        </w:rPr>
      </w:pPr>
      <w:r w:rsidRPr="005E758A">
        <w:rPr>
          <w:rFonts w:ascii="Times New Roman" w:eastAsia="標楷體" w:hAnsi="Times New Roman"/>
          <w:sz w:val="28"/>
          <w:szCs w:val="28"/>
        </w:rPr>
        <w:t>就有需要特殊照護的兒童，發展「輔導」方案，使他們除了父母外，還有其他可信賴的成人持續的參與其成長過程。</w:t>
      </w:r>
    </w:p>
    <w:p w14:paraId="32DFC64A" w14:textId="77777777" w:rsidR="00043D86" w:rsidRPr="005E758A" w:rsidRDefault="00043D86" w:rsidP="005E758A">
      <w:pPr>
        <w:pStyle w:val="a0"/>
        <w:numPr>
          <w:ilvl w:val="0"/>
          <w:numId w:val="156"/>
        </w:numPr>
        <w:snapToGrid w:val="0"/>
        <w:spacing w:before="100" w:beforeAutospacing="1" w:after="100" w:afterAutospacing="1"/>
        <w:ind w:leftChars="0"/>
        <w:jc w:val="both"/>
        <w:rPr>
          <w:rFonts w:ascii="Times New Roman" w:eastAsia="標楷體" w:hAnsi="Times New Roman"/>
          <w:sz w:val="28"/>
          <w:szCs w:val="28"/>
        </w:rPr>
      </w:pPr>
      <w:r w:rsidRPr="005E758A">
        <w:rPr>
          <w:rFonts w:ascii="Times New Roman" w:eastAsia="標楷體" w:hAnsi="Times New Roman"/>
          <w:sz w:val="28"/>
          <w:szCs w:val="28"/>
        </w:rPr>
        <w:t>針對家庭和社區，國家應</w:t>
      </w:r>
    </w:p>
    <w:p w14:paraId="4DC6D129" w14:textId="77777777" w:rsidR="00043D86" w:rsidRPr="005E758A" w:rsidRDefault="00043D86" w:rsidP="005E758A">
      <w:pPr>
        <w:pStyle w:val="a0"/>
        <w:numPr>
          <w:ilvl w:val="0"/>
          <w:numId w:val="154"/>
        </w:numPr>
        <w:snapToGrid w:val="0"/>
        <w:ind w:leftChars="0" w:left="993"/>
        <w:jc w:val="both"/>
        <w:rPr>
          <w:rFonts w:ascii="Times New Roman" w:eastAsia="標楷體" w:hAnsi="Times New Roman"/>
          <w:sz w:val="28"/>
          <w:szCs w:val="28"/>
        </w:rPr>
      </w:pPr>
      <w:r w:rsidRPr="005E758A">
        <w:rPr>
          <w:rFonts w:ascii="Times New Roman" w:eastAsia="標楷體" w:hAnsi="Times New Roman"/>
          <w:sz w:val="28"/>
          <w:szCs w:val="28"/>
        </w:rPr>
        <w:t>協助父母和照顧者理解、認同並基於對兒童權利、兒童發展及積極的管教方法，實施撫養方式。</w:t>
      </w:r>
    </w:p>
    <w:p w14:paraId="5F52E849" w14:textId="77777777" w:rsidR="00043D86" w:rsidRPr="005E758A" w:rsidRDefault="00043D86" w:rsidP="005E758A">
      <w:pPr>
        <w:pStyle w:val="a0"/>
        <w:numPr>
          <w:ilvl w:val="0"/>
          <w:numId w:val="154"/>
        </w:numPr>
        <w:snapToGrid w:val="0"/>
        <w:ind w:leftChars="0" w:left="993"/>
        <w:jc w:val="both"/>
        <w:rPr>
          <w:rFonts w:ascii="Times New Roman" w:eastAsia="標楷體" w:hAnsi="Times New Roman"/>
          <w:sz w:val="28"/>
          <w:szCs w:val="28"/>
        </w:rPr>
      </w:pPr>
      <w:r w:rsidRPr="005E758A">
        <w:rPr>
          <w:rFonts w:ascii="Times New Roman" w:eastAsia="標楷體" w:hAnsi="Times New Roman"/>
          <w:sz w:val="28"/>
          <w:szCs w:val="28"/>
        </w:rPr>
        <w:t>提供產前產後服務、家庭訪視服務並協助弱勢家庭，提供其增加收入之方案；</w:t>
      </w:r>
    </w:p>
    <w:p w14:paraId="0AA622EC" w14:textId="77777777" w:rsidR="00043D86" w:rsidRPr="005E758A" w:rsidRDefault="00043D86" w:rsidP="005E758A">
      <w:pPr>
        <w:pStyle w:val="a0"/>
        <w:numPr>
          <w:ilvl w:val="0"/>
          <w:numId w:val="154"/>
        </w:numPr>
        <w:snapToGrid w:val="0"/>
        <w:ind w:leftChars="0" w:left="993"/>
        <w:jc w:val="both"/>
        <w:rPr>
          <w:rFonts w:ascii="Times New Roman" w:eastAsia="標楷體" w:hAnsi="Times New Roman"/>
          <w:sz w:val="28"/>
          <w:szCs w:val="28"/>
        </w:rPr>
      </w:pPr>
      <w:r w:rsidRPr="005E758A">
        <w:rPr>
          <w:rFonts w:ascii="Times New Roman" w:eastAsia="標楷體" w:hAnsi="Times New Roman"/>
          <w:sz w:val="28"/>
          <w:szCs w:val="28"/>
        </w:rPr>
        <w:t>加強醫療方面之服務、毒品治療和兒童保護服務之間的聯繫；</w:t>
      </w:r>
    </w:p>
    <w:p w14:paraId="22966884" w14:textId="77777777" w:rsidR="00043D86" w:rsidRPr="005E758A" w:rsidRDefault="00043D86" w:rsidP="005E758A">
      <w:pPr>
        <w:pStyle w:val="a0"/>
        <w:numPr>
          <w:ilvl w:val="0"/>
          <w:numId w:val="154"/>
        </w:numPr>
        <w:snapToGrid w:val="0"/>
        <w:ind w:leftChars="0" w:left="993"/>
        <w:jc w:val="both"/>
        <w:rPr>
          <w:rFonts w:ascii="Times New Roman" w:eastAsia="標楷體" w:hAnsi="Times New Roman"/>
          <w:sz w:val="28"/>
          <w:szCs w:val="28"/>
        </w:rPr>
      </w:pPr>
      <w:r w:rsidRPr="005E758A">
        <w:rPr>
          <w:rFonts w:ascii="Times New Roman" w:eastAsia="標楷體" w:hAnsi="Times New Roman"/>
          <w:sz w:val="28"/>
          <w:szCs w:val="28"/>
        </w:rPr>
        <w:t>為處境特別困難的家庭提供臨時方案和家庭支援中心服務；</w:t>
      </w:r>
    </w:p>
    <w:p w14:paraId="7F344CF1" w14:textId="77777777" w:rsidR="00043D86" w:rsidRPr="005E758A" w:rsidRDefault="00043D86" w:rsidP="005E758A">
      <w:pPr>
        <w:pStyle w:val="a0"/>
        <w:numPr>
          <w:ilvl w:val="0"/>
          <w:numId w:val="156"/>
        </w:numPr>
        <w:snapToGrid w:val="0"/>
        <w:spacing w:before="100" w:beforeAutospacing="1" w:after="100" w:afterAutospacing="1"/>
        <w:ind w:leftChars="0"/>
        <w:jc w:val="both"/>
        <w:rPr>
          <w:rFonts w:ascii="Times New Roman" w:eastAsia="標楷體" w:hAnsi="Times New Roman"/>
          <w:sz w:val="28"/>
          <w:szCs w:val="28"/>
        </w:rPr>
      </w:pPr>
      <w:r w:rsidRPr="005E758A">
        <w:rPr>
          <w:rFonts w:ascii="Times New Roman" w:eastAsia="標楷體" w:hAnsi="Times New Roman"/>
          <w:sz w:val="28"/>
          <w:szCs w:val="28"/>
        </w:rPr>
        <w:t>針對專業人員和機構（政府和民間社會），國家應</w:t>
      </w:r>
    </w:p>
    <w:p w14:paraId="1478B436" w14:textId="77777777" w:rsidR="00043D86" w:rsidRPr="005E758A" w:rsidRDefault="00043D86" w:rsidP="005E758A">
      <w:pPr>
        <w:pStyle w:val="a0"/>
        <w:numPr>
          <w:ilvl w:val="0"/>
          <w:numId w:val="154"/>
        </w:numPr>
        <w:snapToGrid w:val="0"/>
        <w:ind w:leftChars="0" w:left="993"/>
        <w:jc w:val="both"/>
        <w:rPr>
          <w:rFonts w:ascii="Times New Roman" w:eastAsia="標楷體" w:hAnsi="Times New Roman"/>
          <w:sz w:val="28"/>
          <w:szCs w:val="28"/>
        </w:rPr>
      </w:pPr>
      <w:r w:rsidRPr="005E758A">
        <w:rPr>
          <w:rFonts w:ascii="Times New Roman" w:eastAsia="標楷體" w:hAnsi="Times New Roman"/>
          <w:sz w:val="28"/>
          <w:szCs w:val="28"/>
        </w:rPr>
        <w:t>以研究結果與數據資料做為政策及事物之參考；</w:t>
      </w:r>
    </w:p>
    <w:p w14:paraId="75A63C6D" w14:textId="77777777" w:rsidR="00043D86" w:rsidRPr="005E758A" w:rsidRDefault="00043D86" w:rsidP="005E758A">
      <w:pPr>
        <w:pStyle w:val="a0"/>
        <w:numPr>
          <w:ilvl w:val="0"/>
          <w:numId w:val="154"/>
        </w:numPr>
        <w:snapToGrid w:val="0"/>
        <w:ind w:leftChars="0" w:left="993"/>
        <w:jc w:val="both"/>
        <w:rPr>
          <w:rFonts w:ascii="Times New Roman" w:eastAsia="標楷體" w:hAnsi="Times New Roman"/>
          <w:sz w:val="28"/>
          <w:szCs w:val="28"/>
        </w:rPr>
      </w:pPr>
      <w:r w:rsidRPr="005E758A">
        <w:rPr>
          <w:rFonts w:ascii="Times New Roman" w:eastAsia="標楷體" w:hAnsi="Times New Roman"/>
          <w:sz w:val="28"/>
          <w:szCs w:val="28"/>
        </w:rPr>
        <w:t>實施兒童保護政策、及專業倫理規範；</w:t>
      </w:r>
    </w:p>
    <w:p w14:paraId="05692660" w14:textId="77777777" w:rsidR="00043D86" w:rsidRPr="005E758A" w:rsidRDefault="00043D86" w:rsidP="005E758A">
      <w:pPr>
        <w:pStyle w:val="a0"/>
        <w:numPr>
          <w:ilvl w:val="0"/>
          <w:numId w:val="154"/>
        </w:numPr>
        <w:snapToGrid w:val="0"/>
        <w:ind w:leftChars="0" w:left="993"/>
        <w:jc w:val="both"/>
        <w:rPr>
          <w:rFonts w:ascii="Times New Roman" w:eastAsia="標楷體" w:hAnsi="Times New Roman"/>
          <w:sz w:val="28"/>
          <w:szCs w:val="28"/>
        </w:rPr>
      </w:pPr>
      <w:r w:rsidRPr="005E758A">
        <w:rPr>
          <w:rFonts w:ascii="Times New Roman" w:eastAsia="標楷體" w:hAnsi="Times New Roman"/>
          <w:sz w:val="28"/>
          <w:szCs w:val="28"/>
        </w:rPr>
        <w:t>防止機構內及司法程序中之暴力。安置應為最後之手段，且只有在符合兒童最大利益時始得採用。</w:t>
      </w:r>
    </w:p>
    <w:p w14:paraId="2DF1DF42" w14:textId="77777777" w:rsidR="00043D86" w:rsidRPr="005E758A" w:rsidRDefault="00043D86" w:rsidP="00043D86">
      <w:pPr>
        <w:pStyle w:val="a0"/>
        <w:snapToGrid w:val="0"/>
        <w:spacing w:before="100" w:beforeAutospacing="1" w:after="100" w:afterAutospacing="1"/>
        <w:ind w:leftChars="0" w:left="0" w:firstLineChars="200" w:firstLine="560"/>
        <w:jc w:val="both"/>
        <w:rPr>
          <w:rFonts w:ascii="Times New Roman" w:eastAsia="標楷體" w:hAnsi="Times New Roman"/>
          <w:sz w:val="28"/>
          <w:szCs w:val="28"/>
        </w:rPr>
      </w:pPr>
      <w:r w:rsidRPr="005E758A">
        <w:rPr>
          <w:rFonts w:ascii="Times New Roman" w:eastAsia="標楷體" w:hAnsi="Times New Roman"/>
          <w:sz w:val="28"/>
          <w:szCs w:val="28"/>
        </w:rPr>
        <w:t>除前述的預防性措施外，兒童權利委員會亦針對「辨識處於高風險之兒童及族群」、「通報」、「轉</w:t>
      </w:r>
      <w:proofErr w:type="gramStart"/>
      <w:r w:rsidRPr="005E758A">
        <w:rPr>
          <w:rFonts w:ascii="Times New Roman" w:eastAsia="標楷體" w:hAnsi="Times New Roman"/>
          <w:sz w:val="28"/>
          <w:szCs w:val="28"/>
        </w:rPr>
        <w:t>介</w:t>
      </w:r>
      <w:proofErr w:type="gramEnd"/>
      <w:r w:rsidRPr="005E758A">
        <w:rPr>
          <w:rFonts w:ascii="Times New Roman" w:eastAsia="標楷體" w:hAnsi="Times New Roman"/>
          <w:sz w:val="28"/>
          <w:szCs w:val="28"/>
        </w:rPr>
        <w:t>」、「調查」、「治療」、「後續追蹤」、「司法參與」等流程提供說明。</w:t>
      </w:r>
      <w:r w:rsidRPr="005E758A">
        <w:rPr>
          <w:rStyle w:val="af3"/>
          <w:rFonts w:ascii="Times New Roman" w:eastAsia="標楷體" w:hAnsi="Times New Roman"/>
        </w:rPr>
        <w:endnoteReference w:id="253"/>
      </w:r>
    </w:p>
    <w:p w14:paraId="330EAB2A" w14:textId="77777777" w:rsidR="00043D86" w:rsidRPr="005E758A" w:rsidRDefault="00043D86" w:rsidP="00F02A5C">
      <w:pPr>
        <w:pStyle w:val="a0"/>
        <w:numPr>
          <w:ilvl w:val="0"/>
          <w:numId w:val="157"/>
        </w:numPr>
        <w:snapToGrid w:val="0"/>
        <w:spacing w:before="100" w:beforeAutospacing="1" w:after="100" w:afterAutospacing="1"/>
        <w:ind w:leftChars="0"/>
        <w:jc w:val="both"/>
        <w:rPr>
          <w:rFonts w:ascii="Times New Roman" w:eastAsia="標楷體" w:hAnsi="Times New Roman"/>
          <w:sz w:val="28"/>
          <w:szCs w:val="28"/>
        </w:rPr>
      </w:pPr>
      <w:r w:rsidRPr="005E758A">
        <w:rPr>
          <w:rFonts w:ascii="Times New Roman" w:eastAsia="標楷體" w:hAnsi="Times New Roman"/>
          <w:sz w:val="28"/>
          <w:szCs w:val="28"/>
        </w:rPr>
        <w:t>辨識處於高風險之兒童及族群：包括查明特定個人、兒童群體或照料者的風險因素，以便啟動專門預防措施；以及查明實際虐待行為的跡象，以便儘早啟動適當干預措施。</w:t>
      </w:r>
    </w:p>
    <w:p w14:paraId="54C928F9" w14:textId="77777777" w:rsidR="00043D86" w:rsidRPr="005E758A" w:rsidRDefault="00043D86" w:rsidP="00F02A5C">
      <w:pPr>
        <w:pStyle w:val="a0"/>
        <w:numPr>
          <w:ilvl w:val="0"/>
          <w:numId w:val="157"/>
        </w:numPr>
        <w:snapToGrid w:val="0"/>
        <w:spacing w:before="100" w:beforeAutospacing="1" w:after="100" w:afterAutospacing="1"/>
        <w:ind w:leftChars="0"/>
        <w:jc w:val="both"/>
        <w:rPr>
          <w:rFonts w:ascii="Times New Roman" w:eastAsia="標楷體" w:hAnsi="Times New Roman"/>
          <w:sz w:val="28"/>
          <w:szCs w:val="28"/>
        </w:rPr>
      </w:pPr>
      <w:r w:rsidRPr="005E758A">
        <w:rPr>
          <w:rFonts w:ascii="Times New Roman" w:eastAsia="標楷體" w:hAnsi="Times New Roman"/>
          <w:sz w:val="28"/>
          <w:szCs w:val="28"/>
        </w:rPr>
        <w:t>通報：委員會強烈建議所有締約國建立安全、公眾瞭解、保密、可利用的支持機制，讓兒童、其代表及其他人能夠報告</w:t>
      </w:r>
      <w:r w:rsidRPr="005E758A">
        <w:rPr>
          <w:rFonts w:ascii="Times New Roman" w:eastAsia="標楷體" w:hAnsi="Times New Roman"/>
          <w:sz w:val="28"/>
          <w:szCs w:val="28"/>
        </w:rPr>
        <w:lastRenderedPageBreak/>
        <w:t>侵害兒童的暴力行為，包括通過開設</w:t>
      </w:r>
      <w:r w:rsidRPr="005E758A">
        <w:rPr>
          <w:rFonts w:ascii="Times New Roman" w:eastAsia="標楷體" w:hAnsi="Times New Roman"/>
          <w:sz w:val="28"/>
          <w:szCs w:val="28"/>
        </w:rPr>
        <w:t>24</w:t>
      </w:r>
      <w:r w:rsidRPr="005E758A">
        <w:rPr>
          <w:rFonts w:ascii="Times New Roman" w:eastAsia="標楷體" w:hAnsi="Times New Roman"/>
          <w:sz w:val="28"/>
          <w:szCs w:val="28"/>
        </w:rPr>
        <w:t>小時免費熱線及使用其他資訊通信技術等。</w:t>
      </w:r>
    </w:p>
    <w:p w14:paraId="4435B392" w14:textId="77777777" w:rsidR="00043D86" w:rsidRPr="005E758A" w:rsidRDefault="00043D86" w:rsidP="00F02A5C">
      <w:pPr>
        <w:pStyle w:val="a0"/>
        <w:numPr>
          <w:ilvl w:val="0"/>
          <w:numId w:val="157"/>
        </w:numPr>
        <w:snapToGrid w:val="0"/>
        <w:spacing w:before="100" w:beforeAutospacing="1" w:after="100" w:afterAutospacing="1"/>
        <w:ind w:leftChars="0"/>
        <w:jc w:val="both"/>
        <w:rPr>
          <w:rFonts w:ascii="Times New Roman" w:eastAsia="標楷體" w:hAnsi="Times New Roman"/>
          <w:sz w:val="28"/>
          <w:szCs w:val="28"/>
        </w:rPr>
      </w:pPr>
      <w:r w:rsidRPr="005E758A">
        <w:rPr>
          <w:rFonts w:ascii="Times New Roman" w:eastAsia="標楷體" w:hAnsi="Times New Roman"/>
          <w:sz w:val="28"/>
          <w:szCs w:val="28"/>
        </w:rPr>
        <w:t>轉</w:t>
      </w:r>
      <w:proofErr w:type="gramStart"/>
      <w:r w:rsidRPr="005E758A">
        <w:rPr>
          <w:rFonts w:ascii="Times New Roman" w:eastAsia="標楷體" w:hAnsi="Times New Roman"/>
          <w:sz w:val="28"/>
          <w:szCs w:val="28"/>
        </w:rPr>
        <w:t>介</w:t>
      </w:r>
      <w:proofErr w:type="gramEnd"/>
      <w:r w:rsidRPr="005E758A">
        <w:rPr>
          <w:rFonts w:ascii="Times New Roman" w:eastAsia="標楷體" w:hAnsi="Times New Roman"/>
          <w:sz w:val="28"/>
          <w:szCs w:val="28"/>
        </w:rPr>
        <w:t>：應為接收報告的人員提供明確的指導和培訓，使其瞭解何時及如何將有關問題轉</w:t>
      </w:r>
      <w:proofErr w:type="gramStart"/>
      <w:r w:rsidRPr="005E758A">
        <w:rPr>
          <w:rFonts w:ascii="Times New Roman" w:eastAsia="標楷體" w:hAnsi="Times New Roman"/>
          <w:sz w:val="28"/>
          <w:szCs w:val="28"/>
        </w:rPr>
        <w:t>介</w:t>
      </w:r>
      <w:proofErr w:type="gramEnd"/>
      <w:r w:rsidRPr="005E758A">
        <w:rPr>
          <w:rFonts w:ascii="Times New Roman" w:eastAsia="標楷體" w:hAnsi="Times New Roman"/>
          <w:sz w:val="28"/>
          <w:szCs w:val="28"/>
        </w:rPr>
        <w:t>負責協調應對的機構。</w:t>
      </w:r>
    </w:p>
    <w:p w14:paraId="5B36BD15" w14:textId="77777777" w:rsidR="00043D86" w:rsidRPr="005E758A" w:rsidRDefault="00043D86" w:rsidP="00F02A5C">
      <w:pPr>
        <w:pStyle w:val="a0"/>
        <w:numPr>
          <w:ilvl w:val="0"/>
          <w:numId w:val="157"/>
        </w:numPr>
        <w:snapToGrid w:val="0"/>
        <w:spacing w:before="100" w:beforeAutospacing="1" w:after="100" w:afterAutospacing="1"/>
        <w:ind w:leftChars="0"/>
        <w:jc w:val="both"/>
        <w:rPr>
          <w:rFonts w:ascii="Times New Roman" w:eastAsia="標楷體" w:hAnsi="Times New Roman"/>
          <w:sz w:val="28"/>
          <w:szCs w:val="28"/>
        </w:rPr>
      </w:pPr>
      <w:r w:rsidRPr="005E758A">
        <w:rPr>
          <w:rFonts w:ascii="Times New Roman" w:eastAsia="標楷體" w:hAnsi="Times New Roman"/>
          <w:sz w:val="28"/>
          <w:szCs w:val="28"/>
        </w:rPr>
        <w:t>調查：無論是兒童、其代表還是外部某一當事方報告的暴力事件，都必須由接受過全面專門培訓的合格專業人員開展調查，且工作方式嚴格且兒童著想的調查程式有助於確保及查明暴力事件，並為行政、民事、兒童保護及刑事程序等提供證據。</w:t>
      </w:r>
    </w:p>
    <w:p w14:paraId="5E00AEAF" w14:textId="77777777" w:rsidR="00043D86" w:rsidRPr="005E758A" w:rsidRDefault="00043D86" w:rsidP="00F02A5C">
      <w:pPr>
        <w:pStyle w:val="a0"/>
        <w:numPr>
          <w:ilvl w:val="0"/>
          <w:numId w:val="157"/>
        </w:numPr>
        <w:snapToGrid w:val="0"/>
        <w:spacing w:before="100" w:beforeAutospacing="1" w:after="100" w:afterAutospacing="1"/>
        <w:ind w:leftChars="0"/>
        <w:jc w:val="both"/>
        <w:rPr>
          <w:rFonts w:ascii="Times New Roman" w:eastAsia="標楷體" w:hAnsi="Times New Roman"/>
          <w:sz w:val="28"/>
          <w:szCs w:val="28"/>
        </w:rPr>
      </w:pPr>
      <w:r w:rsidRPr="005E758A">
        <w:rPr>
          <w:rFonts w:ascii="Times New Roman" w:eastAsia="標楷體" w:hAnsi="Times New Roman"/>
          <w:sz w:val="28"/>
          <w:szCs w:val="28"/>
        </w:rPr>
        <w:t>治療：遭受暴力的兒童「身心得以康復並重返社會」需要多種服務，「治療」是其中之一。</w:t>
      </w:r>
    </w:p>
    <w:p w14:paraId="5B3A6A88" w14:textId="77777777" w:rsidR="00043D86" w:rsidRPr="005E758A" w:rsidRDefault="00043D86" w:rsidP="00F02A5C">
      <w:pPr>
        <w:pStyle w:val="a0"/>
        <w:numPr>
          <w:ilvl w:val="0"/>
          <w:numId w:val="157"/>
        </w:numPr>
        <w:snapToGrid w:val="0"/>
        <w:spacing w:before="100" w:beforeAutospacing="1" w:after="100" w:afterAutospacing="1"/>
        <w:ind w:leftChars="0"/>
        <w:jc w:val="both"/>
        <w:rPr>
          <w:rFonts w:ascii="Times New Roman" w:eastAsia="標楷體" w:hAnsi="Times New Roman"/>
          <w:sz w:val="28"/>
          <w:szCs w:val="28"/>
        </w:rPr>
      </w:pPr>
      <w:r w:rsidRPr="005E758A">
        <w:rPr>
          <w:rFonts w:ascii="Times New Roman" w:eastAsia="標楷體" w:hAnsi="Times New Roman"/>
          <w:sz w:val="28"/>
          <w:szCs w:val="28"/>
        </w:rPr>
        <w:t>後續追蹤：必須於上述步驟結束後，進行後續行動。</w:t>
      </w:r>
    </w:p>
    <w:p w14:paraId="6B15C004" w14:textId="77777777" w:rsidR="00043D86" w:rsidRPr="005E758A" w:rsidRDefault="00043D86" w:rsidP="00F02A5C">
      <w:pPr>
        <w:pStyle w:val="a0"/>
        <w:numPr>
          <w:ilvl w:val="0"/>
          <w:numId w:val="157"/>
        </w:numPr>
        <w:snapToGrid w:val="0"/>
        <w:spacing w:before="100" w:beforeAutospacing="1" w:after="100" w:afterAutospacing="1"/>
        <w:ind w:leftChars="0"/>
        <w:jc w:val="both"/>
        <w:rPr>
          <w:rFonts w:ascii="Times New Roman" w:eastAsia="標楷體" w:hAnsi="Times New Roman"/>
          <w:sz w:val="28"/>
          <w:szCs w:val="28"/>
        </w:rPr>
      </w:pPr>
      <w:r w:rsidRPr="005E758A">
        <w:rPr>
          <w:rFonts w:ascii="Times New Roman" w:eastAsia="標楷體" w:hAnsi="Times New Roman"/>
          <w:sz w:val="28"/>
          <w:szCs w:val="28"/>
        </w:rPr>
        <w:t>司法參與：無論何時，處理所有案件都必須尊重正當程序。具體而言，決策的首要目的應為保護涉案兒童、擴展其最佳利益，同時更應考慮視具體情況選擇影響最小的干預手段。</w:t>
      </w:r>
    </w:p>
    <w:p w14:paraId="3C7446C6" w14:textId="77777777" w:rsidR="00043D86" w:rsidRPr="005E758A" w:rsidRDefault="00043D86" w:rsidP="00043D86">
      <w:pPr>
        <w:pStyle w:val="2"/>
      </w:pPr>
      <w:r w:rsidRPr="005E758A">
        <w:t>案例介紹</w:t>
      </w:r>
    </w:p>
    <w:p w14:paraId="53CBF45E" w14:textId="77777777" w:rsidR="00043D86" w:rsidRPr="005E758A" w:rsidRDefault="00043D86" w:rsidP="00F02A5C">
      <w:pPr>
        <w:pStyle w:val="3"/>
        <w:numPr>
          <w:ilvl w:val="0"/>
          <w:numId w:val="158"/>
        </w:numPr>
      </w:pPr>
      <w:r w:rsidRPr="005E758A">
        <w:t>2014</w:t>
      </w:r>
      <w:r w:rsidRPr="005E758A">
        <w:t>年歐洲人權法院</w:t>
      </w:r>
      <w:r w:rsidR="00EA4CCF" w:rsidRPr="005E758A">
        <w:t>教師</w:t>
      </w:r>
      <w:proofErr w:type="gramStart"/>
      <w:r w:rsidRPr="005E758A">
        <w:t>性侵案</w:t>
      </w:r>
      <w:proofErr w:type="gramEnd"/>
      <w:r w:rsidRPr="005E758A">
        <w:t>：</w:t>
      </w:r>
      <w:r w:rsidRPr="005E758A">
        <w:t xml:space="preserve">O’Keeffe </w:t>
      </w:r>
      <w:r w:rsidR="00EA4CCF" w:rsidRPr="005E758A">
        <w:t>v</w:t>
      </w:r>
      <w:r w:rsidRPr="005E758A">
        <w:t>. Ireland</w:t>
      </w:r>
      <w:r w:rsidRPr="005E758A">
        <w:rPr>
          <w:rStyle w:val="af3"/>
        </w:rPr>
        <w:endnoteReference w:id="254"/>
      </w:r>
    </w:p>
    <w:p w14:paraId="526A9D34" w14:textId="77777777" w:rsidR="00043D86" w:rsidRPr="005E758A" w:rsidRDefault="00043D86" w:rsidP="00043D86">
      <w:pPr>
        <w:pStyle w:val="a0"/>
        <w:snapToGrid w:val="0"/>
        <w:spacing w:before="100" w:beforeAutospacing="1" w:after="100" w:afterAutospacing="1"/>
        <w:ind w:leftChars="0" w:left="0" w:firstLineChars="200" w:firstLine="560"/>
        <w:jc w:val="both"/>
        <w:rPr>
          <w:rFonts w:ascii="Times New Roman" w:eastAsia="標楷體" w:hAnsi="Times New Roman"/>
          <w:sz w:val="28"/>
          <w:szCs w:val="28"/>
        </w:rPr>
      </w:pPr>
      <w:r w:rsidRPr="005E758A">
        <w:rPr>
          <w:rFonts w:ascii="Times New Roman" w:eastAsia="標楷體" w:hAnsi="Times New Roman"/>
          <w:sz w:val="28"/>
          <w:szCs w:val="28"/>
        </w:rPr>
        <w:t>本案當事人</w:t>
      </w:r>
      <w:r w:rsidRPr="005E758A">
        <w:rPr>
          <w:rFonts w:ascii="Times New Roman" w:eastAsia="標楷體" w:hAnsi="Times New Roman"/>
          <w:sz w:val="28"/>
          <w:szCs w:val="28"/>
        </w:rPr>
        <w:t>Louise O</w:t>
      </w:r>
      <w:proofErr w:type="gramStart"/>
      <w:r w:rsidRPr="005E758A">
        <w:rPr>
          <w:rFonts w:ascii="Times New Roman" w:eastAsia="標楷體" w:hAnsi="Times New Roman"/>
          <w:sz w:val="28"/>
          <w:szCs w:val="28"/>
        </w:rPr>
        <w:t>’</w:t>
      </w:r>
      <w:proofErr w:type="gramEnd"/>
      <w:r w:rsidRPr="005E758A">
        <w:rPr>
          <w:rFonts w:ascii="Times New Roman" w:eastAsia="標楷體" w:hAnsi="Times New Roman"/>
          <w:sz w:val="28"/>
          <w:szCs w:val="28"/>
        </w:rPr>
        <w:t xml:space="preserve">Keeffe </w:t>
      </w:r>
      <w:r w:rsidRPr="005E758A">
        <w:rPr>
          <w:rFonts w:ascii="Times New Roman" w:eastAsia="標楷體" w:hAnsi="Times New Roman"/>
          <w:sz w:val="28"/>
          <w:szCs w:val="28"/>
        </w:rPr>
        <w:t>為愛爾蘭國民，於</w:t>
      </w:r>
      <w:r w:rsidRPr="005E758A">
        <w:rPr>
          <w:rFonts w:ascii="Times New Roman" w:eastAsia="標楷體" w:hAnsi="Times New Roman"/>
          <w:sz w:val="28"/>
          <w:szCs w:val="28"/>
        </w:rPr>
        <w:t>1973</w:t>
      </w:r>
      <w:r w:rsidRPr="005E758A">
        <w:rPr>
          <w:rFonts w:ascii="Times New Roman" w:eastAsia="標楷體" w:hAnsi="Times New Roman"/>
          <w:sz w:val="28"/>
          <w:szCs w:val="28"/>
        </w:rPr>
        <w:t>年其</w:t>
      </w:r>
      <w:r w:rsidRPr="005E758A">
        <w:rPr>
          <w:rFonts w:ascii="Times New Roman" w:eastAsia="標楷體" w:hAnsi="Times New Roman"/>
          <w:sz w:val="28"/>
          <w:szCs w:val="28"/>
        </w:rPr>
        <w:t>9</w:t>
      </w:r>
      <w:r w:rsidRPr="005E758A">
        <w:rPr>
          <w:rFonts w:ascii="Times New Roman" w:eastAsia="標楷體" w:hAnsi="Times New Roman"/>
          <w:sz w:val="28"/>
          <w:szCs w:val="28"/>
        </w:rPr>
        <w:t>歲時在其就讀的天主教學校遭到教師性侵犯。</w:t>
      </w:r>
      <w:r w:rsidRPr="005E758A">
        <w:rPr>
          <w:rFonts w:ascii="Times New Roman" w:eastAsia="標楷體" w:hAnsi="Times New Roman"/>
          <w:sz w:val="28"/>
          <w:szCs w:val="28"/>
        </w:rPr>
        <w:t>O</w:t>
      </w:r>
      <w:proofErr w:type="gramStart"/>
      <w:r w:rsidRPr="005E758A">
        <w:rPr>
          <w:rFonts w:ascii="Times New Roman" w:eastAsia="標楷體" w:hAnsi="Times New Roman"/>
          <w:sz w:val="28"/>
          <w:szCs w:val="28"/>
        </w:rPr>
        <w:t>’</w:t>
      </w:r>
      <w:proofErr w:type="gramEnd"/>
      <w:r w:rsidRPr="005E758A">
        <w:rPr>
          <w:rFonts w:ascii="Times New Roman" w:eastAsia="標楷體" w:hAnsi="Times New Roman"/>
          <w:sz w:val="28"/>
          <w:szCs w:val="28"/>
        </w:rPr>
        <w:t>Keeffe</w:t>
      </w:r>
      <w:r w:rsidRPr="005E758A">
        <w:rPr>
          <w:rFonts w:ascii="Times New Roman" w:eastAsia="標楷體" w:hAnsi="Times New Roman"/>
          <w:sz w:val="28"/>
          <w:szCs w:val="28"/>
        </w:rPr>
        <w:t>的父母向學校舉發，該名教師因此辭職並至另一所學校擔任教職直到退休。</w:t>
      </w:r>
      <w:r w:rsidRPr="005E758A">
        <w:rPr>
          <w:rFonts w:ascii="Times New Roman" w:eastAsia="標楷體" w:hAnsi="Times New Roman"/>
          <w:sz w:val="28"/>
          <w:szCs w:val="28"/>
        </w:rPr>
        <w:t>1996</w:t>
      </w:r>
      <w:r w:rsidRPr="005E758A">
        <w:rPr>
          <w:rFonts w:ascii="Times New Roman" w:eastAsia="標楷體" w:hAnsi="Times New Roman"/>
          <w:sz w:val="28"/>
          <w:szCs w:val="28"/>
        </w:rPr>
        <w:t>年，該名教師因侵犯</w:t>
      </w:r>
      <w:r w:rsidRPr="005E758A">
        <w:rPr>
          <w:rFonts w:ascii="Times New Roman" w:eastAsia="標楷體" w:hAnsi="Times New Roman"/>
          <w:sz w:val="28"/>
          <w:szCs w:val="28"/>
        </w:rPr>
        <w:t>21</w:t>
      </w:r>
      <w:r w:rsidRPr="005E758A">
        <w:rPr>
          <w:rFonts w:ascii="Times New Roman" w:eastAsia="標楷體" w:hAnsi="Times New Roman"/>
          <w:sz w:val="28"/>
          <w:szCs w:val="28"/>
        </w:rPr>
        <w:t>名學生被控</w:t>
      </w:r>
      <w:r w:rsidRPr="005E758A">
        <w:rPr>
          <w:rFonts w:ascii="Times New Roman" w:eastAsia="標楷體" w:hAnsi="Times New Roman"/>
          <w:sz w:val="28"/>
          <w:szCs w:val="28"/>
        </w:rPr>
        <w:t>386</w:t>
      </w:r>
      <w:r w:rsidRPr="005E758A">
        <w:rPr>
          <w:rFonts w:ascii="Times New Roman" w:eastAsia="標楷體" w:hAnsi="Times New Roman"/>
          <w:sz w:val="28"/>
          <w:szCs w:val="28"/>
        </w:rPr>
        <w:t>件刑事犯罪，嗣後他承認其中</w:t>
      </w:r>
      <w:r w:rsidRPr="005E758A">
        <w:rPr>
          <w:rFonts w:ascii="Times New Roman" w:eastAsia="標楷體" w:hAnsi="Times New Roman"/>
          <w:sz w:val="28"/>
          <w:szCs w:val="28"/>
        </w:rPr>
        <w:t>21</w:t>
      </w:r>
      <w:r w:rsidRPr="005E758A">
        <w:rPr>
          <w:rFonts w:ascii="Times New Roman" w:eastAsia="標楷體" w:hAnsi="Times New Roman"/>
          <w:sz w:val="28"/>
          <w:szCs w:val="28"/>
        </w:rPr>
        <w:t>項指控並被判處徒刑。</w:t>
      </w:r>
    </w:p>
    <w:p w14:paraId="5F1DB2AC" w14:textId="77777777" w:rsidR="00043D86" w:rsidRPr="005E758A" w:rsidRDefault="00043D86" w:rsidP="00043D86">
      <w:pPr>
        <w:pStyle w:val="a0"/>
        <w:snapToGrid w:val="0"/>
        <w:spacing w:before="100" w:beforeAutospacing="1" w:after="100" w:afterAutospacing="1"/>
        <w:ind w:leftChars="0" w:left="0" w:firstLineChars="200" w:firstLine="560"/>
        <w:jc w:val="both"/>
        <w:rPr>
          <w:rFonts w:ascii="Times New Roman" w:eastAsia="標楷體" w:hAnsi="Times New Roman"/>
          <w:sz w:val="28"/>
          <w:szCs w:val="28"/>
        </w:rPr>
      </w:pPr>
      <w:r w:rsidRPr="005E758A">
        <w:rPr>
          <w:rFonts w:ascii="Times New Roman" w:eastAsia="標楷體" w:hAnsi="Times New Roman"/>
          <w:sz w:val="28"/>
          <w:szCs w:val="28"/>
        </w:rPr>
        <w:t>O</w:t>
      </w:r>
      <w:proofErr w:type="gramStart"/>
      <w:r w:rsidRPr="005E758A">
        <w:rPr>
          <w:rFonts w:ascii="Times New Roman" w:eastAsia="標楷體" w:hAnsi="Times New Roman"/>
          <w:sz w:val="28"/>
          <w:szCs w:val="28"/>
        </w:rPr>
        <w:t>’</w:t>
      </w:r>
      <w:proofErr w:type="gramEnd"/>
      <w:r w:rsidRPr="005E758A">
        <w:rPr>
          <w:rFonts w:ascii="Times New Roman" w:eastAsia="標楷體" w:hAnsi="Times New Roman"/>
          <w:sz w:val="28"/>
          <w:szCs w:val="28"/>
        </w:rPr>
        <w:t>Keeffe</w:t>
      </w:r>
      <w:r w:rsidRPr="005E758A">
        <w:rPr>
          <w:rFonts w:ascii="Times New Roman" w:eastAsia="標楷體" w:hAnsi="Times New Roman"/>
          <w:sz w:val="28"/>
          <w:szCs w:val="28"/>
        </w:rPr>
        <w:t>其後在愛爾蘭法院對犯罪行為人提起的民事訴訟獲得勝訴，但愛爾蘭政府否認其必須為這</w:t>
      </w:r>
      <w:proofErr w:type="gramStart"/>
      <w:r w:rsidRPr="005E758A">
        <w:rPr>
          <w:rFonts w:ascii="Times New Roman" w:eastAsia="標楷體" w:hAnsi="Times New Roman"/>
          <w:sz w:val="28"/>
          <w:szCs w:val="28"/>
        </w:rPr>
        <w:t>件性侵犯罪負轉</w:t>
      </w:r>
      <w:proofErr w:type="gramEnd"/>
      <w:r w:rsidRPr="005E758A">
        <w:rPr>
          <w:rFonts w:ascii="Times New Roman" w:eastAsia="標楷體" w:hAnsi="Times New Roman"/>
          <w:sz w:val="28"/>
          <w:szCs w:val="28"/>
        </w:rPr>
        <w:t>承責任</w:t>
      </w:r>
      <w:r w:rsidR="00EA4CCF" w:rsidRPr="005E758A">
        <w:rPr>
          <w:rFonts w:ascii="Times New Roman" w:eastAsia="標楷體" w:hAnsi="Times New Roman"/>
          <w:sz w:val="28"/>
          <w:szCs w:val="28"/>
        </w:rPr>
        <w:t>(</w:t>
      </w:r>
      <w:r w:rsidRPr="005E758A">
        <w:rPr>
          <w:rFonts w:ascii="Times New Roman" w:eastAsia="標楷體" w:hAnsi="Times New Roman"/>
          <w:sz w:val="28"/>
          <w:szCs w:val="28"/>
        </w:rPr>
        <w:t>vicarious liability</w:t>
      </w:r>
      <w:r w:rsidR="00EA4CCF" w:rsidRPr="005E758A">
        <w:rPr>
          <w:rFonts w:ascii="Times New Roman" w:eastAsia="標楷體" w:hAnsi="Times New Roman"/>
          <w:sz w:val="28"/>
          <w:szCs w:val="28"/>
        </w:rPr>
        <w:t>)</w:t>
      </w:r>
      <w:r w:rsidRPr="005E758A">
        <w:rPr>
          <w:rFonts w:ascii="Times New Roman" w:eastAsia="標楷體" w:hAnsi="Times New Roman"/>
          <w:sz w:val="28"/>
          <w:szCs w:val="28"/>
        </w:rPr>
        <w:t>。此項主張也被愛爾蘭的最高法院所支持。</w:t>
      </w:r>
      <w:r w:rsidRPr="005E758A">
        <w:rPr>
          <w:rFonts w:ascii="Times New Roman" w:eastAsia="標楷體" w:hAnsi="Times New Roman"/>
          <w:sz w:val="28"/>
          <w:szCs w:val="28"/>
        </w:rPr>
        <w:t>O</w:t>
      </w:r>
      <w:proofErr w:type="gramStart"/>
      <w:r w:rsidRPr="005E758A">
        <w:rPr>
          <w:rFonts w:ascii="Times New Roman" w:eastAsia="標楷體" w:hAnsi="Times New Roman"/>
          <w:sz w:val="28"/>
          <w:szCs w:val="28"/>
        </w:rPr>
        <w:t>’</w:t>
      </w:r>
      <w:proofErr w:type="gramEnd"/>
      <w:r w:rsidRPr="005E758A">
        <w:rPr>
          <w:rFonts w:ascii="Times New Roman" w:eastAsia="標楷體" w:hAnsi="Times New Roman"/>
          <w:sz w:val="28"/>
          <w:szCs w:val="28"/>
        </w:rPr>
        <w:t>Keeffe</w:t>
      </w:r>
      <w:r w:rsidRPr="005E758A">
        <w:rPr>
          <w:rFonts w:ascii="Times New Roman" w:eastAsia="標楷體" w:hAnsi="Times New Roman"/>
          <w:sz w:val="28"/>
          <w:szCs w:val="28"/>
        </w:rPr>
        <w:t>因此向歐洲人權法院提起訴訟，主張愛爾蘭政府未保護她在學校免受</w:t>
      </w:r>
      <w:proofErr w:type="gramStart"/>
      <w:r w:rsidRPr="005E758A">
        <w:rPr>
          <w:rFonts w:ascii="Times New Roman" w:eastAsia="標楷體" w:hAnsi="Times New Roman"/>
          <w:sz w:val="28"/>
          <w:szCs w:val="28"/>
        </w:rPr>
        <w:t>性侵，</w:t>
      </w:r>
      <w:proofErr w:type="gramEnd"/>
      <w:r w:rsidRPr="005E758A">
        <w:rPr>
          <w:rFonts w:ascii="Times New Roman" w:eastAsia="標楷體" w:hAnsi="Times New Roman"/>
          <w:sz w:val="28"/>
          <w:szCs w:val="28"/>
        </w:rPr>
        <w:t>且嗣後也沒有任何有效的補救措施，這些行為已經違反了歐洲人權公約。</w:t>
      </w:r>
    </w:p>
    <w:p w14:paraId="115C6813" w14:textId="77777777" w:rsidR="00043D86" w:rsidRPr="005E758A" w:rsidRDefault="00043D86" w:rsidP="00043D86">
      <w:pPr>
        <w:pStyle w:val="a0"/>
        <w:snapToGrid w:val="0"/>
        <w:spacing w:before="100" w:beforeAutospacing="1" w:after="100" w:afterAutospacing="1"/>
        <w:ind w:leftChars="0" w:left="0" w:firstLineChars="200" w:firstLine="560"/>
        <w:jc w:val="both"/>
        <w:rPr>
          <w:rFonts w:ascii="Times New Roman" w:eastAsia="標楷體" w:hAnsi="Times New Roman"/>
          <w:sz w:val="28"/>
          <w:szCs w:val="28"/>
        </w:rPr>
      </w:pPr>
      <w:r w:rsidRPr="005E758A">
        <w:rPr>
          <w:rFonts w:ascii="Times New Roman" w:eastAsia="標楷體" w:hAnsi="Times New Roman"/>
          <w:sz w:val="28"/>
          <w:szCs w:val="28"/>
        </w:rPr>
        <w:t>歐洲人權法院認為歐洲人權公約第</w:t>
      </w:r>
      <w:r w:rsidRPr="005E758A">
        <w:rPr>
          <w:rFonts w:ascii="Times New Roman" w:eastAsia="標楷體" w:hAnsi="Times New Roman"/>
          <w:sz w:val="28"/>
          <w:szCs w:val="28"/>
        </w:rPr>
        <w:t>3</w:t>
      </w:r>
      <w:r w:rsidRPr="005E758A">
        <w:rPr>
          <w:rFonts w:ascii="Times New Roman" w:eastAsia="標楷體" w:hAnsi="Times New Roman"/>
          <w:sz w:val="28"/>
          <w:szCs w:val="28"/>
        </w:rPr>
        <w:t>條關於酷刑或不人道或有辱人格的待遇的實體面所保障的權利是基本人權且兒童的地位特別脆弱，通過採取特殊措施和保障措施確保他們免受虐待，尤其是在小學教育方面，是政府的固有義務。愛爾蘭政府通過該類犯罪的起訴理應知道成人所犯下的兒童性侵害案件正在顯著增加。儘管如此，愛爾蘭政府繼續將絕大多數孩童的小學教育的管理委託給非政府組織，而</w:t>
      </w:r>
      <w:r w:rsidRPr="005E758A">
        <w:rPr>
          <w:rFonts w:ascii="Times New Roman" w:eastAsia="標楷體" w:hAnsi="Times New Roman"/>
          <w:sz w:val="28"/>
          <w:szCs w:val="28"/>
        </w:rPr>
        <w:lastRenderedPageBreak/>
        <w:t>未成立任何由政府控管的有效機制以預防這樣的性侵害案件繼續發生。原告被直接導向非官方的學校管理者，而非國家的主管機關。因此，法院判決愛爾蘭政府未能滿足其積極義務而違反第</w:t>
      </w:r>
      <w:r w:rsidRPr="005E758A">
        <w:rPr>
          <w:rFonts w:ascii="Times New Roman" w:eastAsia="標楷體" w:hAnsi="Times New Roman"/>
          <w:sz w:val="28"/>
          <w:szCs w:val="28"/>
        </w:rPr>
        <w:t>3</w:t>
      </w:r>
      <w:r w:rsidRPr="005E758A">
        <w:rPr>
          <w:rFonts w:ascii="Times New Roman" w:eastAsia="標楷體" w:hAnsi="Times New Roman"/>
          <w:sz w:val="28"/>
          <w:szCs w:val="28"/>
        </w:rPr>
        <w:t>條的規定。</w:t>
      </w:r>
    </w:p>
    <w:p w14:paraId="2111507C" w14:textId="77777777" w:rsidR="00043D86" w:rsidRPr="005E758A" w:rsidRDefault="00043D86" w:rsidP="00043D86">
      <w:pPr>
        <w:pStyle w:val="a0"/>
        <w:snapToGrid w:val="0"/>
        <w:spacing w:before="100" w:beforeAutospacing="1" w:after="100" w:afterAutospacing="1"/>
        <w:ind w:leftChars="0" w:left="0" w:firstLineChars="200" w:firstLine="560"/>
        <w:jc w:val="both"/>
        <w:rPr>
          <w:rFonts w:ascii="Times New Roman" w:eastAsia="標楷體" w:hAnsi="Times New Roman"/>
          <w:sz w:val="28"/>
          <w:szCs w:val="28"/>
        </w:rPr>
      </w:pPr>
      <w:r w:rsidRPr="005E758A">
        <w:rPr>
          <w:rFonts w:ascii="Times New Roman" w:eastAsia="標楷體" w:hAnsi="Times New Roman"/>
          <w:sz w:val="28"/>
          <w:szCs w:val="28"/>
        </w:rPr>
        <w:t>至於歐洲人權公約第</w:t>
      </w:r>
      <w:r w:rsidRPr="005E758A">
        <w:rPr>
          <w:rFonts w:ascii="Times New Roman" w:eastAsia="標楷體" w:hAnsi="Times New Roman"/>
          <w:sz w:val="28"/>
          <w:szCs w:val="28"/>
        </w:rPr>
        <w:t>3</w:t>
      </w:r>
      <w:r w:rsidRPr="005E758A">
        <w:rPr>
          <w:rFonts w:ascii="Times New Roman" w:eastAsia="標楷體" w:hAnsi="Times New Roman"/>
          <w:sz w:val="28"/>
          <w:szCs w:val="28"/>
        </w:rPr>
        <w:t>條的程序面要求主管機關必須對</w:t>
      </w:r>
      <w:proofErr w:type="gramStart"/>
      <w:r w:rsidRPr="005E758A">
        <w:rPr>
          <w:rFonts w:ascii="Times New Roman" w:eastAsia="標楷體" w:hAnsi="Times New Roman"/>
          <w:sz w:val="28"/>
          <w:szCs w:val="28"/>
        </w:rPr>
        <w:t>涉嫌性侵的</w:t>
      </w:r>
      <w:proofErr w:type="gramEnd"/>
      <w:r w:rsidRPr="005E758A">
        <w:rPr>
          <w:rFonts w:ascii="Times New Roman" w:eastAsia="標楷體" w:hAnsi="Times New Roman"/>
          <w:sz w:val="28"/>
          <w:szCs w:val="28"/>
        </w:rPr>
        <w:t>個人進行官方調查，該調查必須迅速並獨立進行，且受害者應能有效地參與。法院認為本件愛爾蘭政府並未違反第</w:t>
      </w:r>
      <w:r w:rsidRPr="005E758A">
        <w:rPr>
          <w:rFonts w:ascii="Times New Roman" w:eastAsia="標楷體" w:hAnsi="Times New Roman"/>
          <w:sz w:val="28"/>
          <w:szCs w:val="28"/>
        </w:rPr>
        <w:t>3</w:t>
      </w:r>
      <w:r w:rsidRPr="005E758A">
        <w:rPr>
          <w:rFonts w:ascii="Times New Roman" w:eastAsia="標楷體" w:hAnsi="Times New Roman"/>
          <w:sz w:val="28"/>
          <w:szCs w:val="28"/>
        </w:rPr>
        <w:t>條的程序性義務，因為在</w:t>
      </w:r>
      <w:r w:rsidRPr="005E758A">
        <w:rPr>
          <w:rFonts w:ascii="Times New Roman" w:eastAsia="標楷體" w:hAnsi="Times New Roman"/>
          <w:sz w:val="28"/>
          <w:szCs w:val="28"/>
        </w:rPr>
        <w:t>1995</w:t>
      </w:r>
      <w:r w:rsidRPr="005E758A">
        <w:rPr>
          <w:rFonts w:ascii="Times New Roman" w:eastAsia="標楷體" w:hAnsi="Times New Roman"/>
          <w:sz w:val="28"/>
          <w:szCs w:val="28"/>
        </w:rPr>
        <w:t>年有人向警方報案時，政府已經就案件進行了有效的調查。</w:t>
      </w:r>
    </w:p>
    <w:p w14:paraId="304965A3" w14:textId="77777777" w:rsidR="00043D86" w:rsidRPr="005E758A" w:rsidRDefault="00043D86" w:rsidP="00043D86">
      <w:pPr>
        <w:pStyle w:val="3"/>
      </w:pPr>
      <w:r w:rsidRPr="005E758A">
        <w:t>2012</w:t>
      </w:r>
      <w:r w:rsidRPr="005E758A">
        <w:t>年英國最高法院</w:t>
      </w:r>
      <w:r w:rsidR="00EA4CCF" w:rsidRPr="005E758A">
        <w:t>兒童虐待</w:t>
      </w:r>
      <w:r w:rsidRPr="005E758A">
        <w:t>案：</w:t>
      </w:r>
      <w:r w:rsidRPr="005E758A">
        <w:t xml:space="preserve">Catholic Child Welfare Society v. Institute of the </w:t>
      </w:r>
      <w:proofErr w:type="gramStart"/>
      <w:r w:rsidRPr="005E758A">
        <w:t>Brothers</w:t>
      </w:r>
      <w:proofErr w:type="gramEnd"/>
      <w:r w:rsidRPr="005E758A">
        <w:t xml:space="preserve"> of the Christian Schools</w:t>
      </w:r>
      <w:r w:rsidRPr="005E758A">
        <w:rPr>
          <w:rStyle w:val="af3"/>
        </w:rPr>
        <w:endnoteReference w:id="255"/>
      </w:r>
    </w:p>
    <w:p w14:paraId="0ACCE7B9" w14:textId="77777777" w:rsidR="00043D86" w:rsidRPr="005E758A" w:rsidRDefault="00043D86" w:rsidP="00043D86">
      <w:pPr>
        <w:pStyle w:val="a0"/>
        <w:snapToGrid w:val="0"/>
        <w:spacing w:before="100" w:beforeAutospacing="1" w:after="100" w:afterAutospacing="1"/>
        <w:ind w:leftChars="0" w:left="0" w:firstLineChars="200" w:firstLine="560"/>
        <w:jc w:val="both"/>
        <w:rPr>
          <w:rFonts w:ascii="Times New Roman" w:eastAsia="標楷體" w:hAnsi="Times New Roman"/>
          <w:sz w:val="28"/>
          <w:szCs w:val="28"/>
        </w:rPr>
      </w:pPr>
      <w:r w:rsidRPr="005E758A">
        <w:rPr>
          <w:rFonts w:ascii="Times New Roman" w:eastAsia="標楷體" w:hAnsi="Times New Roman"/>
          <w:sz w:val="28"/>
          <w:szCs w:val="28"/>
        </w:rPr>
        <w:t>有</w:t>
      </w:r>
      <w:r w:rsidRPr="005E758A">
        <w:rPr>
          <w:rFonts w:ascii="Times New Roman" w:eastAsia="標楷體" w:hAnsi="Times New Roman"/>
          <w:sz w:val="28"/>
          <w:szCs w:val="28"/>
        </w:rPr>
        <w:t>170</w:t>
      </w:r>
      <w:r w:rsidRPr="005E758A">
        <w:rPr>
          <w:rFonts w:ascii="Times New Roman" w:eastAsia="標楷體" w:hAnsi="Times New Roman"/>
          <w:sz w:val="28"/>
          <w:szCs w:val="28"/>
        </w:rPr>
        <w:t>名男子聲稱自</w:t>
      </w:r>
      <w:r w:rsidRPr="005E758A">
        <w:rPr>
          <w:rFonts w:ascii="Times New Roman" w:eastAsia="標楷體" w:hAnsi="Times New Roman"/>
          <w:sz w:val="28"/>
          <w:szCs w:val="28"/>
        </w:rPr>
        <w:t>1958</w:t>
      </w:r>
      <w:r w:rsidRPr="005E758A">
        <w:rPr>
          <w:rFonts w:ascii="Times New Roman" w:eastAsia="標楷體" w:hAnsi="Times New Roman"/>
          <w:sz w:val="28"/>
          <w:szCs w:val="28"/>
        </w:rPr>
        <w:t>到</w:t>
      </w:r>
      <w:r w:rsidRPr="005E758A">
        <w:rPr>
          <w:rFonts w:ascii="Times New Roman" w:eastAsia="標楷體" w:hAnsi="Times New Roman"/>
          <w:sz w:val="28"/>
          <w:szCs w:val="28"/>
        </w:rPr>
        <w:t>1992</w:t>
      </w:r>
      <w:r w:rsidRPr="005E758A">
        <w:rPr>
          <w:rFonts w:ascii="Times New Roman" w:eastAsia="標楷體" w:hAnsi="Times New Roman"/>
          <w:sz w:val="28"/>
          <w:szCs w:val="28"/>
        </w:rPr>
        <w:t>年間，於一所男子特殊教育學校遭到數名老師身體及性虐待。老師們是天主教學校兄弟會的成員（下稱協會），。該協會係一個宗教組織，成員的工作是教導孩童，尤其是貧困兒童，讓他們有一個好的、基督徒的生活。然而，這些老師也是該學校的正式僱員。本案，法院要處理的是該協會是否應基於轉承責任而必須對會員所犯下的罪行負責。該學校主張協會必須為兄弟會成員的行為分擔部分責任，該協會則抗辯只有管理學校及</w:t>
      </w:r>
      <w:proofErr w:type="gramStart"/>
      <w:r w:rsidRPr="005E758A">
        <w:rPr>
          <w:rFonts w:ascii="Times New Roman" w:eastAsia="標楷體" w:hAnsi="Times New Roman"/>
          <w:sz w:val="28"/>
          <w:szCs w:val="28"/>
        </w:rPr>
        <w:t>僱傭</w:t>
      </w:r>
      <w:proofErr w:type="gramEnd"/>
      <w:r w:rsidRPr="005E758A">
        <w:rPr>
          <w:rFonts w:ascii="Times New Roman" w:eastAsia="標楷體" w:hAnsi="Times New Roman"/>
          <w:sz w:val="28"/>
          <w:szCs w:val="28"/>
        </w:rPr>
        <w:t>這些成員的主體才必須對成員的行為負代理責任。</w:t>
      </w:r>
    </w:p>
    <w:p w14:paraId="71E25EF3" w14:textId="77777777" w:rsidR="00043D86" w:rsidRPr="005E758A" w:rsidRDefault="00043D86" w:rsidP="00043D86">
      <w:pPr>
        <w:pStyle w:val="a0"/>
        <w:snapToGrid w:val="0"/>
        <w:spacing w:before="100" w:beforeAutospacing="1" w:after="100" w:afterAutospacing="1"/>
        <w:ind w:leftChars="0" w:left="0" w:firstLineChars="200" w:firstLine="560"/>
        <w:jc w:val="both"/>
        <w:rPr>
          <w:rFonts w:ascii="Times New Roman" w:eastAsia="標楷體" w:hAnsi="Times New Roman"/>
          <w:sz w:val="28"/>
          <w:szCs w:val="28"/>
        </w:rPr>
      </w:pPr>
      <w:r w:rsidRPr="005E758A">
        <w:rPr>
          <w:rFonts w:ascii="Times New Roman" w:eastAsia="標楷體" w:hAnsi="Times New Roman"/>
          <w:sz w:val="28"/>
          <w:szCs w:val="28"/>
        </w:rPr>
        <w:t xml:space="preserve"> </w:t>
      </w:r>
      <w:r w:rsidRPr="005E758A">
        <w:rPr>
          <w:rFonts w:ascii="Times New Roman" w:eastAsia="標楷體" w:hAnsi="Times New Roman"/>
          <w:sz w:val="28"/>
          <w:szCs w:val="28"/>
        </w:rPr>
        <w:t>最高法院仔細研究學校對協會的主張成立與否包括兩個部分：</w:t>
      </w:r>
      <w:r w:rsidRPr="005E758A">
        <w:rPr>
          <w:rFonts w:ascii="Times New Roman" w:eastAsia="標楷體" w:hAnsi="Times New Roman"/>
          <w:sz w:val="28"/>
          <w:szCs w:val="28"/>
        </w:rPr>
        <w:t>(1)</w:t>
      </w:r>
      <w:r w:rsidRPr="005E758A">
        <w:rPr>
          <w:rFonts w:ascii="Times New Roman" w:eastAsia="標楷體" w:hAnsi="Times New Roman"/>
          <w:sz w:val="28"/>
          <w:szCs w:val="28"/>
        </w:rPr>
        <w:t>協會與其</w:t>
      </w:r>
      <w:proofErr w:type="gramStart"/>
      <w:r w:rsidRPr="005E758A">
        <w:rPr>
          <w:rFonts w:ascii="Times New Roman" w:eastAsia="標楷體" w:hAnsi="Times New Roman"/>
          <w:sz w:val="28"/>
          <w:szCs w:val="28"/>
        </w:rPr>
        <w:t>成員間的關係</w:t>
      </w:r>
      <w:proofErr w:type="gramEnd"/>
      <w:r w:rsidRPr="005E758A">
        <w:rPr>
          <w:rFonts w:ascii="Times New Roman" w:eastAsia="標楷體" w:hAnsi="Times New Roman"/>
          <w:sz w:val="28"/>
          <w:szCs w:val="28"/>
        </w:rPr>
        <w:t>是否能適用代理責任；及</w:t>
      </w:r>
      <w:r w:rsidRPr="005E758A">
        <w:rPr>
          <w:rFonts w:ascii="Times New Roman" w:eastAsia="標楷體" w:hAnsi="Times New Roman"/>
          <w:sz w:val="28"/>
          <w:szCs w:val="28"/>
        </w:rPr>
        <w:t>(2)</w:t>
      </w:r>
      <w:r w:rsidRPr="005E758A">
        <w:rPr>
          <w:rFonts w:ascii="Times New Roman" w:eastAsia="標楷體" w:hAnsi="Times New Roman"/>
          <w:sz w:val="28"/>
          <w:szCs w:val="28"/>
        </w:rPr>
        <w:t>成員的性虐待行為與該成員與</w:t>
      </w:r>
      <w:proofErr w:type="gramStart"/>
      <w:r w:rsidRPr="005E758A">
        <w:rPr>
          <w:rFonts w:ascii="Times New Roman" w:eastAsia="標楷體" w:hAnsi="Times New Roman"/>
          <w:sz w:val="28"/>
          <w:szCs w:val="28"/>
        </w:rPr>
        <w:t>協會間的關係</w:t>
      </w:r>
      <w:proofErr w:type="gramEnd"/>
      <w:r w:rsidRPr="005E758A">
        <w:rPr>
          <w:rFonts w:ascii="Times New Roman" w:eastAsia="標楷體" w:hAnsi="Times New Roman"/>
          <w:sz w:val="28"/>
          <w:szCs w:val="28"/>
        </w:rPr>
        <w:t>是否能產生代理責任等。</w:t>
      </w:r>
    </w:p>
    <w:p w14:paraId="146179B4" w14:textId="77777777" w:rsidR="00043D86" w:rsidRPr="005E758A" w:rsidRDefault="00043D86" w:rsidP="00043D86">
      <w:pPr>
        <w:pStyle w:val="a0"/>
        <w:snapToGrid w:val="0"/>
        <w:spacing w:before="100" w:beforeAutospacing="1" w:after="100" w:afterAutospacing="1"/>
        <w:ind w:leftChars="0" w:left="0" w:firstLineChars="200" w:firstLine="560"/>
        <w:jc w:val="both"/>
        <w:rPr>
          <w:rFonts w:ascii="Times New Roman" w:eastAsia="標楷體" w:hAnsi="Times New Roman"/>
          <w:sz w:val="28"/>
          <w:szCs w:val="28"/>
        </w:rPr>
      </w:pPr>
      <w:r w:rsidRPr="005E758A">
        <w:rPr>
          <w:rFonts w:ascii="Times New Roman" w:eastAsia="標楷體" w:hAnsi="Times New Roman"/>
          <w:sz w:val="28"/>
          <w:szCs w:val="28"/>
        </w:rPr>
        <w:t>鑒於轉承責任法正在發展中，法院認為轉承責任可以基於一種非由</w:t>
      </w:r>
      <w:proofErr w:type="gramStart"/>
      <w:r w:rsidRPr="005E758A">
        <w:rPr>
          <w:rFonts w:ascii="Times New Roman" w:eastAsia="標楷體" w:hAnsi="Times New Roman"/>
          <w:sz w:val="28"/>
          <w:szCs w:val="28"/>
        </w:rPr>
        <w:t>僱傭</w:t>
      </w:r>
      <w:proofErr w:type="gramEnd"/>
      <w:r w:rsidRPr="005E758A">
        <w:rPr>
          <w:rFonts w:ascii="Times New Roman" w:eastAsia="標楷體" w:hAnsi="Times New Roman"/>
          <w:sz w:val="28"/>
          <w:szCs w:val="28"/>
        </w:rPr>
        <w:t>契約，而係相似於僱主與僱員之間的關係而成立。</w:t>
      </w:r>
    </w:p>
    <w:p w14:paraId="7A86B7BE" w14:textId="77777777" w:rsidR="00043D86" w:rsidRPr="005E758A" w:rsidRDefault="00043D86" w:rsidP="00043D86">
      <w:pPr>
        <w:pStyle w:val="a0"/>
        <w:snapToGrid w:val="0"/>
        <w:spacing w:before="100" w:beforeAutospacing="1" w:after="100" w:afterAutospacing="1"/>
        <w:ind w:leftChars="0" w:left="0" w:firstLineChars="200" w:firstLine="560"/>
        <w:jc w:val="both"/>
        <w:rPr>
          <w:rFonts w:ascii="Times New Roman" w:eastAsia="標楷體" w:hAnsi="Times New Roman"/>
          <w:sz w:val="28"/>
          <w:szCs w:val="28"/>
        </w:rPr>
      </w:pPr>
      <w:r w:rsidRPr="005E758A">
        <w:rPr>
          <w:rFonts w:ascii="Times New Roman" w:eastAsia="標楷體" w:hAnsi="Times New Roman"/>
          <w:sz w:val="28"/>
          <w:szCs w:val="28"/>
        </w:rPr>
        <w:t>法院解釋協會與其</w:t>
      </w:r>
      <w:proofErr w:type="gramStart"/>
      <w:r w:rsidRPr="005E758A">
        <w:rPr>
          <w:rFonts w:ascii="Times New Roman" w:eastAsia="標楷體" w:hAnsi="Times New Roman"/>
          <w:sz w:val="28"/>
          <w:szCs w:val="28"/>
        </w:rPr>
        <w:t>成員間的關係</w:t>
      </w:r>
      <w:proofErr w:type="gramEnd"/>
      <w:r w:rsidRPr="005E758A">
        <w:rPr>
          <w:rFonts w:ascii="Times New Roman" w:eastAsia="標楷體" w:hAnsi="Times New Roman"/>
          <w:sz w:val="28"/>
          <w:szCs w:val="28"/>
        </w:rPr>
        <w:t>已構成類似於協會的其他僱員，基於該協會的等級制度，該協會有能力指導其成員至何處教學、決定教學活動，在組織任務裡的重要性以及要求其成員的舉止符合協會的規定。</w:t>
      </w:r>
    </w:p>
    <w:p w14:paraId="1D43ED8F" w14:textId="77777777" w:rsidR="00043D86" w:rsidRPr="005E758A" w:rsidRDefault="00043D86" w:rsidP="00FC32DC">
      <w:pPr>
        <w:pStyle w:val="a0"/>
        <w:snapToGrid w:val="0"/>
        <w:spacing w:before="100" w:beforeAutospacing="1" w:after="100" w:afterAutospacing="1"/>
        <w:ind w:leftChars="0" w:left="0" w:firstLineChars="200" w:firstLine="560"/>
        <w:jc w:val="both"/>
        <w:rPr>
          <w:rFonts w:ascii="Times New Roman" w:eastAsia="標楷體" w:hAnsi="Times New Roman"/>
          <w:sz w:val="28"/>
          <w:szCs w:val="28"/>
        </w:rPr>
      </w:pPr>
      <w:proofErr w:type="gramStart"/>
      <w:r w:rsidRPr="005E758A">
        <w:rPr>
          <w:rFonts w:ascii="Times New Roman" w:eastAsia="標楷體" w:hAnsi="Times New Roman"/>
          <w:sz w:val="28"/>
          <w:szCs w:val="28"/>
        </w:rPr>
        <w:t>此外，</w:t>
      </w:r>
      <w:proofErr w:type="gramEnd"/>
      <w:r w:rsidRPr="005E758A">
        <w:rPr>
          <w:rFonts w:ascii="Times New Roman" w:eastAsia="標楷體" w:hAnsi="Times New Roman"/>
          <w:sz w:val="28"/>
          <w:szCs w:val="28"/>
        </w:rPr>
        <w:t>法院認為協會與其</w:t>
      </w:r>
      <w:proofErr w:type="gramStart"/>
      <w:r w:rsidRPr="005E758A">
        <w:rPr>
          <w:rFonts w:ascii="Times New Roman" w:eastAsia="標楷體" w:hAnsi="Times New Roman"/>
          <w:sz w:val="28"/>
          <w:szCs w:val="28"/>
        </w:rPr>
        <w:t>成員間的關係</w:t>
      </w:r>
      <w:proofErr w:type="gramEnd"/>
      <w:r w:rsidRPr="005E758A">
        <w:rPr>
          <w:rFonts w:ascii="Times New Roman" w:eastAsia="標楷體" w:hAnsi="Times New Roman"/>
          <w:sz w:val="28"/>
          <w:szCs w:val="28"/>
        </w:rPr>
        <w:t>，及成員在完成教學任務期間對住宿的學生性虐待具有密切關聯。因此，法院認為該協會必須為其成員涉嫌性虐待的行為負責。</w:t>
      </w:r>
    </w:p>
    <w:p w14:paraId="51FD5267" w14:textId="77777777" w:rsidR="00043D86" w:rsidRPr="005E758A" w:rsidRDefault="00043D86" w:rsidP="00FC32DC">
      <w:pPr>
        <w:pStyle w:val="2"/>
      </w:pPr>
      <w:r w:rsidRPr="005E758A">
        <w:t>綜合分析</w:t>
      </w:r>
    </w:p>
    <w:p w14:paraId="7E4F0FE2" w14:textId="77777777" w:rsidR="00043D86" w:rsidRPr="005E758A" w:rsidRDefault="00043D86" w:rsidP="00043D86">
      <w:pPr>
        <w:pStyle w:val="a0"/>
        <w:snapToGrid w:val="0"/>
        <w:spacing w:before="100" w:beforeAutospacing="1" w:after="100" w:afterAutospacing="1"/>
        <w:ind w:leftChars="0" w:left="0" w:firstLineChars="200" w:firstLine="560"/>
        <w:jc w:val="both"/>
        <w:rPr>
          <w:rFonts w:ascii="Times New Roman" w:eastAsia="標楷體" w:hAnsi="Times New Roman"/>
          <w:sz w:val="28"/>
          <w:szCs w:val="28"/>
        </w:rPr>
      </w:pPr>
      <w:r w:rsidRPr="005E758A">
        <w:rPr>
          <w:rFonts w:ascii="Times New Roman" w:eastAsia="標楷體" w:hAnsi="Times New Roman"/>
          <w:sz w:val="28"/>
          <w:szCs w:val="28"/>
        </w:rPr>
        <w:lastRenderedPageBreak/>
        <w:t>本條規定在歐洲各國引發的相關案例非常多，其所涉及者往往是責任的歸屬問題，即加害人所屬之兒童機構，無論係公營或民營，應否負擔轉承責任。此項民事責任的建立對被害兒童而言，極具意義，蓋加害人通常無資力賠償鉅額之金錢。歐洲人權法院及各國法院歷年來的見解也漸趨一致，認為轉承責任有成立的空間。這其實是給公約本條規定裝上了牙齒，使國家不得不警惕及嚴格監督其所設置或委託的兒童機構的健全性</w:t>
      </w:r>
      <w:proofErr w:type="gramStart"/>
      <w:r w:rsidRPr="005E758A">
        <w:rPr>
          <w:rFonts w:ascii="Times New Roman" w:eastAsia="標楷體" w:hAnsi="Times New Roman"/>
          <w:sz w:val="28"/>
          <w:szCs w:val="28"/>
        </w:rPr>
        <w:t>及適妥性</w:t>
      </w:r>
      <w:proofErr w:type="gramEnd"/>
      <w:r w:rsidRPr="005E758A">
        <w:rPr>
          <w:rFonts w:ascii="Times New Roman" w:eastAsia="標楷體" w:hAnsi="Times New Roman"/>
          <w:sz w:val="28"/>
          <w:szCs w:val="28"/>
        </w:rPr>
        <w:t>。</w:t>
      </w:r>
    </w:p>
    <w:p w14:paraId="3A214278" w14:textId="77777777" w:rsidR="00043D86" w:rsidRPr="005E758A" w:rsidRDefault="00043D86" w:rsidP="00043D86">
      <w:pPr>
        <w:pStyle w:val="2"/>
      </w:pPr>
      <w:r w:rsidRPr="005E758A">
        <w:t>參考資料</w:t>
      </w:r>
    </w:p>
    <w:p w14:paraId="28FFC8B1" w14:textId="77777777" w:rsidR="00043D86" w:rsidRPr="005E758A" w:rsidRDefault="00043D86" w:rsidP="00F02A5C">
      <w:pPr>
        <w:pStyle w:val="a0"/>
        <w:numPr>
          <w:ilvl w:val="0"/>
          <w:numId w:val="159"/>
        </w:numPr>
        <w:snapToGrid w:val="0"/>
        <w:ind w:leftChars="0"/>
        <w:jc w:val="both"/>
        <w:rPr>
          <w:rFonts w:ascii="Times New Roman" w:eastAsia="標楷體" w:hAnsi="Times New Roman"/>
          <w:sz w:val="28"/>
          <w:szCs w:val="28"/>
        </w:rPr>
      </w:pPr>
      <w:r w:rsidRPr="005E758A">
        <w:rPr>
          <w:rFonts w:ascii="Times New Roman" w:eastAsia="標楷體" w:hAnsi="Times New Roman"/>
          <w:sz w:val="28"/>
          <w:szCs w:val="28"/>
        </w:rPr>
        <w:t>兒童權利委員會，第</w:t>
      </w:r>
      <w:r w:rsidRPr="005E758A">
        <w:rPr>
          <w:rFonts w:ascii="Times New Roman" w:eastAsia="標楷體" w:hAnsi="Times New Roman"/>
          <w:sz w:val="28"/>
          <w:szCs w:val="28"/>
        </w:rPr>
        <w:t>8</w:t>
      </w:r>
      <w:r w:rsidRPr="005E758A">
        <w:rPr>
          <w:rFonts w:ascii="Times New Roman" w:eastAsia="標楷體" w:hAnsi="Times New Roman"/>
          <w:sz w:val="28"/>
          <w:szCs w:val="28"/>
        </w:rPr>
        <w:t>號一般性意見「兒童受保護免遭體罰和其他殘忍或不人道形式懲罰的權利」。</w:t>
      </w:r>
      <w:r w:rsidRPr="005E758A">
        <w:rPr>
          <w:rFonts w:ascii="Times New Roman" w:eastAsia="標楷體" w:hAnsi="Times New Roman"/>
          <w:sz w:val="28"/>
          <w:szCs w:val="28"/>
        </w:rPr>
        <w:t>(Committee on the Rights of the Child, General Comment No. 8: The Right of the Child to Protection from Corporal Punishment and Other Cruel or Degrading Forms of Punishment (Arts. 19; 28, Para. 2; and 37, inter alia), U.N. Doc. CRC/C/GC/8 (Mar. 2, 2007).)</w:t>
      </w:r>
    </w:p>
    <w:p w14:paraId="77C2F2A2" w14:textId="77777777" w:rsidR="00043D86" w:rsidRPr="001F4DFB" w:rsidRDefault="00043D86" w:rsidP="00043D86">
      <w:pPr>
        <w:pStyle w:val="a0"/>
        <w:numPr>
          <w:ilvl w:val="0"/>
          <w:numId w:val="159"/>
        </w:numPr>
        <w:snapToGrid w:val="0"/>
        <w:ind w:leftChars="0"/>
        <w:jc w:val="both"/>
        <w:rPr>
          <w:rFonts w:ascii="Times New Roman" w:eastAsia="標楷體" w:hAnsi="Times New Roman"/>
          <w:sz w:val="28"/>
          <w:szCs w:val="28"/>
        </w:rPr>
      </w:pPr>
      <w:r w:rsidRPr="005E758A">
        <w:rPr>
          <w:rFonts w:ascii="Times New Roman" w:eastAsia="標楷體" w:hAnsi="Times New Roman"/>
          <w:sz w:val="28"/>
          <w:szCs w:val="28"/>
        </w:rPr>
        <w:t>兒童權利委員會，第</w:t>
      </w:r>
      <w:r w:rsidRPr="005E758A">
        <w:rPr>
          <w:rFonts w:ascii="Times New Roman" w:eastAsia="標楷體" w:hAnsi="Times New Roman"/>
          <w:sz w:val="28"/>
          <w:szCs w:val="28"/>
        </w:rPr>
        <w:t>13</w:t>
      </w:r>
      <w:r w:rsidRPr="005E758A">
        <w:rPr>
          <w:rFonts w:ascii="Times New Roman" w:eastAsia="標楷體" w:hAnsi="Times New Roman"/>
          <w:sz w:val="28"/>
          <w:szCs w:val="28"/>
        </w:rPr>
        <w:t>號一般性意見「兒童免遭一切形式暴力侵害的權利」。</w:t>
      </w:r>
      <w:r w:rsidRPr="005E758A">
        <w:rPr>
          <w:rFonts w:ascii="Times New Roman" w:eastAsia="標楷體" w:hAnsi="Times New Roman"/>
          <w:sz w:val="28"/>
          <w:szCs w:val="28"/>
        </w:rPr>
        <w:t>(Committee on the Rights of the Child, General Comment No. 13: The Right of the Child to Freedom from All Forms of Violence, U.N. Doc. CRC/C/GC/13 (Apr. 18, 2011).)</w:t>
      </w:r>
    </w:p>
    <w:p w14:paraId="0CE323DF" w14:textId="77777777" w:rsidR="00043D86" w:rsidRPr="001F4DFB" w:rsidRDefault="00043D86" w:rsidP="001F4DFB">
      <w:pPr>
        <w:snapToGrid w:val="0"/>
        <w:spacing w:before="100" w:beforeAutospacing="1" w:after="100" w:afterAutospacing="1"/>
        <w:jc w:val="both"/>
        <w:rPr>
          <w:sz w:val="28"/>
          <w:szCs w:val="24"/>
        </w:rPr>
      </w:pPr>
    </w:p>
    <w:p w14:paraId="00E3CE99" w14:textId="77777777" w:rsidR="00043D86" w:rsidRPr="005E758A" w:rsidRDefault="00043D86" w:rsidP="00043D86">
      <w:pPr>
        <w:rPr>
          <w:sz w:val="28"/>
          <w:szCs w:val="28"/>
        </w:rPr>
      </w:pPr>
      <w:r w:rsidRPr="005E758A">
        <w:rPr>
          <w:sz w:val="28"/>
          <w:szCs w:val="28"/>
        </w:rPr>
        <w:t>關鍵詞：保護措施、身心暴力、剝削、虐待</w:t>
      </w:r>
    </w:p>
    <w:p w14:paraId="3E7979FB" w14:textId="77777777" w:rsidR="00F75D48" w:rsidRPr="005E758A" w:rsidRDefault="00F75D48" w:rsidP="00043D86">
      <w:pPr>
        <w:pStyle w:val="1"/>
        <w:sectPr w:rsidR="00F75D48" w:rsidRPr="005E758A">
          <w:footerReference w:type="default" r:id="rId17"/>
          <w:endnotePr>
            <w:numFmt w:val="decimal"/>
            <w:numRestart w:val="eachSect"/>
          </w:endnotePr>
          <w:pgSz w:w="11906" w:h="16838"/>
          <w:pgMar w:top="1440" w:right="1800" w:bottom="1440" w:left="1800" w:header="851" w:footer="992" w:gutter="0"/>
          <w:cols w:space="425"/>
          <w:docGrid w:type="lines" w:linePitch="360"/>
        </w:sectPr>
      </w:pPr>
    </w:p>
    <w:p w14:paraId="55496714" w14:textId="77777777" w:rsidR="00A37878" w:rsidRDefault="00A37878" w:rsidP="00A37878">
      <w:pPr>
        <w:pStyle w:val="1"/>
        <w:rPr>
          <w:sz w:val="28"/>
          <w:szCs w:val="28"/>
        </w:rPr>
      </w:pPr>
      <w:bookmarkStart w:id="63" w:name="_Toc431072736"/>
      <w:r w:rsidRPr="005E758A">
        <w:lastRenderedPageBreak/>
        <w:t>第</w:t>
      </w:r>
      <w:r w:rsidRPr="005E758A">
        <w:t>20</w:t>
      </w:r>
      <w:r w:rsidRPr="005E758A">
        <w:t>條</w:t>
      </w:r>
      <w:r>
        <w:rPr>
          <w:rFonts w:hint="eastAsia"/>
        </w:rPr>
        <w:t xml:space="preserve">　</w:t>
      </w:r>
      <w:r w:rsidRPr="00A37878">
        <w:rPr>
          <w:rFonts w:hint="eastAsia"/>
        </w:rPr>
        <w:t>喪失家庭環境之兒童</w:t>
      </w:r>
      <w:bookmarkEnd w:id="63"/>
    </w:p>
    <w:tbl>
      <w:tblPr>
        <w:tblW w:w="82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8220"/>
      </w:tblGrid>
      <w:tr w:rsidR="00A37878" w:rsidRPr="005E758A" w14:paraId="22A05245" w14:textId="77777777" w:rsidTr="002B035C">
        <w:trPr>
          <w:trHeight w:val="2400"/>
          <w:jc w:val="center"/>
        </w:trPr>
        <w:tc>
          <w:tcPr>
            <w:tcW w:w="8220" w:type="dxa"/>
          </w:tcPr>
          <w:p w14:paraId="7C0447D9" w14:textId="77777777" w:rsidR="00A37878" w:rsidRPr="005E758A" w:rsidRDefault="00A37878" w:rsidP="002B035C">
            <w:pPr>
              <w:pStyle w:val="a0"/>
              <w:numPr>
                <w:ilvl w:val="0"/>
                <w:numId w:val="160"/>
              </w:numPr>
              <w:snapToGrid w:val="0"/>
              <w:spacing w:before="100" w:beforeAutospacing="1" w:after="100" w:afterAutospacing="1"/>
              <w:ind w:leftChars="0"/>
              <w:jc w:val="both"/>
              <w:rPr>
                <w:rFonts w:ascii="Times New Roman" w:eastAsia="標楷體" w:hAnsi="Times New Roman"/>
                <w:sz w:val="28"/>
                <w:szCs w:val="28"/>
              </w:rPr>
            </w:pPr>
            <w:r w:rsidRPr="005E758A">
              <w:rPr>
                <w:rFonts w:ascii="Times New Roman" w:eastAsia="標楷體" w:hAnsi="Times New Roman"/>
                <w:sz w:val="28"/>
                <w:szCs w:val="28"/>
              </w:rPr>
              <w:t>針對暫時或永久剝奪其家庭環境之兒童，或因顧及其最佳利益無法使其繼續留在家庭環境時，締約國應給予特別之保護與協助。</w:t>
            </w:r>
          </w:p>
          <w:p w14:paraId="4B454B04" w14:textId="77777777" w:rsidR="00A37878" w:rsidRPr="005E758A" w:rsidRDefault="00A37878" w:rsidP="002B035C">
            <w:pPr>
              <w:pStyle w:val="a0"/>
              <w:numPr>
                <w:ilvl w:val="0"/>
                <w:numId w:val="160"/>
              </w:numPr>
              <w:snapToGrid w:val="0"/>
              <w:spacing w:before="100" w:beforeAutospacing="1" w:after="100" w:afterAutospacing="1"/>
              <w:ind w:leftChars="0"/>
              <w:jc w:val="both"/>
              <w:rPr>
                <w:rFonts w:ascii="Times New Roman" w:eastAsia="標楷體" w:hAnsi="Times New Roman"/>
                <w:sz w:val="28"/>
                <w:szCs w:val="28"/>
              </w:rPr>
            </w:pPr>
            <w:r w:rsidRPr="005E758A">
              <w:rPr>
                <w:rFonts w:ascii="Times New Roman" w:eastAsia="標楷體" w:hAnsi="Times New Roman"/>
                <w:sz w:val="28"/>
                <w:szCs w:val="28"/>
              </w:rPr>
              <w:t>締約國應依其國家法律確保該等兒童獲得其他替代方式之照顧。</w:t>
            </w:r>
          </w:p>
          <w:p w14:paraId="3C5BA39B" w14:textId="77777777" w:rsidR="00A37878" w:rsidRPr="005E758A" w:rsidRDefault="00A37878" w:rsidP="002B035C">
            <w:pPr>
              <w:pStyle w:val="a0"/>
              <w:numPr>
                <w:ilvl w:val="0"/>
                <w:numId w:val="160"/>
              </w:numPr>
              <w:snapToGrid w:val="0"/>
              <w:spacing w:before="100" w:beforeAutospacing="1" w:after="100" w:afterAutospacing="1"/>
              <w:ind w:leftChars="0"/>
              <w:jc w:val="both"/>
              <w:rPr>
                <w:rFonts w:ascii="Times New Roman" w:hAnsi="Times New Roman"/>
              </w:rPr>
            </w:pPr>
            <w:r w:rsidRPr="005E758A">
              <w:rPr>
                <w:rFonts w:ascii="Times New Roman" w:eastAsia="標楷體" w:hAnsi="Times New Roman"/>
                <w:sz w:val="28"/>
                <w:szCs w:val="28"/>
              </w:rPr>
              <w:t>此等照顧包括安排寄養、依伊斯蘭法之監護、收養或於必要時安置其於適當之照顧機構中。當考量處理方式時，應考量有必要使兒童之養育具有持續性，並考量兒童之種族、宗教、文化與語言背景，予以妥適處理。</w:t>
            </w:r>
          </w:p>
        </w:tc>
      </w:tr>
    </w:tbl>
    <w:p w14:paraId="7B80D630" w14:textId="77777777" w:rsidR="00A37878" w:rsidRPr="00A37878" w:rsidRDefault="00A37878" w:rsidP="00A37878">
      <w:pPr>
        <w:snapToGrid w:val="0"/>
        <w:spacing w:before="100" w:beforeAutospacing="1" w:after="100" w:afterAutospacing="1"/>
        <w:jc w:val="both"/>
        <w:rPr>
          <w:sz w:val="28"/>
          <w:szCs w:val="28"/>
        </w:rPr>
      </w:pPr>
    </w:p>
    <w:p w14:paraId="18A5E753" w14:textId="77777777" w:rsidR="0099625B" w:rsidRPr="005E758A" w:rsidRDefault="0099625B" w:rsidP="00F02A5C">
      <w:pPr>
        <w:pStyle w:val="2"/>
        <w:numPr>
          <w:ilvl w:val="0"/>
          <w:numId w:val="161"/>
        </w:numPr>
        <w:rPr>
          <w:szCs w:val="28"/>
        </w:rPr>
      </w:pPr>
      <w:r w:rsidRPr="005E758A">
        <w:rPr>
          <w:szCs w:val="28"/>
        </w:rPr>
        <w:t>規範宗旨</w:t>
      </w:r>
    </w:p>
    <w:p w14:paraId="2FA8269B" w14:textId="77777777" w:rsidR="0099625B" w:rsidRPr="005E758A" w:rsidRDefault="0099625B" w:rsidP="0099625B">
      <w:pPr>
        <w:snapToGrid w:val="0"/>
        <w:spacing w:before="100" w:beforeAutospacing="1" w:after="100" w:afterAutospacing="1"/>
        <w:ind w:firstLineChars="200" w:firstLine="560"/>
        <w:jc w:val="both"/>
        <w:rPr>
          <w:sz w:val="28"/>
        </w:rPr>
      </w:pPr>
      <w:r w:rsidRPr="005E758A">
        <w:rPr>
          <w:sz w:val="28"/>
        </w:rPr>
        <w:t>兒童權利公約及許多其他國際文件均認為兒童應該在其家庭中成長，但在特殊情況下，仍有兒童失去其家庭或因為各種原因必須與其家庭分離，或是國家基於兒童最佳利益認為其應該離開家庭，此類</w:t>
      </w:r>
      <w:proofErr w:type="gramStart"/>
      <w:r w:rsidRPr="005E758A">
        <w:rPr>
          <w:sz w:val="28"/>
        </w:rPr>
        <w:t>兒童均為本</w:t>
      </w:r>
      <w:proofErr w:type="gramEnd"/>
      <w:r w:rsidRPr="005E758A">
        <w:rPr>
          <w:sz w:val="28"/>
        </w:rPr>
        <w:t>條適用的對象。雖然一般認為在家庭以外之環境成長的兒童較為弱勢，但國際人權法下相關的規範較少，亦缺乏區域或國內層次的標準，因此公約此條文更顯重要，而本條與公約第</w:t>
      </w:r>
      <w:r w:rsidRPr="005E758A">
        <w:rPr>
          <w:sz w:val="28"/>
        </w:rPr>
        <w:t>7</w:t>
      </w:r>
      <w:r w:rsidRPr="005E758A">
        <w:rPr>
          <w:sz w:val="28"/>
        </w:rPr>
        <w:t>條第</w:t>
      </w:r>
      <w:r w:rsidRPr="005E758A">
        <w:rPr>
          <w:sz w:val="28"/>
        </w:rPr>
        <w:t>1</w:t>
      </w:r>
      <w:r w:rsidRPr="005E758A">
        <w:rPr>
          <w:sz w:val="28"/>
        </w:rPr>
        <w:t>項、第</w:t>
      </w:r>
      <w:r w:rsidRPr="005E758A">
        <w:rPr>
          <w:sz w:val="28"/>
        </w:rPr>
        <w:t>9</w:t>
      </w:r>
      <w:r w:rsidRPr="005E758A">
        <w:rPr>
          <w:sz w:val="28"/>
        </w:rPr>
        <w:t>條第</w:t>
      </w:r>
      <w:r w:rsidRPr="005E758A">
        <w:rPr>
          <w:sz w:val="28"/>
        </w:rPr>
        <w:t>1</w:t>
      </w:r>
      <w:r w:rsidRPr="005E758A">
        <w:rPr>
          <w:sz w:val="28"/>
        </w:rPr>
        <w:t>項、第</w:t>
      </w:r>
      <w:r w:rsidRPr="005E758A">
        <w:rPr>
          <w:sz w:val="28"/>
        </w:rPr>
        <w:t>18</w:t>
      </w:r>
      <w:r w:rsidRPr="005E758A">
        <w:rPr>
          <w:sz w:val="28"/>
        </w:rPr>
        <w:t>條第</w:t>
      </w:r>
      <w:r w:rsidRPr="005E758A">
        <w:rPr>
          <w:sz w:val="28"/>
        </w:rPr>
        <w:t>1</w:t>
      </w:r>
      <w:r w:rsidRPr="005E758A">
        <w:rPr>
          <w:sz w:val="28"/>
        </w:rPr>
        <w:t>項及第</w:t>
      </w:r>
      <w:r w:rsidRPr="005E758A">
        <w:rPr>
          <w:sz w:val="28"/>
        </w:rPr>
        <w:t>2</w:t>
      </w:r>
      <w:r w:rsidRPr="005E758A">
        <w:rPr>
          <w:sz w:val="28"/>
        </w:rPr>
        <w:t>項、第</w:t>
      </w:r>
      <w:r w:rsidRPr="005E758A">
        <w:rPr>
          <w:sz w:val="28"/>
        </w:rPr>
        <w:t>27</w:t>
      </w:r>
      <w:r w:rsidRPr="005E758A">
        <w:rPr>
          <w:sz w:val="28"/>
        </w:rPr>
        <w:t>條第</w:t>
      </w:r>
      <w:r w:rsidRPr="005E758A">
        <w:rPr>
          <w:sz w:val="28"/>
        </w:rPr>
        <w:t>2</w:t>
      </w:r>
      <w:r w:rsidRPr="005E758A">
        <w:rPr>
          <w:sz w:val="28"/>
        </w:rPr>
        <w:t>項及第</w:t>
      </w:r>
      <w:r w:rsidRPr="005E758A">
        <w:rPr>
          <w:sz w:val="28"/>
        </w:rPr>
        <w:t>3</w:t>
      </w:r>
      <w:r w:rsidRPr="005E758A">
        <w:rPr>
          <w:sz w:val="28"/>
        </w:rPr>
        <w:t>項等均密切相關</w:t>
      </w:r>
      <w:bookmarkStart w:id="64" w:name="_Ref430441490"/>
      <w:r w:rsidRPr="005E758A">
        <w:rPr>
          <w:rStyle w:val="af3"/>
          <w:sz w:val="28"/>
        </w:rPr>
        <w:endnoteReference w:id="256"/>
      </w:r>
      <w:bookmarkEnd w:id="64"/>
      <w:r w:rsidRPr="005E758A">
        <w:rPr>
          <w:sz w:val="28"/>
        </w:rPr>
        <w:t>。</w:t>
      </w:r>
    </w:p>
    <w:p w14:paraId="60DDDEC6" w14:textId="77777777" w:rsidR="0099625B" w:rsidRPr="005E758A" w:rsidRDefault="0099625B" w:rsidP="0099625B">
      <w:pPr>
        <w:pStyle w:val="2"/>
      </w:pPr>
      <w:r w:rsidRPr="005E758A">
        <w:t>條文要義</w:t>
      </w:r>
    </w:p>
    <w:p w14:paraId="3AB8434C" w14:textId="77777777" w:rsidR="0099625B" w:rsidRPr="005E758A" w:rsidRDefault="0099625B" w:rsidP="00F02A5C">
      <w:pPr>
        <w:pStyle w:val="3"/>
        <w:numPr>
          <w:ilvl w:val="0"/>
          <w:numId w:val="162"/>
        </w:numPr>
      </w:pPr>
      <w:r w:rsidRPr="005E758A">
        <w:t>第</w:t>
      </w:r>
      <w:r w:rsidRPr="005E758A">
        <w:t>20</w:t>
      </w:r>
      <w:r w:rsidRPr="005E758A">
        <w:t>條第</w:t>
      </w:r>
      <w:r w:rsidRPr="005E758A">
        <w:t>1</w:t>
      </w:r>
      <w:r w:rsidRPr="005E758A">
        <w:t>項</w:t>
      </w:r>
    </w:p>
    <w:p w14:paraId="49FA8DA1" w14:textId="77777777" w:rsidR="0099625B" w:rsidRPr="005E758A" w:rsidRDefault="0099625B" w:rsidP="0099625B">
      <w:pPr>
        <w:snapToGrid w:val="0"/>
        <w:spacing w:before="100" w:beforeAutospacing="1" w:after="100" w:afterAutospacing="1"/>
        <w:ind w:firstLineChars="200" w:firstLine="560"/>
        <w:jc w:val="both"/>
        <w:rPr>
          <w:sz w:val="28"/>
        </w:rPr>
      </w:pPr>
      <w:r w:rsidRPr="005E758A">
        <w:rPr>
          <w:sz w:val="28"/>
        </w:rPr>
        <w:t>為決定哪些兒童具有本條權利，須先分析「家庭環境」的意義，兒童權利委員會認為由於經社因素、大環境的政治、文化、經濟傳統等不同方面的影響，「家庭」種類多</w:t>
      </w:r>
      <w:proofErr w:type="gramStart"/>
      <w:r w:rsidRPr="005E758A">
        <w:rPr>
          <w:sz w:val="28"/>
        </w:rPr>
        <w:t>樣</w:t>
      </w:r>
      <w:proofErr w:type="gramEnd"/>
      <w:r w:rsidRPr="005E758A">
        <w:rPr>
          <w:rStyle w:val="af3"/>
          <w:sz w:val="28"/>
        </w:rPr>
        <w:endnoteReference w:id="257"/>
      </w:r>
      <w:r w:rsidRPr="005E758A">
        <w:rPr>
          <w:sz w:val="28"/>
        </w:rPr>
        <w:t>，包括：核心家庭、重組家庭、數代同堂的大家庭、單親家庭、習慣法家庭和收養家庭等</w:t>
      </w:r>
      <w:r w:rsidRPr="005E758A">
        <w:rPr>
          <w:rStyle w:val="af3"/>
          <w:sz w:val="28"/>
        </w:rPr>
        <w:endnoteReference w:id="258"/>
      </w:r>
      <w:r w:rsidRPr="005E758A">
        <w:rPr>
          <w:sz w:val="28"/>
        </w:rPr>
        <w:t>，因此無法有一統一定義，聯合國人權事務委員會亦採取類似立場</w:t>
      </w:r>
      <w:r w:rsidRPr="005E758A">
        <w:rPr>
          <w:rStyle w:val="af3"/>
          <w:sz w:val="28"/>
        </w:rPr>
        <w:endnoteReference w:id="259"/>
      </w:r>
      <w:r w:rsidRPr="005E758A">
        <w:rPr>
          <w:sz w:val="28"/>
        </w:rPr>
        <w:t>。而導致本項所指之「暫時或永久剝奪其家庭環境」之情況可能包括以下幾種：雙親身亡、遭雙親拋棄、雙親非自願情形下失蹤、雙親暫時或永久失去能力</w:t>
      </w:r>
      <w:proofErr w:type="gramStart"/>
      <w:r w:rsidRPr="005E758A">
        <w:rPr>
          <w:sz w:val="28"/>
        </w:rPr>
        <w:t>（</w:t>
      </w:r>
      <w:proofErr w:type="gramEnd"/>
      <w:r w:rsidRPr="005E758A">
        <w:rPr>
          <w:sz w:val="28"/>
        </w:rPr>
        <w:t>例如：入獄服刑、及並、身心障礙等</w:t>
      </w:r>
      <w:proofErr w:type="gramStart"/>
      <w:r w:rsidRPr="005E758A">
        <w:rPr>
          <w:sz w:val="28"/>
        </w:rPr>
        <w:t>）</w:t>
      </w:r>
      <w:proofErr w:type="gramEnd"/>
      <w:r w:rsidRPr="005E758A">
        <w:rPr>
          <w:sz w:val="28"/>
        </w:rPr>
        <w:t>、兒童在境內非自願流離失所等</w:t>
      </w:r>
      <w:r w:rsidRPr="005E758A">
        <w:rPr>
          <w:rStyle w:val="af3"/>
          <w:sz w:val="28"/>
        </w:rPr>
        <w:endnoteReference w:id="260"/>
      </w:r>
      <w:r w:rsidRPr="005E758A">
        <w:rPr>
          <w:sz w:val="28"/>
        </w:rPr>
        <w:t>。</w:t>
      </w:r>
      <w:proofErr w:type="gramStart"/>
      <w:r w:rsidRPr="005E758A">
        <w:rPr>
          <w:sz w:val="28"/>
        </w:rPr>
        <w:t>惟</w:t>
      </w:r>
      <w:proofErr w:type="gramEnd"/>
      <w:r w:rsidRPr="005E758A">
        <w:rPr>
          <w:sz w:val="28"/>
        </w:rPr>
        <w:t>兒童自身觸法後被判應進入矯正機關而須離開其家庭環境時，是否屬於本項所指之情狀不無爭議，從公約協商過程等相關資料似乎看不出制訂公約者在討論本條時有考量此類兒童，因此有論者認為此類兒童之權利和待遇仍應由公約第</w:t>
      </w:r>
      <w:r w:rsidRPr="005E758A">
        <w:rPr>
          <w:sz w:val="28"/>
        </w:rPr>
        <w:t>37</w:t>
      </w:r>
      <w:r w:rsidRPr="005E758A">
        <w:rPr>
          <w:sz w:val="28"/>
        </w:rPr>
        <w:t>條及第</w:t>
      </w:r>
      <w:r w:rsidRPr="005E758A">
        <w:rPr>
          <w:sz w:val="28"/>
        </w:rPr>
        <w:t>40</w:t>
      </w:r>
      <w:r w:rsidRPr="005E758A">
        <w:rPr>
          <w:sz w:val="28"/>
        </w:rPr>
        <w:t>條處理</w:t>
      </w:r>
      <w:r w:rsidRPr="005E758A">
        <w:rPr>
          <w:rStyle w:val="af3"/>
          <w:sz w:val="28"/>
        </w:rPr>
        <w:endnoteReference w:id="261"/>
      </w:r>
      <w:r w:rsidRPr="005E758A">
        <w:rPr>
          <w:sz w:val="28"/>
        </w:rPr>
        <w:t>。</w:t>
      </w:r>
    </w:p>
    <w:p w14:paraId="2C183D38" w14:textId="77777777" w:rsidR="0099625B" w:rsidRPr="005E758A" w:rsidRDefault="0099625B" w:rsidP="0099625B">
      <w:pPr>
        <w:snapToGrid w:val="0"/>
        <w:spacing w:before="100" w:beforeAutospacing="1" w:after="100" w:afterAutospacing="1"/>
        <w:ind w:firstLineChars="200" w:firstLine="560"/>
        <w:jc w:val="both"/>
        <w:rPr>
          <w:sz w:val="28"/>
        </w:rPr>
      </w:pPr>
      <w:r w:rsidRPr="005E758A">
        <w:rPr>
          <w:sz w:val="28"/>
        </w:rPr>
        <w:lastRenderedPageBreak/>
        <w:t>而「</w:t>
      </w:r>
      <w:r w:rsidRPr="005E758A">
        <w:rPr>
          <w:sz w:val="28"/>
          <w:szCs w:val="28"/>
        </w:rPr>
        <w:t>因顧及其最佳利益無法使其繼續留在家庭環境</w:t>
      </w:r>
      <w:r w:rsidRPr="005E758A">
        <w:rPr>
          <w:sz w:val="28"/>
        </w:rPr>
        <w:t>」所指者，包括主管機關依照第</w:t>
      </w:r>
      <w:r w:rsidRPr="005E758A">
        <w:rPr>
          <w:sz w:val="28"/>
        </w:rPr>
        <w:t>9</w:t>
      </w:r>
      <w:r w:rsidRPr="005E758A">
        <w:rPr>
          <w:sz w:val="28"/>
        </w:rPr>
        <w:t>條第</w:t>
      </w:r>
      <w:r w:rsidRPr="005E758A">
        <w:rPr>
          <w:sz w:val="28"/>
        </w:rPr>
        <w:t>1</w:t>
      </w:r>
      <w:r w:rsidRPr="005E758A">
        <w:rPr>
          <w:sz w:val="28"/>
        </w:rPr>
        <w:t>項但書判斷</w:t>
      </w:r>
      <w:r w:rsidRPr="005E758A">
        <w:rPr>
          <w:sz w:val="28"/>
          <w:szCs w:val="28"/>
        </w:rPr>
        <w:t>因顧及其最佳利益，</w:t>
      </w:r>
      <w:r w:rsidRPr="005E758A">
        <w:rPr>
          <w:sz w:val="28"/>
        </w:rPr>
        <w:t>兒童應與其父母分離者</w:t>
      </w:r>
      <w:r w:rsidRPr="005E758A">
        <w:rPr>
          <w:rStyle w:val="af3"/>
          <w:sz w:val="28"/>
        </w:rPr>
        <w:endnoteReference w:id="262"/>
      </w:r>
      <w:r w:rsidRPr="005E758A">
        <w:rPr>
          <w:sz w:val="28"/>
        </w:rPr>
        <w:t>，如此的判斷並須定期檢視，確保分離是有必要且適當的</w:t>
      </w:r>
      <w:r w:rsidRPr="005E758A">
        <w:rPr>
          <w:rStyle w:val="af3"/>
          <w:sz w:val="28"/>
        </w:rPr>
        <w:endnoteReference w:id="263"/>
      </w:r>
      <w:r w:rsidR="00626943" w:rsidRPr="005E758A">
        <w:rPr>
          <w:sz w:val="28"/>
        </w:rPr>
        <w:t>。</w:t>
      </w:r>
    </w:p>
    <w:p w14:paraId="38F15E1E" w14:textId="77777777" w:rsidR="0099625B" w:rsidRPr="005E758A" w:rsidRDefault="0099625B" w:rsidP="0099625B">
      <w:pPr>
        <w:snapToGrid w:val="0"/>
        <w:spacing w:before="100" w:beforeAutospacing="1" w:after="100" w:afterAutospacing="1"/>
        <w:ind w:firstLineChars="200" w:firstLine="560"/>
        <w:jc w:val="both"/>
        <w:rPr>
          <w:sz w:val="28"/>
        </w:rPr>
      </w:pPr>
      <w:r w:rsidRPr="005E758A">
        <w:rPr>
          <w:sz w:val="28"/>
        </w:rPr>
        <w:t>本項之「特別之保護與協助」指的是針對個別被剝奪家庭環境之兒童調整之保護與協助，相較於一般的兒童，締約國對此類兒童應提供更多的保護與協助，以彌補其因較為弱勢而無法享受公約權利之缺憾。</w:t>
      </w:r>
      <w:r w:rsidRPr="005E758A">
        <w:rPr>
          <w:rStyle w:val="af3"/>
          <w:sz w:val="28"/>
        </w:rPr>
        <w:endnoteReference w:id="264"/>
      </w:r>
      <w:r w:rsidRPr="005E758A">
        <w:rPr>
          <w:sz w:val="28"/>
        </w:rPr>
        <w:t>另外，締約國有直接的「給予」上述保護和協助的義務，而非較間接的「確保」或「確認」義務</w:t>
      </w:r>
      <w:r w:rsidRPr="005E758A">
        <w:rPr>
          <w:rStyle w:val="af3"/>
          <w:sz w:val="28"/>
        </w:rPr>
        <w:endnoteReference w:id="265"/>
      </w:r>
      <w:r w:rsidRPr="005E758A">
        <w:rPr>
          <w:sz w:val="28"/>
        </w:rPr>
        <w:t>。</w:t>
      </w:r>
    </w:p>
    <w:p w14:paraId="1EB47766" w14:textId="77777777" w:rsidR="0099625B" w:rsidRPr="005E758A" w:rsidRDefault="0099625B" w:rsidP="0099625B">
      <w:pPr>
        <w:pStyle w:val="3"/>
        <w:numPr>
          <w:ilvl w:val="0"/>
          <w:numId w:val="8"/>
        </w:numPr>
      </w:pPr>
      <w:r w:rsidRPr="005E758A">
        <w:t>第</w:t>
      </w:r>
      <w:r w:rsidRPr="005E758A">
        <w:t>20</w:t>
      </w:r>
      <w:r w:rsidRPr="005E758A">
        <w:t>條第</w:t>
      </w:r>
      <w:r w:rsidRPr="005E758A">
        <w:t>2</w:t>
      </w:r>
      <w:r w:rsidRPr="005E758A">
        <w:t>項及第</w:t>
      </w:r>
      <w:r w:rsidRPr="005E758A">
        <w:t>3</w:t>
      </w:r>
      <w:r w:rsidRPr="005E758A">
        <w:t>項</w:t>
      </w:r>
    </w:p>
    <w:p w14:paraId="0C553702" w14:textId="77777777" w:rsidR="0099625B" w:rsidRPr="005E758A" w:rsidRDefault="0099625B" w:rsidP="0099625B">
      <w:pPr>
        <w:snapToGrid w:val="0"/>
        <w:spacing w:before="100" w:beforeAutospacing="1" w:after="100" w:afterAutospacing="1"/>
        <w:ind w:firstLineChars="200" w:firstLine="560"/>
        <w:jc w:val="both"/>
        <w:rPr>
          <w:sz w:val="28"/>
        </w:rPr>
      </w:pPr>
      <w:r w:rsidRPr="005E758A">
        <w:rPr>
          <w:sz w:val="28"/>
        </w:rPr>
        <w:t>本條第</w:t>
      </w:r>
      <w:r w:rsidRPr="005E758A">
        <w:rPr>
          <w:sz w:val="28"/>
        </w:rPr>
        <w:t>2</w:t>
      </w:r>
      <w:r w:rsidRPr="005E758A">
        <w:rPr>
          <w:sz w:val="28"/>
        </w:rPr>
        <w:t>項要求締約國「依其國家法律」確保前述兒童獲得替代性照顧，這樣的規範一方面要求締約國立法建立替代性照顧的相關機制，另一方面也留下空間讓締約國決定如何設計相關制度，本條第</w:t>
      </w:r>
      <w:r w:rsidRPr="005E758A">
        <w:rPr>
          <w:sz w:val="28"/>
        </w:rPr>
        <w:t>3</w:t>
      </w:r>
      <w:r w:rsidRPr="005E758A">
        <w:rPr>
          <w:sz w:val="28"/>
        </w:rPr>
        <w:t>項所提之伊斯蘭法之監護</w:t>
      </w:r>
      <w:r w:rsidRPr="005E758A">
        <w:rPr>
          <w:sz w:val="28"/>
        </w:rPr>
        <w:t>(</w:t>
      </w:r>
      <w:r w:rsidRPr="005E758A">
        <w:rPr>
          <w:i/>
          <w:sz w:val="28"/>
        </w:rPr>
        <w:t>kafala</w:t>
      </w:r>
      <w:r w:rsidRPr="005E758A">
        <w:rPr>
          <w:sz w:val="28"/>
        </w:rPr>
        <w:t>)</w:t>
      </w:r>
      <w:r w:rsidRPr="005E758A">
        <w:rPr>
          <w:sz w:val="28"/>
        </w:rPr>
        <w:t>以及收養為此類制度的例子，但各締約國</w:t>
      </w:r>
      <w:proofErr w:type="gramStart"/>
      <w:r w:rsidRPr="005E758A">
        <w:rPr>
          <w:sz w:val="28"/>
        </w:rPr>
        <w:t>實際上究</w:t>
      </w:r>
      <w:proofErr w:type="gramEnd"/>
      <w:r w:rsidRPr="005E758A">
        <w:rPr>
          <w:sz w:val="28"/>
        </w:rPr>
        <w:t>應建立何種制度，仍得依各國政治、社會，經環境、文化、發展等因素衡量後立法規範。依照本項規範，國家有義務「確保」此類兒童獲得替代性照顧，換而言之，替代性照顧不一定要由國家提供，惟須注意的是，國家仍應確保私人機構提供之替代性照顧已達公約要求的標準</w:t>
      </w:r>
      <w:r w:rsidRPr="005E758A">
        <w:rPr>
          <w:rStyle w:val="af3"/>
          <w:sz w:val="28"/>
        </w:rPr>
        <w:endnoteReference w:id="266"/>
      </w:r>
      <w:r w:rsidRPr="005E758A">
        <w:rPr>
          <w:sz w:val="28"/>
        </w:rPr>
        <w:t>。</w:t>
      </w:r>
    </w:p>
    <w:p w14:paraId="3C2C0EFC" w14:textId="77777777" w:rsidR="0099625B" w:rsidRPr="005E758A" w:rsidRDefault="0099625B" w:rsidP="0099625B">
      <w:pPr>
        <w:snapToGrid w:val="0"/>
        <w:spacing w:before="100" w:beforeAutospacing="1" w:after="100" w:afterAutospacing="1"/>
        <w:ind w:firstLineChars="200" w:firstLine="560"/>
        <w:jc w:val="both"/>
        <w:rPr>
          <w:sz w:val="28"/>
        </w:rPr>
      </w:pPr>
      <w:r w:rsidRPr="005E758A">
        <w:rPr>
          <w:sz w:val="28"/>
        </w:rPr>
        <w:t>本條第</w:t>
      </w:r>
      <w:r w:rsidRPr="005E758A">
        <w:rPr>
          <w:sz w:val="28"/>
        </w:rPr>
        <w:t>3</w:t>
      </w:r>
      <w:r w:rsidRPr="005E758A">
        <w:rPr>
          <w:sz w:val="28"/>
        </w:rPr>
        <w:t>項舉出替代性照顧的例子中大部分（寄養、依伊斯蘭法之監護、收養）性質上仍以「家庭」為基礎</w:t>
      </w:r>
      <w:r w:rsidRPr="005E758A">
        <w:rPr>
          <w:rStyle w:val="af3"/>
          <w:sz w:val="28"/>
        </w:rPr>
        <w:endnoteReference w:id="267"/>
      </w:r>
      <w:r w:rsidRPr="005E758A">
        <w:rPr>
          <w:sz w:val="28"/>
        </w:rPr>
        <w:t>，其中「收養」制度在第</w:t>
      </w:r>
      <w:r w:rsidRPr="005E758A">
        <w:rPr>
          <w:sz w:val="28"/>
        </w:rPr>
        <w:t>21</w:t>
      </w:r>
      <w:r w:rsidRPr="005E758A">
        <w:rPr>
          <w:sz w:val="28"/>
        </w:rPr>
        <w:t>條有更詳盡的規範。「適當之照顧機構」順序上為最後一個例子，並且前面加上了「必要時」的前提，似乎代表了條約起草者暗示此為最後手段</w:t>
      </w:r>
      <w:r w:rsidRPr="005E758A">
        <w:rPr>
          <w:rStyle w:val="af3"/>
          <w:sz w:val="28"/>
        </w:rPr>
        <w:endnoteReference w:id="268"/>
      </w:r>
      <w:r w:rsidRPr="005E758A">
        <w:rPr>
          <w:sz w:val="28"/>
        </w:rPr>
        <w:t>，兒童權利委員會甚至於</w:t>
      </w:r>
      <w:r w:rsidRPr="005E758A">
        <w:rPr>
          <w:sz w:val="28"/>
        </w:rPr>
        <w:t>1996</w:t>
      </w:r>
      <w:r w:rsidRPr="005E758A">
        <w:rPr>
          <w:sz w:val="28"/>
        </w:rPr>
        <w:t>年發布之締約國定期報告撰寫準則中要求國家說明採取何種措施確保「只有實際必要時才能使用將兒童安置在適當機構」之手段</w:t>
      </w:r>
      <w:r w:rsidRPr="005E758A">
        <w:rPr>
          <w:rStyle w:val="af3"/>
          <w:sz w:val="28"/>
        </w:rPr>
        <w:endnoteReference w:id="269"/>
      </w:r>
      <w:r w:rsidRPr="005E758A">
        <w:rPr>
          <w:sz w:val="28"/>
        </w:rPr>
        <w:t>，但此項要求在新版的定期報告撰寫準則</w:t>
      </w:r>
      <w:r w:rsidRPr="005E758A">
        <w:rPr>
          <w:rStyle w:val="af3"/>
          <w:sz w:val="28"/>
        </w:rPr>
        <w:endnoteReference w:id="270"/>
      </w:r>
      <w:r w:rsidRPr="005E758A">
        <w:rPr>
          <w:sz w:val="28"/>
        </w:rPr>
        <w:t>中已不復見，並有學者認為應該鼓勵國家提供各種不同的替代照顧方案，以在個案中決定何為最適合之方案</w:t>
      </w:r>
      <w:r w:rsidRPr="005E758A">
        <w:rPr>
          <w:rStyle w:val="af3"/>
          <w:sz w:val="28"/>
        </w:rPr>
        <w:endnoteReference w:id="271"/>
      </w:r>
      <w:r w:rsidRPr="005E758A">
        <w:rPr>
          <w:sz w:val="28"/>
        </w:rPr>
        <w:t>。</w:t>
      </w:r>
    </w:p>
    <w:p w14:paraId="0147A96D" w14:textId="77777777" w:rsidR="0099625B" w:rsidRPr="005E758A" w:rsidRDefault="0099625B" w:rsidP="0099625B">
      <w:pPr>
        <w:snapToGrid w:val="0"/>
        <w:spacing w:before="100" w:beforeAutospacing="1" w:after="100" w:afterAutospacing="1"/>
        <w:ind w:firstLineChars="200" w:firstLine="560"/>
        <w:jc w:val="both"/>
        <w:rPr>
          <w:sz w:val="28"/>
        </w:rPr>
      </w:pPr>
      <w:r w:rsidRPr="005E758A">
        <w:rPr>
          <w:sz w:val="28"/>
        </w:rPr>
        <w:t>本項進一步規範了安排替代性照顧時應有的考量，包括替代性照顧之持續性以及</w:t>
      </w:r>
      <w:r w:rsidRPr="005E758A">
        <w:rPr>
          <w:sz w:val="28"/>
          <w:szCs w:val="28"/>
        </w:rPr>
        <w:t>兒童之種族、宗教、文化與語言背景</w:t>
      </w:r>
      <w:r w:rsidRPr="005E758A">
        <w:rPr>
          <w:sz w:val="28"/>
        </w:rPr>
        <w:t>，除了這些通用於各種情況的考量為，兒童權利委員會與在原籍國之外的無人陪伴或無父母陪伴兒童相關之一般性意見中指出，締約國為其安排替代性照顧時，須考量其「喪失與家庭環境的聯繫，同時又身在原籍國以外所處的特別脆弱的處境，同時也要考量到兒童的年齡和性別」</w:t>
      </w:r>
      <w:r w:rsidRPr="005E758A">
        <w:rPr>
          <w:rStyle w:val="af3"/>
          <w:sz w:val="28"/>
        </w:rPr>
        <w:endnoteReference w:id="272"/>
      </w:r>
      <w:r w:rsidRPr="005E758A">
        <w:rPr>
          <w:sz w:val="28"/>
        </w:rPr>
        <w:t>。</w:t>
      </w:r>
    </w:p>
    <w:p w14:paraId="353B5FD7" w14:textId="77777777" w:rsidR="0099625B" w:rsidRPr="005E758A" w:rsidRDefault="0099625B" w:rsidP="0099625B">
      <w:pPr>
        <w:pStyle w:val="2"/>
      </w:pPr>
      <w:r w:rsidRPr="005E758A">
        <w:lastRenderedPageBreak/>
        <w:t>案例介紹</w:t>
      </w:r>
    </w:p>
    <w:p w14:paraId="41D87926" w14:textId="77777777" w:rsidR="0099625B" w:rsidRPr="005E758A" w:rsidRDefault="0099625B" w:rsidP="00F02A5C">
      <w:pPr>
        <w:pStyle w:val="3"/>
        <w:numPr>
          <w:ilvl w:val="0"/>
          <w:numId w:val="163"/>
        </w:numPr>
      </w:pPr>
      <w:r w:rsidRPr="005E758A">
        <w:t>2009</w:t>
      </w:r>
      <w:r w:rsidRPr="005E758A">
        <w:t>年立陶宛最高法院跨國境收養案：</w:t>
      </w:r>
      <w:r w:rsidRPr="005E758A">
        <w:t>S. R., V. R. v. Lithuania</w:t>
      </w:r>
      <w:r w:rsidRPr="005E758A">
        <w:rPr>
          <w:rStyle w:val="af3"/>
        </w:rPr>
        <w:endnoteReference w:id="273"/>
      </w:r>
    </w:p>
    <w:p w14:paraId="28AC7512" w14:textId="77777777" w:rsidR="0099625B" w:rsidRPr="005E758A" w:rsidRDefault="0099625B" w:rsidP="0099625B">
      <w:pPr>
        <w:snapToGrid w:val="0"/>
        <w:spacing w:before="100" w:beforeAutospacing="1" w:after="100" w:afterAutospacing="1"/>
        <w:ind w:firstLineChars="200" w:firstLine="560"/>
        <w:jc w:val="both"/>
        <w:rPr>
          <w:sz w:val="28"/>
        </w:rPr>
      </w:pPr>
      <w:r w:rsidRPr="005E758A">
        <w:rPr>
          <w:sz w:val="28"/>
        </w:rPr>
        <w:t>V. R.</w:t>
      </w:r>
      <w:r w:rsidRPr="005E758A">
        <w:rPr>
          <w:sz w:val="28"/>
        </w:rPr>
        <w:t>和</w:t>
      </w:r>
      <w:r w:rsidRPr="005E758A">
        <w:rPr>
          <w:sz w:val="28"/>
        </w:rPr>
        <w:t>S. R.</w:t>
      </w:r>
      <w:r w:rsidRPr="005E758A">
        <w:rPr>
          <w:sz w:val="28"/>
        </w:rPr>
        <w:t>兩姊妹於其母親入獄服刑後被政府安排住進育幼機構，並於</w:t>
      </w:r>
      <w:r w:rsidRPr="005E758A">
        <w:rPr>
          <w:sz w:val="28"/>
        </w:rPr>
        <w:t>1996</w:t>
      </w:r>
      <w:r w:rsidRPr="005E758A">
        <w:rPr>
          <w:sz w:val="28"/>
        </w:rPr>
        <w:t>年搬到美國參與由美國私人機構辦理的兩年期教育計畫，計畫期間兩姊妹與</w:t>
      </w:r>
      <w:r w:rsidRPr="005E758A">
        <w:rPr>
          <w:sz w:val="28"/>
        </w:rPr>
        <w:t>H</w:t>
      </w:r>
      <w:r w:rsidRPr="005E758A">
        <w:rPr>
          <w:sz w:val="28"/>
        </w:rPr>
        <w:t>家同住，兩年結束後，雖然該私人機構或計畫在法律上均無安置兩姊妹的權利，但兩姊妹仍繼續與</w:t>
      </w:r>
      <w:r w:rsidRPr="005E758A">
        <w:rPr>
          <w:sz w:val="28"/>
        </w:rPr>
        <w:t>H</w:t>
      </w:r>
      <w:r w:rsidRPr="005E758A">
        <w:rPr>
          <w:sz w:val="28"/>
        </w:rPr>
        <w:t>家同住，雖然</w:t>
      </w:r>
      <w:r w:rsidRPr="005E758A">
        <w:rPr>
          <w:sz w:val="28"/>
        </w:rPr>
        <w:t>H</w:t>
      </w:r>
      <w:r w:rsidRPr="005E758A">
        <w:rPr>
          <w:sz w:val="28"/>
        </w:rPr>
        <w:t>家希望收養兩姊妹，但由於沒有得到兩姊妹母親的同意而未果。立陶宛政府於</w:t>
      </w:r>
      <w:r w:rsidRPr="005E758A">
        <w:rPr>
          <w:sz w:val="28"/>
        </w:rPr>
        <w:t>2006</w:t>
      </w:r>
      <w:r w:rsidRPr="005E758A">
        <w:rPr>
          <w:sz w:val="28"/>
        </w:rPr>
        <w:t>年得知兩姊妹的所在地之後，將其送回立陶宛並安排她們與出生後即沒有接觸的母親同住。臨時被迫遷移使兩姊妹受重大打擊，因此決定控告負責照顧他們的政府單位，要求金錢賠償。</w:t>
      </w:r>
    </w:p>
    <w:p w14:paraId="7B13EFA1" w14:textId="77777777" w:rsidR="0099625B" w:rsidRPr="005E758A" w:rsidRDefault="0099625B" w:rsidP="0099625B">
      <w:pPr>
        <w:snapToGrid w:val="0"/>
        <w:spacing w:before="100" w:beforeAutospacing="1" w:after="100" w:afterAutospacing="1"/>
        <w:ind w:firstLineChars="200" w:firstLine="560"/>
        <w:jc w:val="both"/>
        <w:rPr>
          <w:sz w:val="28"/>
        </w:rPr>
      </w:pPr>
      <w:r w:rsidRPr="005E758A">
        <w:rPr>
          <w:sz w:val="28"/>
        </w:rPr>
        <w:t>法院認為，本案中雖然兩姊妹母親的親權並未被正式終止，但是由於母親入獄服刑，事實上兩姊妹的確屬「剝奪其家庭環境之兒童」，因此有公約第</w:t>
      </w:r>
      <w:r w:rsidRPr="005E758A">
        <w:rPr>
          <w:sz w:val="28"/>
        </w:rPr>
        <w:t>20</w:t>
      </w:r>
      <w:r w:rsidRPr="005E758A">
        <w:rPr>
          <w:sz w:val="28"/>
        </w:rPr>
        <w:t>條的適用，國家應該提供特別保護與協助。兩姊妹在沒有法定監護人的情況下接受私人機構安排前往美國，且立陶宛政府於</w:t>
      </w:r>
      <w:r w:rsidRPr="005E758A">
        <w:rPr>
          <w:sz w:val="28"/>
        </w:rPr>
        <w:t>2006</w:t>
      </w:r>
      <w:r w:rsidRPr="005E758A">
        <w:rPr>
          <w:sz w:val="28"/>
        </w:rPr>
        <w:t>年之前皆不知兩姊妹的所在地，顯然嚴重違反公約第</w:t>
      </w:r>
      <w:r w:rsidRPr="005E758A">
        <w:rPr>
          <w:sz w:val="28"/>
        </w:rPr>
        <w:t>20</w:t>
      </w:r>
      <w:r w:rsidRPr="005E758A">
        <w:rPr>
          <w:sz w:val="28"/>
        </w:rPr>
        <w:t>條及第</w:t>
      </w:r>
      <w:r w:rsidRPr="005E758A">
        <w:rPr>
          <w:sz w:val="28"/>
        </w:rPr>
        <w:t>21</w:t>
      </w:r>
      <w:r w:rsidRPr="005E758A">
        <w:rPr>
          <w:sz w:val="28"/>
        </w:rPr>
        <w:t>條，法院認為，根據第</w:t>
      </w:r>
      <w:r w:rsidRPr="005E758A">
        <w:rPr>
          <w:sz w:val="28"/>
        </w:rPr>
        <w:t>20</w:t>
      </w:r>
      <w:r w:rsidRPr="005E758A">
        <w:rPr>
          <w:sz w:val="28"/>
        </w:rPr>
        <w:t>條，國家應該提供剝奪其家庭環境之兒童以下照顧選項：親戚照顧應為首選，若無法由親戚照顧始可考慮監護人照顧或收養，如果上述</w:t>
      </w:r>
      <w:proofErr w:type="gramStart"/>
      <w:r w:rsidRPr="005E758A">
        <w:rPr>
          <w:sz w:val="28"/>
        </w:rPr>
        <w:t>方式均不成功</w:t>
      </w:r>
      <w:proofErr w:type="gramEnd"/>
      <w:r w:rsidRPr="005E758A">
        <w:rPr>
          <w:sz w:val="28"/>
        </w:rPr>
        <w:t>，始可安排其進入兒童照顧機構。</w:t>
      </w:r>
    </w:p>
    <w:p w14:paraId="46DCE741" w14:textId="77777777" w:rsidR="0099625B" w:rsidRPr="005E758A" w:rsidRDefault="0099625B" w:rsidP="0099625B">
      <w:pPr>
        <w:snapToGrid w:val="0"/>
        <w:spacing w:before="100" w:beforeAutospacing="1" w:after="100" w:afterAutospacing="1"/>
        <w:ind w:firstLineChars="200" w:firstLine="560"/>
        <w:jc w:val="both"/>
        <w:rPr>
          <w:sz w:val="28"/>
        </w:rPr>
      </w:pPr>
      <w:r w:rsidRPr="005E758A">
        <w:rPr>
          <w:sz w:val="28"/>
        </w:rPr>
        <w:t>法院強調，兒童權利及利益應作為最優先的考量，政府人員在進行與兒童相關的行為或處理法律未規定的事項時，首要義務在於評估預採取的行動是否符合兒童的最佳利益，並須確保兒童的權利及利益不會遭侵犯或危害，而本案中相關政府人員顯然沒有遵循此項義務，政府應就兩姊妹所遭受之權利侵害及所受之傷害負賠償責任。</w:t>
      </w:r>
    </w:p>
    <w:p w14:paraId="23A07485" w14:textId="77777777" w:rsidR="0099625B" w:rsidRPr="005E758A" w:rsidRDefault="0099625B" w:rsidP="0099625B">
      <w:pPr>
        <w:pStyle w:val="3"/>
        <w:numPr>
          <w:ilvl w:val="0"/>
          <w:numId w:val="8"/>
        </w:numPr>
      </w:pPr>
      <w:r w:rsidRPr="005E758A">
        <w:t>2013</w:t>
      </w:r>
      <w:r w:rsidRPr="005E758A">
        <w:t>年巴布亞紐幾內亞國家法院母親量刑案：</w:t>
      </w:r>
      <w:r w:rsidRPr="005E758A">
        <w:t xml:space="preserve">State v. </w:t>
      </w:r>
      <w:proofErr w:type="spellStart"/>
      <w:r w:rsidRPr="005E758A">
        <w:t>Tuanis</w:t>
      </w:r>
      <w:proofErr w:type="spellEnd"/>
      <w:r w:rsidRPr="005E758A">
        <w:rPr>
          <w:rStyle w:val="af3"/>
        </w:rPr>
        <w:endnoteReference w:id="274"/>
      </w:r>
    </w:p>
    <w:p w14:paraId="5DA2C5DE" w14:textId="77777777" w:rsidR="0099625B" w:rsidRPr="005E758A" w:rsidRDefault="0099625B" w:rsidP="0099625B">
      <w:pPr>
        <w:snapToGrid w:val="0"/>
        <w:spacing w:before="100" w:beforeAutospacing="1" w:after="100" w:afterAutospacing="1"/>
        <w:ind w:firstLineChars="200" w:firstLine="560"/>
        <w:jc w:val="both"/>
        <w:rPr>
          <w:sz w:val="28"/>
        </w:rPr>
      </w:pPr>
      <w:r w:rsidRPr="005E758A">
        <w:rPr>
          <w:sz w:val="28"/>
        </w:rPr>
        <w:t>一名</w:t>
      </w:r>
      <w:r w:rsidRPr="005E758A">
        <w:rPr>
          <w:sz w:val="28"/>
        </w:rPr>
        <w:t>3</w:t>
      </w:r>
      <w:r w:rsidRPr="005E758A">
        <w:rPr>
          <w:sz w:val="28"/>
        </w:rPr>
        <w:t>歲兒童的母親被控謀殺其男友（兒童的生父）並定罪，於判刑之前已羈押約</w:t>
      </w:r>
      <w:r w:rsidRPr="005E758A">
        <w:rPr>
          <w:sz w:val="28"/>
        </w:rPr>
        <w:t>3</w:t>
      </w:r>
      <w:r w:rsidRPr="005E758A">
        <w:rPr>
          <w:sz w:val="28"/>
        </w:rPr>
        <w:t>年，羈押期間該名兒童由母親照顧並與母親同住在監獄，本案涉及這位母親遭定罪後的量刑判決。</w:t>
      </w:r>
    </w:p>
    <w:p w14:paraId="488DAE4A" w14:textId="77777777" w:rsidR="0099625B" w:rsidRPr="005E758A" w:rsidRDefault="0099625B" w:rsidP="0099625B">
      <w:pPr>
        <w:snapToGrid w:val="0"/>
        <w:spacing w:before="100" w:beforeAutospacing="1" w:after="100" w:afterAutospacing="1"/>
        <w:ind w:firstLineChars="200" w:firstLine="560"/>
        <w:jc w:val="both"/>
        <w:rPr>
          <w:sz w:val="28"/>
        </w:rPr>
      </w:pPr>
      <w:r w:rsidRPr="005E758A">
        <w:rPr>
          <w:sz w:val="28"/>
        </w:rPr>
        <w:t>法院於量刑的過程中，除了考慮一般的減刑情節（未有前科、配合警方調查、犯後悔意等）外，亦考量了母親服刑對該名兒童的影響。法院指出，雖然這名母親現在的處境是自己招致的，但該名兒童是無辜的，且其權利應該受到尊重，母親刑期若過長則可能侵犯兒童的權</w:t>
      </w:r>
      <w:r w:rsidRPr="005E758A">
        <w:rPr>
          <w:sz w:val="28"/>
        </w:rPr>
        <w:lastRenderedPageBreak/>
        <w:t>利。法院引用了公約第</w:t>
      </w:r>
      <w:r w:rsidRPr="005E758A">
        <w:rPr>
          <w:sz w:val="28"/>
        </w:rPr>
        <w:t>20</w:t>
      </w:r>
      <w:r w:rsidRPr="005E758A">
        <w:rPr>
          <w:sz w:val="28"/>
        </w:rPr>
        <w:t>條，並強調法院身為國家機關的一部，必須符合國家批准公約時的承諾，應確保剝奪其家庭環境的兒童能受到特殊的保護。最後，這位母親遭判處</w:t>
      </w:r>
      <w:r w:rsidRPr="005E758A">
        <w:rPr>
          <w:sz w:val="28"/>
        </w:rPr>
        <w:t>10</w:t>
      </w:r>
      <w:r w:rsidRPr="005E758A">
        <w:rPr>
          <w:sz w:val="28"/>
        </w:rPr>
        <w:t>年徒刑，其中</w:t>
      </w:r>
      <w:r w:rsidRPr="005E758A">
        <w:rPr>
          <w:sz w:val="28"/>
        </w:rPr>
        <w:t>3</w:t>
      </w:r>
      <w:r w:rsidRPr="005E758A">
        <w:rPr>
          <w:sz w:val="28"/>
        </w:rPr>
        <w:t>年以羈押</w:t>
      </w:r>
      <w:proofErr w:type="gramStart"/>
      <w:r w:rsidRPr="005E758A">
        <w:rPr>
          <w:sz w:val="28"/>
        </w:rPr>
        <w:t>期間扣</w:t>
      </w:r>
      <w:proofErr w:type="gramEnd"/>
      <w:r w:rsidRPr="005E758A">
        <w:rPr>
          <w:sz w:val="28"/>
        </w:rPr>
        <w:t>抵，剩餘</w:t>
      </w:r>
      <w:r w:rsidRPr="005E758A">
        <w:rPr>
          <w:sz w:val="28"/>
        </w:rPr>
        <w:t>7</w:t>
      </w:r>
      <w:r w:rsidRPr="005E758A">
        <w:rPr>
          <w:sz w:val="28"/>
        </w:rPr>
        <w:t>年則為緩刑。</w:t>
      </w:r>
    </w:p>
    <w:p w14:paraId="7E642226" w14:textId="77777777" w:rsidR="0099625B" w:rsidRPr="005E758A" w:rsidRDefault="0099625B" w:rsidP="0099625B">
      <w:pPr>
        <w:pStyle w:val="2"/>
      </w:pPr>
      <w:r w:rsidRPr="005E758A">
        <w:t>綜合分析</w:t>
      </w:r>
    </w:p>
    <w:p w14:paraId="627F00C4" w14:textId="77777777" w:rsidR="0099625B" w:rsidRPr="005E758A" w:rsidRDefault="0099625B" w:rsidP="0099625B">
      <w:pPr>
        <w:snapToGrid w:val="0"/>
        <w:spacing w:before="100" w:beforeAutospacing="1" w:after="100" w:afterAutospacing="1"/>
        <w:ind w:firstLineChars="200" w:firstLine="560"/>
        <w:jc w:val="both"/>
        <w:rPr>
          <w:sz w:val="28"/>
        </w:rPr>
      </w:pPr>
      <w:r w:rsidRPr="005E758A">
        <w:rPr>
          <w:sz w:val="28"/>
        </w:rPr>
        <w:t>從本條、公約其他條文和其他相關國際文件中可看出家庭對兒童的重要性，以及家庭為最適合養育兒童之單位的共識，若兒童因為特殊狀況而需脫離家庭環境時，締約國應有義務依照個人狀況提供特殊的保護及協助並安排最適當的替代性照顧。在相關決策過程中，締約國亦應該考量何種安排方式對兒童的侵擾最少，且安排後應定期評估其必要性及適當性，以達成本條之規範目的</w:t>
      </w:r>
      <w:r w:rsidRPr="005E758A">
        <w:rPr>
          <w:rStyle w:val="af3"/>
          <w:sz w:val="28"/>
        </w:rPr>
        <w:endnoteReference w:id="275"/>
      </w:r>
      <w:r w:rsidRPr="005E758A">
        <w:rPr>
          <w:sz w:val="28"/>
        </w:rPr>
        <w:t>。</w:t>
      </w:r>
    </w:p>
    <w:p w14:paraId="3D4D4DDF" w14:textId="77777777" w:rsidR="0099625B" w:rsidRPr="005E758A" w:rsidRDefault="0099625B" w:rsidP="0099625B">
      <w:pPr>
        <w:pStyle w:val="2"/>
      </w:pPr>
      <w:r w:rsidRPr="005E758A">
        <w:t>參考資料</w:t>
      </w:r>
    </w:p>
    <w:p w14:paraId="59B148B7" w14:textId="77777777" w:rsidR="0099625B" w:rsidRPr="005E758A" w:rsidRDefault="0099625B" w:rsidP="00F02A5C">
      <w:pPr>
        <w:pStyle w:val="a0"/>
        <w:numPr>
          <w:ilvl w:val="0"/>
          <w:numId w:val="164"/>
        </w:numPr>
        <w:snapToGrid w:val="0"/>
        <w:ind w:leftChars="0"/>
        <w:jc w:val="both"/>
        <w:rPr>
          <w:rFonts w:ascii="Times New Roman" w:eastAsia="標楷體" w:hAnsi="Times New Roman"/>
          <w:sz w:val="28"/>
          <w:szCs w:val="28"/>
        </w:rPr>
      </w:pPr>
      <w:r w:rsidRPr="005E758A">
        <w:rPr>
          <w:rFonts w:ascii="Times New Roman" w:eastAsia="標楷體" w:hAnsi="Times New Roman"/>
          <w:smallCaps/>
          <w:sz w:val="28"/>
          <w:szCs w:val="28"/>
        </w:rPr>
        <w:t xml:space="preserve">Nigel Cantwell &amp; Anna </w:t>
      </w:r>
      <w:proofErr w:type="spellStart"/>
      <w:r w:rsidRPr="005E758A">
        <w:rPr>
          <w:rFonts w:ascii="Times New Roman" w:eastAsia="標楷體" w:hAnsi="Times New Roman"/>
          <w:smallCaps/>
          <w:sz w:val="28"/>
          <w:szCs w:val="28"/>
        </w:rPr>
        <w:t>Holzscheiter</w:t>
      </w:r>
      <w:proofErr w:type="spellEnd"/>
      <w:r w:rsidRPr="005E758A">
        <w:rPr>
          <w:rFonts w:ascii="Times New Roman" w:eastAsia="標楷體" w:hAnsi="Times New Roman"/>
          <w:smallCaps/>
          <w:sz w:val="28"/>
          <w:szCs w:val="28"/>
        </w:rPr>
        <w:t>, A Commentary on the United Nations Convention on the Rights of the Child: Article 20. Children Deprived of Their Family Environment</w:t>
      </w:r>
      <w:r w:rsidRPr="005E758A">
        <w:rPr>
          <w:rFonts w:ascii="Times New Roman" w:eastAsia="標楷體" w:hAnsi="Times New Roman"/>
          <w:sz w:val="28"/>
          <w:szCs w:val="28"/>
        </w:rPr>
        <w:t xml:space="preserve"> (André Alen et al. eds., 2008).</w:t>
      </w:r>
    </w:p>
    <w:p w14:paraId="013F731E" w14:textId="77777777" w:rsidR="0099625B" w:rsidRPr="005E758A" w:rsidRDefault="0099625B" w:rsidP="00F02A5C">
      <w:pPr>
        <w:pStyle w:val="a0"/>
        <w:numPr>
          <w:ilvl w:val="0"/>
          <w:numId w:val="164"/>
        </w:numPr>
        <w:snapToGrid w:val="0"/>
        <w:ind w:leftChars="0"/>
        <w:jc w:val="both"/>
        <w:rPr>
          <w:rFonts w:ascii="Times New Roman" w:eastAsia="標楷體" w:hAnsi="Times New Roman"/>
          <w:sz w:val="28"/>
          <w:szCs w:val="28"/>
        </w:rPr>
      </w:pPr>
      <w:r w:rsidRPr="005E758A">
        <w:rPr>
          <w:rFonts w:ascii="Times New Roman" w:eastAsia="標楷體" w:hAnsi="Times New Roman"/>
          <w:sz w:val="28"/>
          <w:szCs w:val="28"/>
        </w:rPr>
        <w:t>人權事務委員會，第</w:t>
      </w:r>
      <w:r w:rsidRPr="005E758A">
        <w:rPr>
          <w:rFonts w:ascii="Times New Roman" w:eastAsia="標楷體" w:hAnsi="Times New Roman"/>
          <w:sz w:val="28"/>
          <w:szCs w:val="28"/>
        </w:rPr>
        <w:t>19</w:t>
      </w:r>
      <w:r w:rsidRPr="005E758A">
        <w:rPr>
          <w:rFonts w:ascii="Times New Roman" w:eastAsia="標楷體" w:hAnsi="Times New Roman"/>
          <w:sz w:val="28"/>
          <w:szCs w:val="28"/>
        </w:rPr>
        <w:t>號一般性意見「第二十三條：家庭」。</w:t>
      </w:r>
      <w:r w:rsidRPr="005E758A">
        <w:rPr>
          <w:rFonts w:ascii="Times New Roman" w:eastAsia="標楷體" w:hAnsi="Times New Roman"/>
          <w:sz w:val="28"/>
          <w:szCs w:val="28"/>
        </w:rPr>
        <w:t>(Human Rights Committee, General Comment No. 19: Article 23: Family, U.N. Doc. HRI/GEN/1/Rev.9 (Vol. I), at 198 (May 27, 2008).)</w:t>
      </w:r>
    </w:p>
    <w:p w14:paraId="7A30092E" w14:textId="77777777" w:rsidR="0099625B" w:rsidRPr="005E758A" w:rsidRDefault="0099625B" w:rsidP="00F02A5C">
      <w:pPr>
        <w:pStyle w:val="a0"/>
        <w:numPr>
          <w:ilvl w:val="0"/>
          <w:numId w:val="164"/>
        </w:numPr>
        <w:snapToGrid w:val="0"/>
        <w:ind w:leftChars="0"/>
        <w:jc w:val="both"/>
        <w:rPr>
          <w:rFonts w:ascii="Times New Roman" w:eastAsia="標楷體" w:hAnsi="Times New Roman"/>
          <w:sz w:val="28"/>
          <w:szCs w:val="28"/>
        </w:rPr>
      </w:pPr>
      <w:r w:rsidRPr="005E758A">
        <w:rPr>
          <w:rFonts w:ascii="Times New Roman" w:eastAsia="標楷體" w:hAnsi="Times New Roman"/>
          <w:sz w:val="28"/>
        </w:rPr>
        <w:t>兒童權利委員會，第</w:t>
      </w:r>
      <w:r w:rsidRPr="005E758A">
        <w:rPr>
          <w:rFonts w:ascii="Times New Roman" w:eastAsia="標楷體" w:hAnsi="Times New Roman"/>
          <w:sz w:val="28"/>
        </w:rPr>
        <w:t>6</w:t>
      </w:r>
      <w:r w:rsidRPr="005E758A">
        <w:rPr>
          <w:rFonts w:ascii="Times New Roman" w:eastAsia="標楷體" w:hAnsi="Times New Roman"/>
          <w:sz w:val="28"/>
        </w:rPr>
        <w:t>號一般性意見「遠離原籍國無人陪伴和無父母陪伴的兒童待遇」。</w:t>
      </w:r>
      <w:r w:rsidRPr="005E758A">
        <w:rPr>
          <w:rFonts w:ascii="Times New Roman" w:eastAsia="標楷體" w:hAnsi="Times New Roman"/>
          <w:sz w:val="28"/>
          <w:szCs w:val="28"/>
        </w:rPr>
        <w:t>(Committee on the Rights of the Child, General Comment No. 6: Treatment of Unaccompanied and Separated Children Outside Their Country of Origin, U.N. Doc. CRC/GC/2005/6 (Sept. 1, 2005).)</w:t>
      </w:r>
    </w:p>
    <w:p w14:paraId="1FDD2E43" w14:textId="77777777" w:rsidR="0099625B" w:rsidRPr="005E758A" w:rsidRDefault="0099625B" w:rsidP="00F02A5C">
      <w:pPr>
        <w:pStyle w:val="a0"/>
        <w:numPr>
          <w:ilvl w:val="0"/>
          <w:numId w:val="164"/>
        </w:numPr>
        <w:snapToGrid w:val="0"/>
        <w:ind w:leftChars="0"/>
        <w:jc w:val="both"/>
        <w:rPr>
          <w:rFonts w:ascii="Times New Roman" w:eastAsia="標楷體" w:hAnsi="Times New Roman"/>
          <w:sz w:val="28"/>
          <w:szCs w:val="28"/>
        </w:rPr>
      </w:pPr>
      <w:r w:rsidRPr="005E758A">
        <w:rPr>
          <w:rFonts w:ascii="Times New Roman" w:eastAsia="標楷體" w:hAnsi="Times New Roman"/>
          <w:sz w:val="28"/>
          <w:szCs w:val="28"/>
        </w:rPr>
        <w:t>兒童權利委員會，第</w:t>
      </w:r>
      <w:r w:rsidRPr="005E758A">
        <w:rPr>
          <w:rFonts w:ascii="Times New Roman" w:eastAsia="標楷體" w:hAnsi="Times New Roman"/>
          <w:sz w:val="28"/>
          <w:szCs w:val="28"/>
        </w:rPr>
        <w:t>7</w:t>
      </w:r>
      <w:r w:rsidRPr="005E758A">
        <w:rPr>
          <w:rFonts w:ascii="Times New Roman" w:eastAsia="標楷體" w:hAnsi="Times New Roman"/>
          <w:sz w:val="28"/>
          <w:szCs w:val="28"/>
        </w:rPr>
        <w:t>屆會議報告。</w:t>
      </w:r>
      <w:r w:rsidRPr="005E758A">
        <w:rPr>
          <w:rFonts w:ascii="Times New Roman" w:eastAsia="標楷體" w:hAnsi="Times New Roman"/>
          <w:sz w:val="28"/>
          <w:szCs w:val="28"/>
        </w:rPr>
        <w:t>(Committee on the Rights of the Child, Report on the Seventh Session, U.N. Doc. CRC/C/34 (Nov. 8, 1994).)</w:t>
      </w:r>
    </w:p>
    <w:p w14:paraId="03448BCC" w14:textId="77777777" w:rsidR="0099625B" w:rsidRPr="005E758A" w:rsidRDefault="0099625B" w:rsidP="00F02A5C">
      <w:pPr>
        <w:pStyle w:val="a0"/>
        <w:numPr>
          <w:ilvl w:val="0"/>
          <w:numId w:val="164"/>
        </w:numPr>
        <w:snapToGrid w:val="0"/>
        <w:ind w:leftChars="0"/>
        <w:jc w:val="both"/>
        <w:rPr>
          <w:rFonts w:ascii="Times New Roman" w:eastAsia="標楷體" w:hAnsi="Times New Roman"/>
          <w:sz w:val="28"/>
          <w:szCs w:val="28"/>
        </w:rPr>
      </w:pPr>
      <w:r w:rsidRPr="005E758A">
        <w:rPr>
          <w:rFonts w:ascii="Times New Roman" w:eastAsia="標楷體" w:hAnsi="Times New Roman"/>
          <w:sz w:val="28"/>
          <w:szCs w:val="28"/>
        </w:rPr>
        <w:t>兒童權利委員會，關於締約國根據兒童權利公約第</w:t>
      </w:r>
      <w:r w:rsidRPr="005E758A">
        <w:rPr>
          <w:rFonts w:ascii="Times New Roman" w:eastAsia="標楷體" w:hAnsi="Times New Roman"/>
          <w:sz w:val="28"/>
          <w:szCs w:val="28"/>
        </w:rPr>
        <w:t>44</w:t>
      </w:r>
      <w:r w:rsidRPr="005E758A">
        <w:rPr>
          <w:rFonts w:ascii="Times New Roman" w:eastAsia="標楷體" w:hAnsi="Times New Roman"/>
          <w:sz w:val="28"/>
          <w:szCs w:val="28"/>
        </w:rPr>
        <w:t>條第</w:t>
      </w:r>
      <w:r w:rsidRPr="005E758A">
        <w:rPr>
          <w:rFonts w:ascii="Times New Roman" w:eastAsia="標楷體" w:hAnsi="Times New Roman"/>
          <w:sz w:val="28"/>
          <w:szCs w:val="28"/>
        </w:rPr>
        <w:t>1</w:t>
      </w:r>
      <w:r w:rsidRPr="005E758A">
        <w:rPr>
          <w:rFonts w:ascii="Times New Roman" w:eastAsia="標楷體" w:hAnsi="Times New Roman"/>
          <w:sz w:val="28"/>
          <w:szCs w:val="28"/>
        </w:rPr>
        <w:t>款</w:t>
      </w:r>
      <w:r w:rsidRPr="005E758A">
        <w:rPr>
          <w:rFonts w:ascii="Times New Roman" w:eastAsia="標楷體" w:hAnsi="Times New Roman"/>
          <w:sz w:val="28"/>
          <w:szCs w:val="28"/>
        </w:rPr>
        <w:t>(b)</w:t>
      </w:r>
      <w:r w:rsidRPr="005E758A">
        <w:rPr>
          <w:rFonts w:ascii="Times New Roman" w:eastAsia="標楷體" w:hAnsi="Times New Roman"/>
          <w:sz w:val="28"/>
          <w:szCs w:val="28"/>
        </w:rPr>
        <w:t>項提交的定期報告的形式和內容的一般準則（</w:t>
      </w:r>
      <w:r w:rsidRPr="005E758A">
        <w:rPr>
          <w:rFonts w:ascii="Times New Roman" w:eastAsia="標楷體" w:hAnsi="Times New Roman"/>
          <w:sz w:val="28"/>
          <w:szCs w:val="28"/>
        </w:rPr>
        <w:t>1996</w:t>
      </w:r>
      <w:r w:rsidRPr="005E758A">
        <w:rPr>
          <w:rFonts w:ascii="Times New Roman" w:eastAsia="標楷體" w:hAnsi="Times New Roman"/>
          <w:sz w:val="28"/>
          <w:szCs w:val="28"/>
        </w:rPr>
        <w:t>年版）。</w:t>
      </w:r>
      <w:r w:rsidRPr="005E758A">
        <w:rPr>
          <w:rFonts w:ascii="Times New Roman" w:eastAsia="標楷體" w:hAnsi="Times New Roman"/>
          <w:sz w:val="28"/>
          <w:szCs w:val="28"/>
        </w:rPr>
        <w:t>(Committee on the Rights of the Child, Treaty-Specific Guidelines Regarding the Form and Content of Periodic Reports to Be Submitted by States Parties under Article 44, Paragraph 1 (b), of the Convention on the Rights of the Child, U.N. Doc. CRC/C/58 (Nov. 20, 1996).)</w:t>
      </w:r>
    </w:p>
    <w:p w14:paraId="77B3C136" w14:textId="77777777" w:rsidR="0099625B" w:rsidRPr="005E758A" w:rsidRDefault="0099625B" w:rsidP="00F02A5C">
      <w:pPr>
        <w:pStyle w:val="a0"/>
        <w:numPr>
          <w:ilvl w:val="0"/>
          <w:numId w:val="164"/>
        </w:numPr>
        <w:snapToGrid w:val="0"/>
        <w:ind w:leftChars="0"/>
        <w:jc w:val="both"/>
        <w:rPr>
          <w:rFonts w:ascii="Times New Roman" w:eastAsia="標楷體" w:hAnsi="Times New Roman"/>
          <w:sz w:val="28"/>
          <w:szCs w:val="28"/>
        </w:rPr>
      </w:pPr>
      <w:r w:rsidRPr="005E758A">
        <w:rPr>
          <w:rFonts w:ascii="Times New Roman" w:eastAsia="標楷體" w:hAnsi="Times New Roman"/>
          <w:sz w:val="28"/>
          <w:szCs w:val="28"/>
        </w:rPr>
        <w:t>兒童權利委員會，關於締約國根據兒童權利公約第</w:t>
      </w:r>
      <w:r w:rsidRPr="005E758A">
        <w:rPr>
          <w:rFonts w:ascii="Times New Roman" w:eastAsia="標楷體" w:hAnsi="Times New Roman"/>
          <w:sz w:val="28"/>
          <w:szCs w:val="28"/>
        </w:rPr>
        <w:t>44</w:t>
      </w:r>
      <w:r w:rsidRPr="005E758A">
        <w:rPr>
          <w:rFonts w:ascii="Times New Roman" w:eastAsia="標楷體" w:hAnsi="Times New Roman"/>
          <w:sz w:val="28"/>
          <w:szCs w:val="28"/>
        </w:rPr>
        <w:t>條第</w:t>
      </w:r>
      <w:r w:rsidRPr="005E758A">
        <w:rPr>
          <w:rFonts w:ascii="Times New Roman" w:eastAsia="標楷體" w:hAnsi="Times New Roman"/>
          <w:sz w:val="28"/>
          <w:szCs w:val="28"/>
        </w:rPr>
        <w:t>1</w:t>
      </w:r>
      <w:r w:rsidRPr="005E758A">
        <w:rPr>
          <w:rFonts w:ascii="Times New Roman" w:eastAsia="標楷體" w:hAnsi="Times New Roman"/>
          <w:sz w:val="28"/>
          <w:szCs w:val="28"/>
        </w:rPr>
        <w:t>款</w:t>
      </w:r>
      <w:r w:rsidRPr="005E758A">
        <w:rPr>
          <w:rFonts w:ascii="Times New Roman" w:eastAsia="標楷體" w:hAnsi="Times New Roman"/>
          <w:sz w:val="28"/>
          <w:szCs w:val="28"/>
        </w:rPr>
        <w:t>(b)</w:t>
      </w:r>
      <w:r w:rsidRPr="005E758A">
        <w:rPr>
          <w:rFonts w:ascii="Times New Roman" w:eastAsia="標楷體" w:hAnsi="Times New Roman"/>
          <w:sz w:val="28"/>
          <w:szCs w:val="28"/>
        </w:rPr>
        <w:t>項提交的定期報告的形式和內容的條約專要準則（</w:t>
      </w:r>
      <w:r w:rsidRPr="005E758A">
        <w:rPr>
          <w:rFonts w:ascii="Times New Roman" w:eastAsia="標楷體" w:hAnsi="Times New Roman"/>
          <w:sz w:val="28"/>
          <w:szCs w:val="28"/>
        </w:rPr>
        <w:t>2015</w:t>
      </w:r>
      <w:r w:rsidRPr="005E758A">
        <w:rPr>
          <w:rFonts w:ascii="Times New Roman" w:eastAsia="標楷體" w:hAnsi="Times New Roman"/>
          <w:sz w:val="28"/>
          <w:szCs w:val="28"/>
        </w:rPr>
        <w:t>年修訂版）。</w:t>
      </w:r>
      <w:r w:rsidRPr="005E758A">
        <w:rPr>
          <w:rFonts w:ascii="Times New Roman" w:eastAsia="標楷體" w:hAnsi="Times New Roman"/>
          <w:sz w:val="28"/>
          <w:szCs w:val="28"/>
        </w:rPr>
        <w:t xml:space="preserve">(Committee on the Rights of the Child, Treaty-Specific Guidelines Regarding the Form and Content of Periodic Reports to Be </w:t>
      </w:r>
      <w:r w:rsidRPr="005E758A">
        <w:rPr>
          <w:rFonts w:ascii="Times New Roman" w:eastAsia="標楷體" w:hAnsi="Times New Roman"/>
          <w:sz w:val="28"/>
          <w:szCs w:val="28"/>
        </w:rPr>
        <w:lastRenderedPageBreak/>
        <w:t>Submitted by States Parties under Article 44, Paragraph 1 (b), of the Convention on the Rights of the Child, U.N. Doc. CRC/C/58/Rev.3 (Mar. 3, 2015).)</w:t>
      </w:r>
    </w:p>
    <w:p w14:paraId="460825FC" w14:textId="77777777" w:rsidR="0099625B" w:rsidRPr="005E758A" w:rsidRDefault="0099625B" w:rsidP="0099625B">
      <w:pPr>
        <w:snapToGrid w:val="0"/>
        <w:spacing w:before="100" w:beforeAutospacing="1" w:after="100" w:afterAutospacing="1"/>
        <w:jc w:val="both"/>
        <w:rPr>
          <w:sz w:val="28"/>
        </w:rPr>
      </w:pPr>
    </w:p>
    <w:p w14:paraId="41A61E92" w14:textId="77777777" w:rsidR="0099625B" w:rsidRPr="005E758A" w:rsidRDefault="0099625B" w:rsidP="0099625B">
      <w:pPr>
        <w:snapToGrid w:val="0"/>
        <w:spacing w:before="100" w:beforeAutospacing="1" w:after="100" w:afterAutospacing="1"/>
        <w:jc w:val="both"/>
      </w:pPr>
      <w:r w:rsidRPr="005E758A">
        <w:rPr>
          <w:sz w:val="28"/>
        </w:rPr>
        <w:t>關鍵詞：</w:t>
      </w:r>
      <w:r w:rsidRPr="005E758A">
        <w:rPr>
          <w:sz w:val="28"/>
          <w:szCs w:val="28"/>
        </w:rPr>
        <w:t>替代性照顧、</w:t>
      </w:r>
      <w:r w:rsidRPr="005E758A">
        <w:rPr>
          <w:sz w:val="28"/>
        </w:rPr>
        <w:t>兒童最佳利益、</w:t>
      </w:r>
      <w:r w:rsidRPr="005E758A">
        <w:rPr>
          <w:sz w:val="28"/>
          <w:szCs w:val="28"/>
        </w:rPr>
        <w:t>伊斯蘭</w:t>
      </w:r>
    </w:p>
    <w:p w14:paraId="1CEFA1B4" w14:textId="77777777" w:rsidR="00043D86" w:rsidRPr="005E758A" w:rsidRDefault="00043D86" w:rsidP="00043D86">
      <w:pPr>
        <w:pStyle w:val="1"/>
        <w:sectPr w:rsidR="00043D86" w:rsidRPr="005E758A">
          <w:endnotePr>
            <w:numFmt w:val="decimal"/>
            <w:numRestart w:val="eachSect"/>
          </w:endnotePr>
          <w:pgSz w:w="11906" w:h="16838"/>
          <w:pgMar w:top="1440" w:right="1800" w:bottom="1440" w:left="1800" w:header="851" w:footer="992" w:gutter="0"/>
          <w:cols w:space="425"/>
          <w:docGrid w:type="lines" w:linePitch="360"/>
        </w:sectPr>
      </w:pPr>
    </w:p>
    <w:p w14:paraId="301B47FD" w14:textId="77777777" w:rsidR="00165E59" w:rsidRDefault="00165E59" w:rsidP="00165E59">
      <w:pPr>
        <w:pStyle w:val="1"/>
        <w:rPr>
          <w:sz w:val="28"/>
          <w:szCs w:val="28"/>
        </w:rPr>
      </w:pPr>
      <w:bookmarkStart w:id="65" w:name="_Toc431072737"/>
      <w:r w:rsidRPr="005E758A">
        <w:lastRenderedPageBreak/>
        <w:t>第</w:t>
      </w:r>
      <w:r w:rsidRPr="005E758A">
        <w:t>21</w:t>
      </w:r>
      <w:r w:rsidRPr="005E758A">
        <w:t>條</w:t>
      </w:r>
      <w:r>
        <w:rPr>
          <w:rFonts w:hint="eastAsia"/>
        </w:rPr>
        <w:t xml:space="preserve">　收養</w:t>
      </w:r>
      <w:bookmarkEnd w:id="65"/>
    </w:p>
    <w:tbl>
      <w:tblPr>
        <w:tblW w:w="82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8220"/>
      </w:tblGrid>
      <w:tr w:rsidR="00165E59" w:rsidRPr="005E758A" w14:paraId="09B3A9B5" w14:textId="77777777" w:rsidTr="00165E59">
        <w:trPr>
          <w:jc w:val="center"/>
        </w:trPr>
        <w:tc>
          <w:tcPr>
            <w:tcW w:w="8220" w:type="dxa"/>
          </w:tcPr>
          <w:p w14:paraId="21A58755" w14:textId="77777777" w:rsidR="00165E59" w:rsidRPr="005E758A" w:rsidRDefault="00165E59" w:rsidP="002B035C">
            <w:pPr>
              <w:snapToGrid w:val="0"/>
              <w:spacing w:before="100" w:beforeAutospacing="1" w:after="100" w:afterAutospacing="1"/>
              <w:jc w:val="both"/>
              <w:rPr>
                <w:kern w:val="0"/>
                <w:sz w:val="28"/>
                <w:szCs w:val="28"/>
              </w:rPr>
            </w:pPr>
            <w:r w:rsidRPr="005E758A">
              <w:rPr>
                <w:kern w:val="0"/>
                <w:sz w:val="28"/>
                <w:szCs w:val="28"/>
              </w:rPr>
              <w:t>締約國承認及（或）允許收養制度者，應確保以兒童之最佳利益為最大考量，並應：</w:t>
            </w:r>
          </w:p>
          <w:p w14:paraId="66459A39" w14:textId="77777777" w:rsidR="00165E59" w:rsidRPr="005E758A" w:rsidRDefault="00165E59" w:rsidP="002B035C">
            <w:pPr>
              <w:pStyle w:val="a0"/>
              <w:numPr>
                <w:ilvl w:val="0"/>
                <w:numId w:val="165"/>
              </w:numPr>
              <w:snapToGrid w:val="0"/>
              <w:spacing w:before="100" w:beforeAutospacing="1" w:after="100" w:afterAutospacing="1"/>
              <w:ind w:leftChars="0"/>
              <w:jc w:val="both"/>
              <w:rPr>
                <w:rFonts w:ascii="Times New Roman" w:eastAsia="標楷體" w:hAnsi="Times New Roman"/>
                <w:sz w:val="28"/>
                <w:szCs w:val="28"/>
              </w:rPr>
            </w:pPr>
            <w:r w:rsidRPr="005E758A">
              <w:rPr>
                <w:rFonts w:ascii="Times New Roman" w:eastAsia="標楷體" w:hAnsi="Times New Roman"/>
                <w:sz w:val="28"/>
                <w:szCs w:val="28"/>
              </w:rPr>
              <w:t>確保兒童之收養僅得由主管機關許可。該機關應依據適用之法律及程序，並根據所有相關且可靠之資訊，據以判定基於兒童與其父母、親屬及法定監護人之情況，認可該收養，且如為必要，認為該等諮詢可能有必要時，應取得關係人經過充分瞭解而對該收養所表示之同意後，方得認可該收養關係；</w:t>
            </w:r>
          </w:p>
          <w:p w14:paraId="173A6E73" w14:textId="77777777" w:rsidR="00165E59" w:rsidRPr="005E758A" w:rsidRDefault="00165E59" w:rsidP="002B035C">
            <w:pPr>
              <w:pStyle w:val="a0"/>
              <w:numPr>
                <w:ilvl w:val="0"/>
                <w:numId w:val="165"/>
              </w:numPr>
              <w:snapToGrid w:val="0"/>
              <w:spacing w:before="100" w:beforeAutospacing="1" w:after="100" w:afterAutospacing="1"/>
              <w:ind w:leftChars="0"/>
              <w:jc w:val="both"/>
              <w:rPr>
                <w:rFonts w:ascii="Times New Roman" w:eastAsia="標楷體" w:hAnsi="Times New Roman"/>
                <w:sz w:val="28"/>
                <w:szCs w:val="28"/>
              </w:rPr>
            </w:pPr>
            <w:r w:rsidRPr="005E758A">
              <w:rPr>
                <w:rFonts w:ascii="Times New Roman" w:eastAsia="標楷體" w:hAnsi="Times New Roman"/>
                <w:sz w:val="28"/>
                <w:szCs w:val="28"/>
              </w:rPr>
              <w:t>在無法為兒童安排寄養或收養家庭，或無法在其出生國給予適當照顧時，承認跨國境收養為照顧兒童之一個替代辦法；</w:t>
            </w:r>
          </w:p>
          <w:p w14:paraId="37AC0147" w14:textId="77777777" w:rsidR="00165E59" w:rsidRPr="005E758A" w:rsidRDefault="00165E59" w:rsidP="002B035C">
            <w:pPr>
              <w:pStyle w:val="a0"/>
              <w:numPr>
                <w:ilvl w:val="0"/>
                <w:numId w:val="165"/>
              </w:numPr>
              <w:snapToGrid w:val="0"/>
              <w:spacing w:before="100" w:beforeAutospacing="1" w:after="100" w:afterAutospacing="1"/>
              <w:ind w:leftChars="0"/>
              <w:jc w:val="both"/>
              <w:rPr>
                <w:rFonts w:ascii="Times New Roman" w:eastAsia="標楷體" w:hAnsi="Times New Roman"/>
                <w:sz w:val="28"/>
                <w:szCs w:val="28"/>
              </w:rPr>
            </w:pPr>
            <w:r w:rsidRPr="005E758A">
              <w:rPr>
                <w:rFonts w:ascii="Times New Roman" w:eastAsia="標楷體" w:hAnsi="Times New Roman"/>
                <w:sz w:val="28"/>
                <w:szCs w:val="28"/>
              </w:rPr>
              <w:t>確保跨國境收養的兒童，享有與在國內被收養的兒童相當之保障及標準；</w:t>
            </w:r>
          </w:p>
          <w:p w14:paraId="5CB9CFEA" w14:textId="77777777" w:rsidR="00165E59" w:rsidRPr="005E758A" w:rsidRDefault="00165E59" w:rsidP="002B035C">
            <w:pPr>
              <w:pStyle w:val="a0"/>
              <w:numPr>
                <w:ilvl w:val="0"/>
                <w:numId w:val="165"/>
              </w:numPr>
              <w:snapToGrid w:val="0"/>
              <w:spacing w:before="100" w:beforeAutospacing="1" w:after="100" w:afterAutospacing="1"/>
              <w:ind w:leftChars="0"/>
              <w:jc w:val="both"/>
              <w:rPr>
                <w:rFonts w:ascii="Times New Roman" w:eastAsia="標楷體" w:hAnsi="Times New Roman"/>
                <w:sz w:val="28"/>
                <w:szCs w:val="28"/>
              </w:rPr>
            </w:pPr>
            <w:r w:rsidRPr="005E758A">
              <w:rPr>
                <w:rFonts w:ascii="Times New Roman" w:eastAsia="標楷體" w:hAnsi="Times New Roman"/>
                <w:sz w:val="28"/>
                <w:szCs w:val="28"/>
              </w:rPr>
              <w:t>採取一切適當措施確保跨國境收養之安排，不致使所涉之人士獲得不正當的財務上收益；</w:t>
            </w:r>
          </w:p>
          <w:p w14:paraId="5F6A3D04" w14:textId="77777777" w:rsidR="00165E59" w:rsidRPr="005E758A" w:rsidRDefault="00165E59" w:rsidP="002B035C">
            <w:pPr>
              <w:pStyle w:val="a0"/>
              <w:numPr>
                <w:ilvl w:val="0"/>
                <w:numId w:val="165"/>
              </w:numPr>
              <w:snapToGrid w:val="0"/>
              <w:spacing w:before="100" w:beforeAutospacing="1" w:after="100" w:afterAutospacing="1"/>
              <w:ind w:leftChars="0"/>
              <w:jc w:val="both"/>
              <w:rPr>
                <w:rFonts w:ascii="Times New Roman" w:hAnsi="Times New Roman"/>
                <w:sz w:val="28"/>
                <w:szCs w:val="28"/>
              </w:rPr>
            </w:pPr>
            <w:r w:rsidRPr="005E758A">
              <w:rPr>
                <w:rFonts w:ascii="Times New Roman" w:eastAsia="標楷體" w:hAnsi="Times New Roman"/>
                <w:sz w:val="28"/>
                <w:szCs w:val="28"/>
              </w:rPr>
              <w:t>於適當情況下，締結雙邊或多邊協議或協定以促進本條之目的，並在此一架構下，努力確保由主管機關或機構負責安排兒童於他國之收養事宜。</w:t>
            </w:r>
          </w:p>
        </w:tc>
      </w:tr>
    </w:tbl>
    <w:p w14:paraId="4C8243C5" w14:textId="77777777" w:rsidR="00165E59" w:rsidRPr="00165E59" w:rsidRDefault="00165E59" w:rsidP="00165E59">
      <w:pPr>
        <w:snapToGrid w:val="0"/>
        <w:spacing w:before="100" w:beforeAutospacing="1" w:after="100" w:afterAutospacing="1"/>
        <w:jc w:val="both"/>
        <w:rPr>
          <w:sz w:val="28"/>
          <w:szCs w:val="28"/>
        </w:rPr>
      </w:pPr>
    </w:p>
    <w:p w14:paraId="3C6EAD31" w14:textId="77777777" w:rsidR="001325B7" w:rsidRPr="005E758A" w:rsidRDefault="001325B7" w:rsidP="00F02A5C">
      <w:pPr>
        <w:pStyle w:val="2"/>
        <w:numPr>
          <w:ilvl w:val="0"/>
          <w:numId w:val="168"/>
        </w:numPr>
        <w:rPr>
          <w:szCs w:val="28"/>
        </w:rPr>
      </w:pPr>
      <w:r w:rsidRPr="005E758A">
        <w:rPr>
          <w:szCs w:val="28"/>
        </w:rPr>
        <w:t>規範宗旨</w:t>
      </w:r>
    </w:p>
    <w:p w14:paraId="7CF6F55B" w14:textId="77777777" w:rsidR="001325B7" w:rsidRPr="005E758A" w:rsidRDefault="001325B7" w:rsidP="001325B7">
      <w:pPr>
        <w:snapToGrid w:val="0"/>
        <w:spacing w:before="100" w:beforeAutospacing="1" w:after="100" w:afterAutospacing="1"/>
        <w:ind w:firstLineChars="200" w:firstLine="560"/>
        <w:jc w:val="both"/>
        <w:rPr>
          <w:sz w:val="28"/>
        </w:rPr>
      </w:pPr>
      <w:r w:rsidRPr="005E758A">
        <w:rPr>
          <w:sz w:val="28"/>
        </w:rPr>
        <w:t>公約在許多部分均強調家庭的重要性，包括在前言中提及「家庭為社會之基本團體，是所有成員，特別是兒童成長與福祉之自然環境」，然如同第</w:t>
      </w:r>
      <w:r w:rsidRPr="005E758A">
        <w:rPr>
          <w:sz w:val="28"/>
        </w:rPr>
        <w:t>20</w:t>
      </w:r>
      <w:r w:rsidRPr="005E758A">
        <w:rPr>
          <w:sz w:val="28"/>
        </w:rPr>
        <w:t>條之規定，在特殊情況下，兒童無法在其家庭環境中成長時，締約國有義務安排替代性照顧，而該條第</w:t>
      </w:r>
      <w:r w:rsidRPr="005E758A">
        <w:rPr>
          <w:sz w:val="28"/>
        </w:rPr>
        <w:t>3</w:t>
      </w:r>
      <w:r w:rsidRPr="005E758A">
        <w:rPr>
          <w:sz w:val="28"/>
        </w:rPr>
        <w:t>項也明確指出收養為其中一種替代性照顧，當兒童不可能重回原來的家庭時，締約國即應盡快採取此種持續性的替代方案。</w:t>
      </w:r>
    </w:p>
    <w:p w14:paraId="292FABFB" w14:textId="77777777" w:rsidR="001325B7" w:rsidRPr="005E758A" w:rsidRDefault="001325B7" w:rsidP="001325B7">
      <w:pPr>
        <w:snapToGrid w:val="0"/>
        <w:spacing w:before="100" w:beforeAutospacing="1" w:after="100" w:afterAutospacing="1"/>
        <w:ind w:firstLineChars="200" w:firstLine="560"/>
        <w:jc w:val="both"/>
        <w:rPr>
          <w:sz w:val="28"/>
        </w:rPr>
      </w:pPr>
      <w:r w:rsidRPr="005E758A">
        <w:rPr>
          <w:sz w:val="28"/>
        </w:rPr>
        <w:t>本條與</w:t>
      </w:r>
      <w:r w:rsidRPr="005E758A">
        <w:rPr>
          <w:sz w:val="28"/>
        </w:rPr>
        <w:t>1993</w:t>
      </w:r>
      <w:r w:rsidRPr="005E758A">
        <w:rPr>
          <w:sz w:val="28"/>
        </w:rPr>
        <w:t>年通過之海牙跨國收養公約</w:t>
      </w:r>
      <w:r w:rsidRPr="005E758A">
        <w:rPr>
          <w:sz w:val="28"/>
        </w:rPr>
        <w:t>(Hague Convention on Protection of Children and Co-Operation of Inter-Country Adoption)</w:t>
      </w:r>
      <w:r w:rsidRPr="005E758A">
        <w:rPr>
          <w:sz w:val="28"/>
        </w:rPr>
        <w:t>密切相關，且有許多相同的基本原則，因此該公約相關條文及研究亦有參考價值。</w:t>
      </w:r>
    </w:p>
    <w:p w14:paraId="24E582D8" w14:textId="77777777" w:rsidR="001325B7" w:rsidRPr="005E758A" w:rsidRDefault="001325B7" w:rsidP="001325B7">
      <w:pPr>
        <w:pStyle w:val="2"/>
      </w:pPr>
      <w:r w:rsidRPr="005E758A">
        <w:t>條文要義</w:t>
      </w:r>
    </w:p>
    <w:p w14:paraId="13D956F6" w14:textId="77777777" w:rsidR="001325B7" w:rsidRPr="005E758A" w:rsidRDefault="001325B7" w:rsidP="00F02A5C">
      <w:pPr>
        <w:pStyle w:val="3"/>
        <w:numPr>
          <w:ilvl w:val="0"/>
          <w:numId w:val="169"/>
        </w:numPr>
      </w:pPr>
      <w:r w:rsidRPr="005E758A">
        <w:t>第</w:t>
      </w:r>
      <w:r w:rsidRPr="005E758A">
        <w:t>21</w:t>
      </w:r>
      <w:r w:rsidRPr="005E758A">
        <w:t>條本文</w:t>
      </w:r>
    </w:p>
    <w:p w14:paraId="13E9E194" w14:textId="77777777" w:rsidR="001325B7" w:rsidRPr="005E758A" w:rsidRDefault="001325B7" w:rsidP="001325B7">
      <w:pPr>
        <w:snapToGrid w:val="0"/>
        <w:spacing w:before="100" w:beforeAutospacing="1" w:after="100" w:afterAutospacing="1"/>
        <w:ind w:firstLineChars="200" w:firstLine="560"/>
        <w:jc w:val="both"/>
        <w:rPr>
          <w:sz w:val="28"/>
        </w:rPr>
      </w:pPr>
      <w:r w:rsidRPr="005E758A">
        <w:rPr>
          <w:sz w:val="28"/>
        </w:rPr>
        <w:lastRenderedPageBreak/>
        <w:t>首先需點出的是，「收養」一詞並無統一定義，不同的國家、文化、社會經常發展出不同的形式，其條件、程序及後續影響也大不相同，廣義</w:t>
      </w:r>
      <w:proofErr w:type="gramStart"/>
      <w:r w:rsidRPr="005E758A">
        <w:rPr>
          <w:sz w:val="28"/>
        </w:rPr>
        <w:t>上來說指的</w:t>
      </w:r>
      <w:proofErr w:type="gramEnd"/>
      <w:r w:rsidRPr="005E758A">
        <w:rPr>
          <w:sz w:val="28"/>
        </w:rPr>
        <w:t>是使個人能取得如同血緣關係之親屬關係的社會及法律習慣，且該親屬關係全部或一部優先於原血緣關係。</w:t>
      </w:r>
      <w:bookmarkStart w:id="66" w:name="_Ref430593177"/>
      <w:r w:rsidRPr="005E758A">
        <w:rPr>
          <w:rStyle w:val="af3"/>
          <w:sz w:val="28"/>
        </w:rPr>
        <w:endnoteReference w:id="276"/>
      </w:r>
      <w:bookmarkEnd w:id="66"/>
    </w:p>
    <w:p w14:paraId="0E7FA5D0" w14:textId="77777777" w:rsidR="001325B7" w:rsidRPr="005E758A" w:rsidRDefault="001325B7" w:rsidP="001325B7">
      <w:pPr>
        <w:snapToGrid w:val="0"/>
        <w:spacing w:before="100" w:beforeAutospacing="1" w:after="100" w:afterAutospacing="1"/>
        <w:ind w:firstLineChars="200" w:firstLine="560"/>
        <w:jc w:val="both"/>
        <w:rPr>
          <w:sz w:val="28"/>
        </w:rPr>
      </w:pPr>
      <w:r w:rsidRPr="005E758A">
        <w:rPr>
          <w:sz w:val="28"/>
        </w:rPr>
        <w:t>另外值得注意的是，本條文僅適用於「締約國承認及（或）允許收養制度者」，本條文草案原無類似用語，因此有國家代表於條文協商過程中表示，伊斯蘭教法不承認收養制度，若條文中不做任何限制，將會對採取伊斯蘭教法的國家中造成困擾，舉例來說，涉及收養的遺產分配案件的處理將會變得相當複雜。</w:t>
      </w:r>
      <w:r w:rsidRPr="005E758A">
        <w:rPr>
          <w:rStyle w:val="af3"/>
          <w:sz w:val="28"/>
        </w:rPr>
        <w:endnoteReference w:id="277"/>
      </w:r>
      <w:r w:rsidRPr="005E758A">
        <w:rPr>
          <w:sz w:val="28"/>
        </w:rPr>
        <w:t>雖然本條最後版本加入了「承認及（或）允許收養制度者」的用語，但仍有許多締約國針對本條文提出保留，兒童權利委員會亦曾表示公約第</w:t>
      </w:r>
      <w:r w:rsidRPr="005E758A">
        <w:rPr>
          <w:sz w:val="28"/>
        </w:rPr>
        <w:t>20</w:t>
      </w:r>
      <w:r w:rsidRPr="005E758A">
        <w:rPr>
          <w:sz w:val="28"/>
        </w:rPr>
        <w:t>條承認多種替代照顧的形式，而第</w:t>
      </w:r>
      <w:r w:rsidRPr="005E758A">
        <w:rPr>
          <w:sz w:val="28"/>
        </w:rPr>
        <w:t>21</w:t>
      </w:r>
      <w:r w:rsidRPr="005E758A">
        <w:rPr>
          <w:sz w:val="28"/>
        </w:rPr>
        <w:t>條又明文限縮適用範圍，此類保留其實並無必要</w:t>
      </w:r>
      <w:r w:rsidRPr="005E758A">
        <w:rPr>
          <w:rStyle w:val="af3"/>
          <w:sz w:val="28"/>
        </w:rPr>
        <w:endnoteReference w:id="278"/>
      </w:r>
      <w:r w:rsidRPr="005E758A">
        <w:rPr>
          <w:sz w:val="28"/>
        </w:rPr>
        <w:t>。</w:t>
      </w:r>
    </w:p>
    <w:p w14:paraId="5208D522" w14:textId="77777777" w:rsidR="001325B7" w:rsidRPr="005E758A" w:rsidRDefault="001325B7" w:rsidP="001325B7">
      <w:pPr>
        <w:snapToGrid w:val="0"/>
        <w:spacing w:before="100" w:beforeAutospacing="1" w:after="100" w:afterAutospacing="1"/>
        <w:ind w:firstLineChars="200" w:firstLine="560"/>
        <w:jc w:val="both"/>
        <w:rPr>
          <w:sz w:val="28"/>
        </w:rPr>
      </w:pPr>
      <w:r w:rsidRPr="005E758A">
        <w:rPr>
          <w:sz w:val="28"/>
        </w:rPr>
        <w:t>公約四大原則之</w:t>
      </w:r>
      <w:proofErr w:type="gramStart"/>
      <w:r w:rsidRPr="005E758A">
        <w:rPr>
          <w:sz w:val="28"/>
        </w:rPr>
        <w:t>一</w:t>
      </w:r>
      <w:proofErr w:type="gramEnd"/>
      <w:r w:rsidRPr="005E758A">
        <w:rPr>
          <w:sz w:val="28"/>
        </w:rPr>
        <w:t>之兒童最佳利益在本條中特別提出，並從「優先考量」的地位提升至「最大考量」。，而在收養程序中如何的處理能夠符合此原則，則需要依照個案狀況判斷。然而兒童之最佳利益並非唯一的考量，收養程序中仍須注意兒童在公約其他條文下之權利的落實。</w:t>
      </w:r>
    </w:p>
    <w:p w14:paraId="37E55883" w14:textId="77777777" w:rsidR="001325B7" w:rsidRPr="005E758A" w:rsidRDefault="001325B7" w:rsidP="001325B7">
      <w:pPr>
        <w:pStyle w:val="3"/>
        <w:numPr>
          <w:ilvl w:val="0"/>
          <w:numId w:val="8"/>
        </w:numPr>
      </w:pPr>
      <w:r w:rsidRPr="005E758A">
        <w:t>第</w:t>
      </w:r>
      <w:r w:rsidRPr="005E758A">
        <w:t>21</w:t>
      </w:r>
      <w:r w:rsidRPr="005E758A">
        <w:t>條第</w:t>
      </w:r>
      <w:r w:rsidRPr="005E758A">
        <w:t>a</w:t>
      </w:r>
      <w:r w:rsidRPr="005E758A">
        <w:t>款</w:t>
      </w:r>
    </w:p>
    <w:p w14:paraId="7481674A" w14:textId="77777777" w:rsidR="001325B7" w:rsidRPr="005E758A" w:rsidRDefault="001325B7" w:rsidP="001325B7">
      <w:pPr>
        <w:snapToGrid w:val="0"/>
        <w:spacing w:before="100" w:beforeAutospacing="1" w:after="100" w:afterAutospacing="1"/>
        <w:ind w:firstLineChars="200" w:firstLine="560"/>
        <w:jc w:val="both"/>
        <w:rPr>
          <w:sz w:val="28"/>
        </w:rPr>
      </w:pPr>
      <w:r w:rsidRPr="005E758A">
        <w:rPr>
          <w:sz w:val="28"/>
        </w:rPr>
        <w:t>收養的決定不應僅由生父生母或欲收養者做成，而需經過「主管機關」，兒童權利委員會建議為符合本款規範，締約國應迅速</w:t>
      </w:r>
      <w:proofErr w:type="gramStart"/>
      <w:r w:rsidRPr="005E758A">
        <w:rPr>
          <w:sz w:val="28"/>
        </w:rPr>
        <w:t>採</w:t>
      </w:r>
      <w:proofErr w:type="gramEnd"/>
      <w:r w:rsidRPr="005E758A">
        <w:rPr>
          <w:sz w:val="28"/>
        </w:rPr>
        <w:t>措施阻止未經</w:t>
      </w:r>
      <w:proofErr w:type="gramStart"/>
      <w:r w:rsidRPr="005E758A">
        <w:rPr>
          <w:sz w:val="28"/>
        </w:rPr>
        <w:t>主管機管許可</w:t>
      </w:r>
      <w:proofErr w:type="gramEnd"/>
      <w:r w:rsidRPr="005E758A">
        <w:rPr>
          <w:sz w:val="28"/>
        </w:rPr>
        <w:t>的收養</w:t>
      </w:r>
      <w:r w:rsidRPr="005E758A">
        <w:rPr>
          <w:rStyle w:val="af3"/>
          <w:sz w:val="28"/>
        </w:rPr>
        <w:endnoteReference w:id="279"/>
      </w:r>
      <w:r w:rsidRPr="005E758A">
        <w:rPr>
          <w:sz w:val="28"/>
        </w:rPr>
        <w:t>，且此類機關需要經過適當的訓練</w:t>
      </w:r>
      <w:r w:rsidRPr="005E758A">
        <w:rPr>
          <w:rStyle w:val="af3"/>
          <w:sz w:val="28"/>
        </w:rPr>
        <w:endnoteReference w:id="280"/>
      </w:r>
      <w:r w:rsidRPr="005E758A">
        <w:rPr>
          <w:sz w:val="28"/>
        </w:rPr>
        <w:t>，並應確保程序上各利害關係人，尤其是兒童，有表示其意見的機會</w:t>
      </w:r>
      <w:r w:rsidRPr="005E758A">
        <w:rPr>
          <w:rStyle w:val="af3"/>
          <w:sz w:val="28"/>
        </w:rPr>
        <w:endnoteReference w:id="281"/>
      </w:r>
      <w:r w:rsidRPr="005E758A">
        <w:rPr>
          <w:sz w:val="28"/>
        </w:rPr>
        <w:t>。</w:t>
      </w:r>
    </w:p>
    <w:p w14:paraId="23646996" w14:textId="77777777" w:rsidR="001325B7" w:rsidRPr="005E758A" w:rsidRDefault="001325B7" w:rsidP="001325B7">
      <w:pPr>
        <w:snapToGrid w:val="0"/>
        <w:spacing w:before="100" w:beforeAutospacing="1" w:after="100" w:afterAutospacing="1"/>
        <w:ind w:firstLineChars="200" w:firstLine="560"/>
        <w:jc w:val="both"/>
        <w:rPr>
          <w:sz w:val="28"/>
          <w:szCs w:val="28"/>
        </w:rPr>
      </w:pPr>
      <w:r w:rsidRPr="005E758A">
        <w:rPr>
          <w:sz w:val="28"/>
        </w:rPr>
        <w:t>本款中要求主管機關依據「</w:t>
      </w:r>
      <w:r w:rsidRPr="005E758A">
        <w:rPr>
          <w:sz w:val="28"/>
          <w:szCs w:val="28"/>
        </w:rPr>
        <w:t>適用之法律及程序」決定是否認可收養，換而言之，締約國有義務訂立並落實相關法律及程序，前述兒童最佳利益原不僅是收養制度的最大考量，締約國更應透過程序的設計確保之</w:t>
      </w:r>
      <w:r w:rsidRPr="005E758A">
        <w:rPr>
          <w:rStyle w:val="af3"/>
          <w:sz w:val="28"/>
        </w:rPr>
        <w:endnoteReference w:id="282"/>
      </w:r>
      <w:r w:rsidRPr="005E758A">
        <w:rPr>
          <w:sz w:val="28"/>
          <w:szCs w:val="28"/>
        </w:rPr>
        <w:t>，並應投注足夠的資源確保收養程序遵守公約各項規定</w:t>
      </w:r>
      <w:r w:rsidRPr="005E758A">
        <w:rPr>
          <w:rStyle w:val="af3"/>
          <w:sz w:val="28"/>
        </w:rPr>
        <w:endnoteReference w:id="283"/>
      </w:r>
      <w:r w:rsidRPr="005E758A">
        <w:rPr>
          <w:sz w:val="28"/>
          <w:szCs w:val="28"/>
        </w:rPr>
        <w:t>，在收養決定做成後，亦應定期追蹤及審查</w:t>
      </w:r>
      <w:r w:rsidRPr="005E758A">
        <w:rPr>
          <w:rStyle w:val="af3"/>
          <w:sz w:val="28"/>
        </w:rPr>
        <w:endnoteReference w:id="284"/>
      </w:r>
      <w:r w:rsidRPr="005E758A">
        <w:rPr>
          <w:sz w:val="28"/>
          <w:szCs w:val="28"/>
        </w:rPr>
        <w:t>。</w:t>
      </w:r>
    </w:p>
    <w:p w14:paraId="5E3361F4" w14:textId="77777777" w:rsidR="001325B7" w:rsidRPr="005E758A" w:rsidRDefault="001325B7" w:rsidP="001325B7">
      <w:pPr>
        <w:snapToGrid w:val="0"/>
        <w:spacing w:before="100" w:beforeAutospacing="1" w:after="100" w:afterAutospacing="1"/>
        <w:ind w:firstLineChars="200" w:firstLine="560"/>
        <w:jc w:val="both"/>
        <w:rPr>
          <w:sz w:val="28"/>
          <w:szCs w:val="28"/>
        </w:rPr>
      </w:pPr>
      <w:r w:rsidRPr="005E758A">
        <w:rPr>
          <w:sz w:val="28"/>
          <w:szCs w:val="28"/>
        </w:rPr>
        <w:t>「相關且可靠之資訊」指的是心理、醫學、社會、法律等不同層面針對該名兒童及其原生家庭的分析，並應盡可能包括以下內容</w:t>
      </w:r>
      <w:r w:rsidRPr="005E758A">
        <w:rPr>
          <w:rStyle w:val="af3"/>
          <w:sz w:val="28"/>
        </w:rPr>
        <w:endnoteReference w:id="285"/>
      </w:r>
      <w:r w:rsidRPr="005E758A">
        <w:rPr>
          <w:sz w:val="28"/>
          <w:szCs w:val="28"/>
        </w:rPr>
        <w:t>：</w:t>
      </w:r>
    </w:p>
    <w:p w14:paraId="7441ABE6" w14:textId="77777777" w:rsidR="001325B7" w:rsidRPr="005E758A" w:rsidRDefault="001325B7" w:rsidP="00F02A5C">
      <w:pPr>
        <w:pStyle w:val="a0"/>
        <w:numPr>
          <w:ilvl w:val="0"/>
          <w:numId w:val="167"/>
        </w:numPr>
        <w:snapToGrid w:val="0"/>
        <w:spacing w:before="100" w:beforeAutospacing="1" w:after="100" w:afterAutospacing="1"/>
        <w:ind w:leftChars="0"/>
        <w:jc w:val="both"/>
        <w:rPr>
          <w:rFonts w:ascii="Times New Roman" w:eastAsia="標楷體" w:hAnsi="Times New Roman"/>
          <w:sz w:val="28"/>
          <w:szCs w:val="28"/>
        </w:rPr>
      </w:pPr>
      <w:r w:rsidRPr="005E758A">
        <w:rPr>
          <w:rFonts w:ascii="Times New Roman" w:eastAsia="標楷體" w:hAnsi="Times New Roman"/>
          <w:sz w:val="28"/>
          <w:szCs w:val="28"/>
        </w:rPr>
        <w:t>兒童及其原生父母和延伸家庭的身分；</w:t>
      </w:r>
    </w:p>
    <w:p w14:paraId="166C83BA" w14:textId="77777777" w:rsidR="001325B7" w:rsidRPr="005E758A" w:rsidRDefault="001325B7" w:rsidP="00F02A5C">
      <w:pPr>
        <w:pStyle w:val="a0"/>
        <w:numPr>
          <w:ilvl w:val="0"/>
          <w:numId w:val="167"/>
        </w:numPr>
        <w:snapToGrid w:val="0"/>
        <w:spacing w:before="100" w:beforeAutospacing="1" w:after="100" w:afterAutospacing="1"/>
        <w:ind w:leftChars="0"/>
        <w:jc w:val="both"/>
        <w:rPr>
          <w:rFonts w:ascii="Times New Roman" w:eastAsia="標楷體" w:hAnsi="Times New Roman"/>
          <w:sz w:val="28"/>
          <w:szCs w:val="28"/>
        </w:rPr>
      </w:pPr>
      <w:r w:rsidRPr="005E758A">
        <w:rPr>
          <w:rFonts w:ascii="Times New Roman" w:eastAsia="標楷體" w:hAnsi="Times New Roman"/>
          <w:sz w:val="28"/>
          <w:szCs w:val="28"/>
        </w:rPr>
        <w:t>兒童的成長歷程、個人及家庭之歷史、族群和宗教背景；</w:t>
      </w:r>
    </w:p>
    <w:p w14:paraId="5C064312" w14:textId="77777777" w:rsidR="001325B7" w:rsidRPr="005E758A" w:rsidRDefault="001325B7" w:rsidP="00F02A5C">
      <w:pPr>
        <w:pStyle w:val="a0"/>
        <w:numPr>
          <w:ilvl w:val="0"/>
          <w:numId w:val="167"/>
        </w:numPr>
        <w:snapToGrid w:val="0"/>
        <w:spacing w:before="100" w:beforeAutospacing="1" w:after="100" w:afterAutospacing="1"/>
        <w:ind w:leftChars="0"/>
        <w:jc w:val="both"/>
        <w:rPr>
          <w:rFonts w:ascii="Times New Roman" w:eastAsia="標楷體" w:hAnsi="Times New Roman"/>
          <w:sz w:val="28"/>
          <w:szCs w:val="28"/>
        </w:rPr>
      </w:pPr>
      <w:r w:rsidRPr="005E758A">
        <w:rPr>
          <w:rFonts w:ascii="Times New Roman" w:eastAsia="標楷體" w:hAnsi="Times New Roman"/>
          <w:sz w:val="28"/>
          <w:szCs w:val="28"/>
        </w:rPr>
        <w:t>兒童與原生家庭聯繫弱化的原因或同意收養的原因；</w:t>
      </w:r>
    </w:p>
    <w:p w14:paraId="7747F4D5" w14:textId="77777777" w:rsidR="001325B7" w:rsidRPr="005E758A" w:rsidRDefault="001325B7" w:rsidP="00F02A5C">
      <w:pPr>
        <w:pStyle w:val="a0"/>
        <w:numPr>
          <w:ilvl w:val="0"/>
          <w:numId w:val="167"/>
        </w:numPr>
        <w:snapToGrid w:val="0"/>
        <w:spacing w:before="100" w:beforeAutospacing="1" w:after="100" w:afterAutospacing="1"/>
        <w:ind w:leftChars="0"/>
        <w:jc w:val="both"/>
        <w:rPr>
          <w:rFonts w:ascii="Times New Roman" w:eastAsia="標楷體" w:hAnsi="Times New Roman"/>
          <w:sz w:val="28"/>
          <w:szCs w:val="28"/>
        </w:rPr>
      </w:pPr>
      <w:r w:rsidRPr="005E758A">
        <w:rPr>
          <w:rFonts w:ascii="Times New Roman" w:eastAsia="標楷體" w:hAnsi="Times New Roman"/>
          <w:sz w:val="28"/>
          <w:szCs w:val="28"/>
        </w:rPr>
        <w:lastRenderedPageBreak/>
        <w:t>兒童的身體、動作、智能、社會情緒發展；</w:t>
      </w:r>
    </w:p>
    <w:p w14:paraId="1E8893C8" w14:textId="77777777" w:rsidR="001325B7" w:rsidRPr="005E758A" w:rsidRDefault="001325B7" w:rsidP="00F02A5C">
      <w:pPr>
        <w:pStyle w:val="a0"/>
        <w:numPr>
          <w:ilvl w:val="0"/>
          <w:numId w:val="167"/>
        </w:numPr>
        <w:snapToGrid w:val="0"/>
        <w:spacing w:before="100" w:beforeAutospacing="1" w:after="100" w:afterAutospacing="1"/>
        <w:ind w:leftChars="0"/>
        <w:jc w:val="both"/>
        <w:rPr>
          <w:rFonts w:ascii="Times New Roman" w:eastAsia="標楷體" w:hAnsi="Times New Roman"/>
          <w:sz w:val="28"/>
          <w:szCs w:val="28"/>
        </w:rPr>
      </w:pPr>
      <w:r w:rsidRPr="005E758A">
        <w:rPr>
          <w:rFonts w:ascii="Times New Roman" w:eastAsia="標楷體" w:hAnsi="Times New Roman"/>
          <w:sz w:val="28"/>
          <w:szCs w:val="28"/>
        </w:rPr>
        <w:t>兒童的外表、個性及行為描述；</w:t>
      </w:r>
    </w:p>
    <w:p w14:paraId="789A11A1" w14:textId="77777777" w:rsidR="001325B7" w:rsidRPr="005E758A" w:rsidRDefault="001325B7" w:rsidP="00F02A5C">
      <w:pPr>
        <w:pStyle w:val="a0"/>
        <w:numPr>
          <w:ilvl w:val="0"/>
          <w:numId w:val="167"/>
        </w:numPr>
        <w:snapToGrid w:val="0"/>
        <w:spacing w:before="100" w:beforeAutospacing="1" w:after="100" w:afterAutospacing="1"/>
        <w:ind w:leftChars="0"/>
        <w:jc w:val="both"/>
        <w:rPr>
          <w:rFonts w:ascii="Times New Roman" w:eastAsia="標楷體" w:hAnsi="Times New Roman"/>
          <w:sz w:val="28"/>
          <w:szCs w:val="28"/>
        </w:rPr>
      </w:pPr>
      <w:r w:rsidRPr="005E758A">
        <w:rPr>
          <w:rFonts w:ascii="Times New Roman" w:eastAsia="標楷體" w:hAnsi="Times New Roman"/>
          <w:sz w:val="28"/>
          <w:szCs w:val="28"/>
        </w:rPr>
        <w:t>兒童的現況，包括生活習慣、獨立的能力、與身邊其他兒童和成人的關係等。</w:t>
      </w:r>
    </w:p>
    <w:p w14:paraId="49A3539C" w14:textId="77777777" w:rsidR="001325B7" w:rsidRPr="005E758A" w:rsidRDefault="001325B7" w:rsidP="001325B7">
      <w:pPr>
        <w:snapToGrid w:val="0"/>
        <w:spacing w:before="100" w:beforeAutospacing="1" w:after="100" w:afterAutospacing="1"/>
        <w:ind w:firstLineChars="200" w:firstLine="560"/>
        <w:jc w:val="both"/>
        <w:rPr>
          <w:sz w:val="28"/>
          <w:szCs w:val="28"/>
        </w:rPr>
      </w:pPr>
      <w:r w:rsidRPr="005E758A">
        <w:rPr>
          <w:sz w:val="28"/>
          <w:szCs w:val="28"/>
        </w:rPr>
        <w:t>公約並未強制規定收養需經過所有關係人的同意，締約國僅需在有「必要」時取得各關係人同意，惟締約國仍需注意不得違反公約其他規範</w:t>
      </w:r>
      <w:r w:rsidRPr="005E758A">
        <w:rPr>
          <w:rStyle w:val="af3"/>
          <w:sz w:val="28"/>
        </w:rPr>
        <w:endnoteReference w:id="286"/>
      </w:r>
      <w:r w:rsidRPr="005E758A">
        <w:rPr>
          <w:sz w:val="28"/>
          <w:szCs w:val="28"/>
        </w:rPr>
        <w:t>，並需確保與同意相關的程序能保障各關係人的權益，兒童權利委員會曾經強調關係人表示同意後應有撤回的可能，且允許撤回期間不得過短</w:t>
      </w:r>
      <w:r w:rsidRPr="005E758A">
        <w:rPr>
          <w:rStyle w:val="af3"/>
          <w:sz w:val="28"/>
        </w:rPr>
        <w:endnoteReference w:id="287"/>
      </w:r>
      <w:r w:rsidRPr="005E758A">
        <w:rPr>
          <w:sz w:val="28"/>
          <w:szCs w:val="28"/>
        </w:rPr>
        <w:t>。</w:t>
      </w:r>
    </w:p>
    <w:p w14:paraId="19CB66E9" w14:textId="77777777" w:rsidR="001325B7" w:rsidRPr="005E758A" w:rsidRDefault="001325B7" w:rsidP="001325B7">
      <w:pPr>
        <w:pStyle w:val="3"/>
        <w:numPr>
          <w:ilvl w:val="0"/>
          <w:numId w:val="8"/>
        </w:numPr>
      </w:pPr>
      <w:r w:rsidRPr="005E758A">
        <w:t>第</w:t>
      </w:r>
      <w:r w:rsidRPr="005E758A">
        <w:t>21</w:t>
      </w:r>
      <w:r w:rsidRPr="005E758A">
        <w:t>條第</w:t>
      </w:r>
      <w:r w:rsidRPr="005E758A">
        <w:t>b</w:t>
      </w:r>
      <w:r w:rsidRPr="005E758A">
        <w:t>款至第</w:t>
      </w:r>
      <w:r w:rsidRPr="005E758A">
        <w:t>e</w:t>
      </w:r>
      <w:r w:rsidRPr="005E758A">
        <w:t>款</w:t>
      </w:r>
    </w:p>
    <w:p w14:paraId="2B37A6F4" w14:textId="77777777" w:rsidR="001325B7" w:rsidRPr="005E758A" w:rsidRDefault="001325B7" w:rsidP="001325B7">
      <w:pPr>
        <w:snapToGrid w:val="0"/>
        <w:spacing w:before="100" w:beforeAutospacing="1" w:after="100" w:afterAutospacing="1"/>
        <w:ind w:firstLineChars="200" w:firstLine="560"/>
        <w:jc w:val="both"/>
        <w:rPr>
          <w:sz w:val="28"/>
        </w:rPr>
      </w:pPr>
      <w:r w:rsidRPr="005E758A">
        <w:rPr>
          <w:sz w:val="28"/>
          <w:szCs w:val="28"/>
        </w:rPr>
        <w:t>本條第</w:t>
      </w:r>
      <w:r w:rsidRPr="005E758A">
        <w:rPr>
          <w:sz w:val="28"/>
          <w:szCs w:val="28"/>
        </w:rPr>
        <w:t>b</w:t>
      </w:r>
      <w:r w:rsidRPr="005E758A">
        <w:rPr>
          <w:sz w:val="28"/>
          <w:szCs w:val="28"/>
        </w:rPr>
        <w:t>款至第</w:t>
      </w:r>
      <w:r w:rsidRPr="005E758A">
        <w:rPr>
          <w:sz w:val="28"/>
          <w:szCs w:val="28"/>
        </w:rPr>
        <w:t>d</w:t>
      </w:r>
      <w:r w:rsidRPr="005E758A">
        <w:rPr>
          <w:sz w:val="28"/>
          <w:szCs w:val="28"/>
        </w:rPr>
        <w:t>款規範者為跨國境收養，兒童權利公約及前述</w:t>
      </w:r>
      <w:r w:rsidRPr="005E758A">
        <w:rPr>
          <w:sz w:val="28"/>
        </w:rPr>
        <w:t>海牙跨國收養公約</w:t>
      </w:r>
      <w:r w:rsidRPr="005E758A">
        <w:rPr>
          <w:rStyle w:val="af3"/>
          <w:sz w:val="28"/>
        </w:rPr>
        <w:endnoteReference w:id="288"/>
      </w:r>
      <w:r w:rsidRPr="005E758A">
        <w:rPr>
          <w:sz w:val="28"/>
        </w:rPr>
        <w:t>均同意僅得在無適當的國內替代照顧方案時，始可允許跨國境收養。而跨國境收養案件中</w:t>
      </w:r>
      <w:proofErr w:type="gramStart"/>
      <w:r w:rsidRPr="005E758A">
        <w:rPr>
          <w:sz w:val="28"/>
        </w:rPr>
        <w:t>一</w:t>
      </w:r>
      <w:proofErr w:type="gramEnd"/>
      <w:r w:rsidRPr="005E758A">
        <w:rPr>
          <w:sz w:val="28"/>
        </w:rPr>
        <w:t>重大原則即為禁止歧視，因此在第</w:t>
      </w:r>
      <w:r w:rsidRPr="005E758A">
        <w:rPr>
          <w:sz w:val="28"/>
        </w:rPr>
        <w:t>c</w:t>
      </w:r>
      <w:r w:rsidRPr="005E758A">
        <w:rPr>
          <w:sz w:val="28"/>
        </w:rPr>
        <w:t>款要求跨國境收養兒童與國內收養兒童享有相同保障及標準。</w:t>
      </w:r>
    </w:p>
    <w:p w14:paraId="110C9BDC" w14:textId="77777777" w:rsidR="001325B7" w:rsidRPr="005E758A" w:rsidRDefault="001325B7" w:rsidP="001325B7">
      <w:pPr>
        <w:snapToGrid w:val="0"/>
        <w:spacing w:before="100" w:beforeAutospacing="1" w:after="100" w:afterAutospacing="1"/>
        <w:ind w:firstLineChars="200" w:firstLine="560"/>
        <w:jc w:val="both"/>
        <w:rPr>
          <w:sz w:val="28"/>
        </w:rPr>
      </w:pPr>
      <w:r w:rsidRPr="005E758A">
        <w:rPr>
          <w:sz w:val="28"/>
        </w:rPr>
        <w:t>跨國境收養可能衍生的另一個問題為過程所生之費用，兒童權利公約協商時即有相關討論，並有國家代表認為若公約規定不夠明確，可能導致類似「兒童市場」的現象</w:t>
      </w:r>
      <w:r w:rsidRPr="005E758A">
        <w:rPr>
          <w:rStyle w:val="af3"/>
          <w:sz w:val="28"/>
        </w:rPr>
        <w:endnoteReference w:id="289"/>
      </w:r>
      <w:r w:rsidRPr="005E758A">
        <w:rPr>
          <w:sz w:val="28"/>
        </w:rPr>
        <w:t>，這樣的疑慮在私人機構提供跨國境收養相關服務後更加嚴重，海牙跨國收養公約因此有較詳盡的規定</w:t>
      </w:r>
      <w:r w:rsidRPr="005E758A">
        <w:rPr>
          <w:rStyle w:val="af3"/>
          <w:sz w:val="28"/>
        </w:rPr>
        <w:endnoteReference w:id="290"/>
      </w:r>
      <w:r w:rsidRPr="005E758A">
        <w:rPr>
          <w:sz w:val="28"/>
        </w:rPr>
        <w:t>。</w:t>
      </w:r>
    </w:p>
    <w:p w14:paraId="2BC409C2" w14:textId="77777777" w:rsidR="001325B7" w:rsidRPr="005E758A" w:rsidRDefault="001325B7" w:rsidP="001325B7">
      <w:pPr>
        <w:snapToGrid w:val="0"/>
        <w:spacing w:before="100" w:beforeAutospacing="1" w:after="100" w:afterAutospacing="1"/>
        <w:ind w:firstLineChars="200" w:firstLine="560"/>
        <w:jc w:val="both"/>
        <w:rPr>
          <w:sz w:val="28"/>
        </w:rPr>
      </w:pPr>
      <w:r w:rsidRPr="005E758A">
        <w:rPr>
          <w:sz w:val="28"/>
        </w:rPr>
        <w:t>本條最後在第</w:t>
      </w:r>
      <w:r w:rsidRPr="005E758A">
        <w:rPr>
          <w:sz w:val="28"/>
        </w:rPr>
        <w:t>e</w:t>
      </w:r>
      <w:r w:rsidRPr="005E758A">
        <w:rPr>
          <w:sz w:val="28"/>
        </w:rPr>
        <w:t>款提及締約國應於適當情況下「締結雙邊或多邊協議或協定以促進本條之目的」，多邊協定中最相關者即為海牙跨國收養公約，兒童權利委員會亦常建議締約國批准此公約</w:t>
      </w:r>
      <w:r w:rsidRPr="005E758A">
        <w:rPr>
          <w:rStyle w:val="af3"/>
          <w:sz w:val="28"/>
        </w:rPr>
        <w:endnoteReference w:id="291"/>
      </w:r>
      <w:r w:rsidRPr="005E758A">
        <w:rPr>
          <w:sz w:val="28"/>
        </w:rPr>
        <w:t>，實踐上亦有國家以協定或其他模式就跨國境收養案件合作</w:t>
      </w:r>
      <w:r w:rsidRPr="005E758A">
        <w:rPr>
          <w:rStyle w:val="af3"/>
          <w:sz w:val="28"/>
        </w:rPr>
        <w:endnoteReference w:id="292"/>
      </w:r>
      <w:r w:rsidRPr="005E758A">
        <w:rPr>
          <w:sz w:val="28"/>
        </w:rPr>
        <w:t>。</w:t>
      </w:r>
    </w:p>
    <w:p w14:paraId="1AB73238" w14:textId="77777777" w:rsidR="001325B7" w:rsidRPr="005E758A" w:rsidRDefault="001325B7" w:rsidP="001325B7">
      <w:pPr>
        <w:pStyle w:val="2"/>
      </w:pPr>
      <w:r w:rsidRPr="005E758A">
        <w:t>案例介紹</w:t>
      </w:r>
    </w:p>
    <w:p w14:paraId="010E408D" w14:textId="77777777" w:rsidR="001325B7" w:rsidRPr="005E758A" w:rsidRDefault="001325B7" w:rsidP="00F02A5C">
      <w:pPr>
        <w:pStyle w:val="3"/>
        <w:numPr>
          <w:ilvl w:val="0"/>
          <w:numId w:val="170"/>
        </w:numPr>
      </w:pPr>
      <w:r w:rsidRPr="005E758A">
        <w:t>2005</w:t>
      </w:r>
      <w:r w:rsidRPr="005E758A">
        <w:t>年俄羅斯最高法院跨國境收養案：</w:t>
      </w:r>
      <w:r w:rsidRPr="005E758A">
        <w:t>R. B. v Public Prosecutor</w:t>
      </w:r>
      <w:r w:rsidRPr="005E758A">
        <w:rPr>
          <w:rStyle w:val="af3"/>
        </w:rPr>
        <w:endnoteReference w:id="293"/>
      </w:r>
    </w:p>
    <w:p w14:paraId="1ACF0929" w14:textId="77777777" w:rsidR="001325B7" w:rsidRPr="005E758A" w:rsidRDefault="001325B7" w:rsidP="001325B7">
      <w:pPr>
        <w:snapToGrid w:val="0"/>
        <w:spacing w:before="100" w:beforeAutospacing="1" w:after="100" w:afterAutospacing="1"/>
        <w:ind w:firstLineChars="200" w:firstLine="560"/>
        <w:jc w:val="both"/>
        <w:rPr>
          <w:sz w:val="28"/>
        </w:rPr>
      </w:pPr>
      <w:r w:rsidRPr="005E758A">
        <w:rPr>
          <w:sz w:val="28"/>
        </w:rPr>
        <w:t>美國籍</w:t>
      </w:r>
      <w:r w:rsidRPr="005E758A">
        <w:rPr>
          <w:sz w:val="28"/>
        </w:rPr>
        <w:t>R.B.</w:t>
      </w:r>
      <w:r w:rsidRPr="005E758A">
        <w:rPr>
          <w:sz w:val="28"/>
        </w:rPr>
        <w:t>向俄國法院申請收養一位健康狀況不佳的俄國籍兒童，第一審法院以俄國兒童應盡可能由俄國家庭收養而拒絕</w:t>
      </w:r>
      <w:r w:rsidRPr="005E758A">
        <w:rPr>
          <w:sz w:val="28"/>
        </w:rPr>
        <w:t>R.B.</w:t>
      </w:r>
      <w:r w:rsidRPr="005E758A">
        <w:rPr>
          <w:sz w:val="28"/>
        </w:rPr>
        <w:t>的申請，之後出現了新證據顯示過去相關機構曾試著尋找俄國家庭收養該名兒童但未果，</w:t>
      </w:r>
      <w:r w:rsidRPr="005E758A">
        <w:rPr>
          <w:sz w:val="28"/>
        </w:rPr>
        <w:t>R.B.</w:t>
      </w:r>
      <w:r w:rsidRPr="005E758A">
        <w:rPr>
          <w:sz w:val="28"/>
        </w:rPr>
        <w:t>依此再次提出申請，法院亦同意接受申請，但檢察官以俄國民事訴訟法禁止同案件重複審理為由上訴。</w:t>
      </w:r>
    </w:p>
    <w:p w14:paraId="139F3C9F" w14:textId="77777777" w:rsidR="001325B7" w:rsidRPr="005E758A" w:rsidRDefault="001325B7" w:rsidP="001325B7">
      <w:pPr>
        <w:snapToGrid w:val="0"/>
        <w:spacing w:before="100" w:beforeAutospacing="1" w:after="100" w:afterAutospacing="1"/>
        <w:ind w:firstLineChars="200" w:firstLine="560"/>
        <w:jc w:val="both"/>
        <w:rPr>
          <w:sz w:val="28"/>
        </w:rPr>
      </w:pPr>
      <w:r w:rsidRPr="005E758A">
        <w:rPr>
          <w:sz w:val="28"/>
        </w:rPr>
        <w:lastRenderedPageBreak/>
        <w:t>最高法院認為，俄國收養相關法令並未禁止同申請人重複就相同兒童之收養提出申請，當案件中出現得以影響原決定的新事證時，更有理由重新提出申請。法院在判決中引用包括兒童權利公約第</w:t>
      </w:r>
      <w:r w:rsidRPr="005E758A">
        <w:rPr>
          <w:sz w:val="28"/>
        </w:rPr>
        <w:t>21</w:t>
      </w:r>
      <w:r w:rsidRPr="005E758A">
        <w:rPr>
          <w:sz w:val="28"/>
        </w:rPr>
        <w:t>條在內的數項國際文件，並指出當兒童無法在國內找到寄養或收養的家庭時，跨國境收養的確應該被認為是合法且可行的選項，本案前審法院的收養程序的確符合國際法及俄國法上保障兒童利益的規範。</w:t>
      </w:r>
    </w:p>
    <w:p w14:paraId="5EE54CC1" w14:textId="77777777" w:rsidR="001325B7" w:rsidRPr="005E758A" w:rsidRDefault="001325B7" w:rsidP="001325B7">
      <w:pPr>
        <w:snapToGrid w:val="0"/>
        <w:spacing w:before="100" w:beforeAutospacing="1" w:after="100" w:afterAutospacing="1"/>
        <w:ind w:firstLineChars="200" w:firstLine="560"/>
        <w:jc w:val="both"/>
      </w:pPr>
      <w:r w:rsidRPr="005E758A">
        <w:rPr>
          <w:sz w:val="28"/>
        </w:rPr>
        <w:t>此判決做成後在俄國親屬法第</w:t>
      </w:r>
      <w:r w:rsidRPr="005E758A">
        <w:rPr>
          <w:sz w:val="28"/>
        </w:rPr>
        <w:t>124.4</w:t>
      </w:r>
      <w:r w:rsidRPr="005E758A">
        <w:rPr>
          <w:sz w:val="28"/>
        </w:rPr>
        <w:t>條條文釋義中被引用，為一重要判例，使法院得在相關單位用盡管道仍無法在俄國國內找到適當的寄養或收養家庭時，允許跨國境收養的申請。</w:t>
      </w:r>
    </w:p>
    <w:p w14:paraId="1DBE7805" w14:textId="77777777" w:rsidR="001325B7" w:rsidRPr="005E758A" w:rsidRDefault="001325B7" w:rsidP="00F02A5C">
      <w:pPr>
        <w:pStyle w:val="3"/>
        <w:numPr>
          <w:ilvl w:val="0"/>
          <w:numId w:val="170"/>
        </w:numPr>
      </w:pPr>
      <w:r w:rsidRPr="005E758A">
        <w:t>2013</w:t>
      </w:r>
      <w:r w:rsidRPr="005E758A">
        <w:t>年東</w:t>
      </w:r>
      <w:proofErr w:type="gramStart"/>
      <w:r w:rsidRPr="005E758A">
        <w:t>加努瓜婁發</w:t>
      </w:r>
      <w:proofErr w:type="gramEnd"/>
      <w:r w:rsidRPr="005E758A">
        <w:t>上訴法院跨國境收養案：</w:t>
      </w:r>
      <w:r w:rsidRPr="005E758A">
        <w:t>Saavedra v. Solicitor General</w:t>
      </w:r>
      <w:r w:rsidRPr="005E758A">
        <w:rPr>
          <w:rStyle w:val="af3"/>
        </w:rPr>
        <w:endnoteReference w:id="294"/>
      </w:r>
    </w:p>
    <w:p w14:paraId="2F0F2931" w14:textId="77777777" w:rsidR="001325B7" w:rsidRPr="005E758A" w:rsidRDefault="001325B7" w:rsidP="001325B7">
      <w:pPr>
        <w:snapToGrid w:val="0"/>
        <w:spacing w:before="100" w:beforeAutospacing="1" w:after="100" w:afterAutospacing="1"/>
        <w:ind w:firstLineChars="200" w:firstLine="560"/>
        <w:jc w:val="both"/>
        <w:rPr>
          <w:sz w:val="28"/>
        </w:rPr>
      </w:pPr>
      <w:r w:rsidRPr="005E758A">
        <w:rPr>
          <w:sz w:val="28"/>
        </w:rPr>
        <w:t>兩名美國籍人士希望收養一對東</w:t>
      </w:r>
      <w:proofErr w:type="gramStart"/>
      <w:r w:rsidRPr="005E758A">
        <w:rPr>
          <w:sz w:val="28"/>
        </w:rPr>
        <w:t>加籍同母</w:t>
      </w:r>
      <w:proofErr w:type="gramEnd"/>
      <w:r w:rsidRPr="005E758A">
        <w:rPr>
          <w:sz w:val="28"/>
        </w:rPr>
        <w:t>異父兄妹（</w:t>
      </w:r>
      <w:r w:rsidRPr="005E758A">
        <w:rPr>
          <w:sz w:val="28"/>
        </w:rPr>
        <w:t>6</w:t>
      </w:r>
      <w:r w:rsidRPr="005E758A">
        <w:rPr>
          <w:sz w:val="28"/>
        </w:rPr>
        <w:t>歲及</w:t>
      </w:r>
      <w:r w:rsidRPr="005E758A">
        <w:rPr>
          <w:sz w:val="28"/>
        </w:rPr>
        <w:t>1</w:t>
      </w:r>
      <w:r w:rsidRPr="005E758A">
        <w:rPr>
          <w:sz w:val="28"/>
        </w:rPr>
        <w:t>歲），第一審法院同意女童的收養，但就該名男童之收養，雖然當初生母已表示同意，第一審法院仍拒絕申請。</w:t>
      </w:r>
    </w:p>
    <w:p w14:paraId="73ABFA50" w14:textId="77777777" w:rsidR="001325B7" w:rsidRPr="005E758A" w:rsidRDefault="001325B7" w:rsidP="001325B7">
      <w:pPr>
        <w:snapToGrid w:val="0"/>
        <w:spacing w:before="100" w:beforeAutospacing="1" w:after="100" w:afterAutospacing="1"/>
        <w:ind w:firstLineChars="200" w:firstLine="560"/>
        <w:jc w:val="both"/>
        <w:rPr>
          <w:sz w:val="28"/>
        </w:rPr>
      </w:pPr>
      <w:r w:rsidRPr="005E758A">
        <w:rPr>
          <w:sz w:val="28"/>
        </w:rPr>
        <w:t>上訴法院在判決中強調，兒童最佳利益乃是收養程序中的最大考量，法院並引用公約第</w:t>
      </w:r>
      <w:r w:rsidRPr="005E758A">
        <w:rPr>
          <w:sz w:val="28"/>
        </w:rPr>
        <w:t>21</w:t>
      </w:r>
      <w:r w:rsidRPr="005E758A">
        <w:rPr>
          <w:sz w:val="28"/>
        </w:rPr>
        <w:t>條以及兒童權利委員會對墨西哥國家報告所做出之結論性意見，認為僅有在無其它選擇時才可考慮跨國境收養。法院雖然同意本案涉及之男童被收養後生活品質會提升，但由於以下理由仍應駁回收養申請：第一，男童相當依賴生母；第二、申請收養者非東加人；第三，若同意收養，男童會被帶到陌生的環境成長。</w:t>
      </w:r>
      <w:proofErr w:type="gramStart"/>
      <w:r w:rsidRPr="005E758A">
        <w:rPr>
          <w:sz w:val="28"/>
        </w:rPr>
        <w:t>此外，</w:t>
      </w:r>
      <w:proofErr w:type="gramEnd"/>
      <w:r w:rsidRPr="005E758A">
        <w:rPr>
          <w:sz w:val="28"/>
        </w:rPr>
        <w:t>法院指出在前審法院拒絕收養申請後，這位男童乃由其生母及祖母共同照顧，祖母亦提供經濟上支持，男童生活上並無困難，且其生母亦已撤回原來的收養同意。該名兒童亦透過代表人表示他希望能繼續和祖母一起生活，不想跟著收養申請人離開。綜上，上訴法院同意前審法院的判決，駁回收養申請。</w:t>
      </w:r>
    </w:p>
    <w:p w14:paraId="27AED423" w14:textId="77777777" w:rsidR="001325B7" w:rsidRPr="005E758A" w:rsidRDefault="001325B7" w:rsidP="001325B7">
      <w:pPr>
        <w:pStyle w:val="2"/>
      </w:pPr>
      <w:r w:rsidRPr="005E758A">
        <w:t>綜合分析</w:t>
      </w:r>
    </w:p>
    <w:p w14:paraId="790D0CF7" w14:textId="77777777" w:rsidR="001325B7" w:rsidRPr="005E758A" w:rsidRDefault="001325B7" w:rsidP="001325B7">
      <w:pPr>
        <w:snapToGrid w:val="0"/>
        <w:spacing w:before="100" w:beforeAutospacing="1" w:after="100" w:afterAutospacing="1"/>
        <w:ind w:firstLineChars="200" w:firstLine="560"/>
        <w:jc w:val="both"/>
        <w:rPr>
          <w:sz w:val="28"/>
        </w:rPr>
      </w:pPr>
      <w:r w:rsidRPr="005E758A">
        <w:rPr>
          <w:sz w:val="28"/>
        </w:rPr>
        <w:t>本條規定雖已提供兒童及其他收養程序關係人一定的保障，但實際上仍然有所缺漏，例如收養程序前相關資訊的說明及傳播、收養決定做成後兒童與其根源的維繫以及確保收養後兒童權利的保障等，都是需要更多研究及規範的層面</w:t>
      </w:r>
      <w:r w:rsidRPr="005E758A">
        <w:rPr>
          <w:rStyle w:val="af3"/>
          <w:sz w:val="28"/>
        </w:rPr>
        <w:endnoteReference w:id="295"/>
      </w:r>
      <w:r w:rsidRPr="005E758A">
        <w:rPr>
          <w:sz w:val="28"/>
        </w:rPr>
        <w:t>。</w:t>
      </w:r>
      <w:proofErr w:type="gramStart"/>
      <w:r w:rsidRPr="005E758A">
        <w:rPr>
          <w:sz w:val="28"/>
        </w:rPr>
        <w:t>此外，</w:t>
      </w:r>
      <w:proofErr w:type="gramEnd"/>
      <w:r w:rsidRPr="005E758A">
        <w:rPr>
          <w:sz w:val="28"/>
        </w:rPr>
        <w:t>執行本條規定時亦應參考關於買賣兒童、兒童賣淫和兒童色情問題之兒童權利公約任擇議定書，根據該議定書第</w:t>
      </w:r>
      <w:r w:rsidRPr="005E758A">
        <w:rPr>
          <w:sz w:val="28"/>
        </w:rPr>
        <w:t>3</w:t>
      </w:r>
      <w:r w:rsidRPr="005E758A">
        <w:rPr>
          <w:sz w:val="28"/>
        </w:rPr>
        <w:t>條第</w:t>
      </w:r>
      <w:r w:rsidRPr="005E758A">
        <w:rPr>
          <w:sz w:val="28"/>
        </w:rPr>
        <w:t>1</w:t>
      </w:r>
      <w:r w:rsidRPr="005E758A">
        <w:rPr>
          <w:sz w:val="28"/>
        </w:rPr>
        <w:t>項規定，「仲介以違反現行國際收養之法律文書方式不當</w:t>
      </w:r>
      <w:proofErr w:type="gramStart"/>
      <w:r w:rsidRPr="005E758A">
        <w:rPr>
          <w:sz w:val="28"/>
        </w:rPr>
        <w:t>誘</w:t>
      </w:r>
      <w:proofErr w:type="gramEnd"/>
      <w:r w:rsidRPr="005E758A">
        <w:rPr>
          <w:sz w:val="28"/>
        </w:rPr>
        <w:t>使取得同意收養兒童」亦屬買賣兒童的行為，並於同</w:t>
      </w:r>
      <w:r w:rsidRPr="005E758A">
        <w:rPr>
          <w:sz w:val="28"/>
        </w:rPr>
        <w:lastRenderedPageBreak/>
        <w:t>條第</w:t>
      </w:r>
      <w:r w:rsidRPr="005E758A">
        <w:rPr>
          <w:sz w:val="28"/>
        </w:rPr>
        <w:t>5</w:t>
      </w:r>
      <w:r w:rsidRPr="005E758A">
        <w:rPr>
          <w:sz w:val="28"/>
        </w:rPr>
        <w:t>項重申「締約國應採取一切適當之法律及行政措施，以確保所有涉入兒童收養行為之人應符合現行國際法律文書」。</w:t>
      </w:r>
    </w:p>
    <w:p w14:paraId="04B76029" w14:textId="77777777" w:rsidR="001325B7" w:rsidRPr="005E758A" w:rsidRDefault="001325B7" w:rsidP="001325B7">
      <w:pPr>
        <w:pStyle w:val="2"/>
      </w:pPr>
      <w:r w:rsidRPr="005E758A">
        <w:t>參考資料</w:t>
      </w:r>
    </w:p>
    <w:p w14:paraId="09F0C543" w14:textId="77777777" w:rsidR="001325B7" w:rsidRPr="005E758A" w:rsidRDefault="001325B7" w:rsidP="00F02A5C">
      <w:pPr>
        <w:pStyle w:val="a0"/>
        <w:numPr>
          <w:ilvl w:val="0"/>
          <w:numId w:val="166"/>
        </w:numPr>
        <w:snapToGrid w:val="0"/>
        <w:ind w:leftChars="0"/>
        <w:jc w:val="both"/>
        <w:rPr>
          <w:rFonts w:ascii="Times New Roman" w:eastAsia="標楷體" w:hAnsi="Times New Roman"/>
          <w:sz w:val="28"/>
          <w:szCs w:val="28"/>
        </w:rPr>
      </w:pPr>
      <w:r w:rsidRPr="005E758A">
        <w:rPr>
          <w:rFonts w:ascii="Times New Roman" w:eastAsia="標楷體" w:hAnsi="Times New Roman"/>
          <w:smallCaps/>
          <w:sz w:val="28"/>
          <w:szCs w:val="28"/>
        </w:rPr>
        <w:t xml:space="preserve">Sylvain </w:t>
      </w:r>
      <w:proofErr w:type="spellStart"/>
      <w:r w:rsidRPr="005E758A">
        <w:rPr>
          <w:rFonts w:ascii="Times New Roman" w:eastAsia="標楷體" w:hAnsi="Times New Roman"/>
          <w:smallCaps/>
          <w:sz w:val="28"/>
          <w:szCs w:val="28"/>
        </w:rPr>
        <w:t>Vité</w:t>
      </w:r>
      <w:proofErr w:type="spellEnd"/>
      <w:r w:rsidRPr="005E758A">
        <w:rPr>
          <w:rFonts w:ascii="Times New Roman" w:eastAsia="標楷體" w:hAnsi="Times New Roman"/>
          <w:smallCaps/>
          <w:sz w:val="28"/>
          <w:szCs w:val="28"/>
        </w:rPr>
        <w:t xml:space="preserve"> &amp; </w:t>
      </w:r>
      <w:proofErr w:type="spellStart"/>
      <w:r w:rsidRPr="005E758A">
        <w:rPr>
          <w:rFonts w:ascii="Times New Roman" w:eastAsia="標楷體" w:hAnsi="Times New Roman"/>
          <w:smallCaps/>
          <w:sz w:val="28"/>
          <w:szCs w:val="28"/>
        </w:rPr>
        <w:t>Hervé</w:t>
      </w:r>
      <w:proofErr w:type="spellEnd"/>
      <w:r w:rsidRPr="005E758A">
        <w:rPr>
          <w:rFonts w:ascii="Times New Roman" w:eastAsia="標楷體" w:hAnsi="Times New Roman"/>
          <w:smallCaps/>
          <w:sz w:val="28"/>
          <w:szCs w:val="28"/>
        </w:rPr>
        <w:t xml:space="preserve"> </w:t>
      </w:r>
      <w:proofErr w:type="spellStart"/>
      <w:r w:rsidRPr="005E758A">
        <w:rPr>
          <w:rFonts w:ascii="Times New Roman" w:eastAsia="標楷體" w:hAnsi="Times New Roman"/>
          <w:smallCaps/>
          <w:sz w:val="28"/>
          <w:szCs w:val="28"/>
        </w:rPr>
        <w:t>Boéchat</w:t>
      </w:r>
      <w:proofErr w:type="spellEnd"/>
      <w:r w:rsidRPr="005E758A">
        <w:rPr>
          <w:rFonts w:ascii="Times New Roman" w:eastAsia="標楷體" w:hAnsi="Times New Roman"/>
          <w:smallCaps/>
          <w:sz w:val="28"/>
          <w:szCs w:val="28"/>
        </w:rPr>
        <w:t>, A Commentary on the United Nations Convention on the Rights of the Child: Article 21. Adoption</w:t>
      </w:r>
      <w:r w:rsidRPr="005E758A">
        <w:rPr>
          <w:rFonts w:ascii="Times New Roman" w:eastAsia="標楷體" w:hAnsi="Times New Roman"/>
          <w:sz w:val="28"/>
          <w:szCs w:val="28"/>
        </w:rPr>
        <w:t xml:space="preserve"> (André Alen et al. eds., 2008).</w:t>
      </w:r>
    </w:p>
    <w:p w14:paraId="74CC4FF0" w14:textId="77777777" w:rsidR="001325B7" w:rsidRPr="005E758A" w:rsidRDefault="001325B7" w:rsidP="00F02A5C">
      <w:pPr>
        <w:pStyle w:val="a0"/>
        <w:numPr>
          <w:ilvl w:val="0"/>
          <w:numId w:val="166"/>
        </w:numPr>
        <w:snapToGrid w:val="0"/>
        <w:ind w:leftChars="0"/>
        <w:jc w:val="both"/>
        <w:rPr>
          <w:rFonts w:ascii="Times New Roman" w:eastAsia="標楷體" w:hAnsi="Times New Roman"/>
          <w:sz w:val="28"/>
          <w:szCs w:val="28"/>
        </w:rPr>
      </w:pPr>
      <w:r w:rsidRPr="005E758A">
        <w:rPr>
          <w:rFonts w:ascii="Times New Roman" w:eastAsia="標楷體" w:hAnsi="Times New Roman"/>
          <w:smallCaps/>
          <w:sz w:val="28"/>
          <w:szCs w:val="28"/>
        </w:rPr>
        <w:t>聯合國人權事務高級專員辦事處，兒童權利公約立法歷史。</w:t>
      </w:r>
      <w:r w:rsidRPr="005E758A">
        <w:rPr>
          <w:rFonts w:ascii="Times New Roman" w:eastAsia="標楷體" w:hAnsi="Times New Roman"/>
          <w:smallCaps/>
          <w:sz w:val="28"/>
          <w:szCs w:val="28"/>
        </w:rPr>
        <w:t>(Office of the United Nations High Commissioner for Human Rights, Legislative History of the Convention on the Rights of the Child</w:t>
      </w:r>
      <w:r w:rsidRPr="005E758A">
        <w:rPr>
          <w:rFonts w:ascii="Times New Roman" w:eastAsia="標楷體" w:hAnsi="Times New Roman"/>
          <w:sz w:val="28"/>
          <w:szCs w:val="28"/>
        </w:rPr>
        <w:t xml:space="preserve"> (2007).)</w:t>
      </w:r>
    </w:p>
    <w:p w14:paraId="5D2397A8" w14:textId="77777777" w:rsidR="001325B7" w:rsidRPr="005E758A" w:rsidRDefault="001325B7" w:rsidP="001325B7">
      <w:pPr>
        <w:snapToGrid w:val="0"/>
        <w:spacing w:before="100" w:beforeAutospacing="1" w:after="100" w:afterAutospacing="1"/>
        <w:jc w:val="both"/>
        <w:rPr>
          <w:sz w:val="28"/>
        </w:rPr>
      </w:pPr>
    </w:p>
    <w:p w14:paraId="397DF068" w14:textId="77777777" w:rsidR="001325B7" w:rsidRPr="005E758A" w:rsidRDefault="001325B7" w:rsidP="001325B7">
      <w:pPr>
        <w:snapToGrid w:val="0"/>
        <w:spacing w:before="100" w:beforeAutospacing="1" w:after="100" w:afterAutospacing="1"/>
        <w:jc w:val="both"/>
      </w:pPr>
      <w:r w:rsidRPr="005E758A">
        <w:rPr>
          <w:sz w:val="28"/>
        </w:rPr>
        <w:t>關鍵詞：收養、兒童最佳利益、跨國境收養</w:t>
      </w:r>
    </w:p>
    <w:p w14:paraId="2F7CA098" w14:textId="77777777" w:rsidR="0099625B" w:rsidRPr="005E758A" w:rsidRDefault="0099625B" w:rsidP="0099625B">
      <w:pPr>
        <w:pStyle w:val="1"/>
        <w:sectPr w:rsidR="0099625B" w:rsidRPr="005E758A">
          <w:endnotePr>
            <w:numFmt w:val="decimal"/>
            <w:numRestart w:val="eachSect"/>
          </w:endnotePr>
          <w:pgSz w:w="11906" w:h="16838"/>
          <w:pgMar w:top="1440" w:right="1800" w:bottom="1440" w:left="1800" w:header="851" w:footer="992" w:gutter="0"/>
          <w:cols w:space="425"/>
          <w:docGrid w:type="lines" w:linePitch="360"/>
        </w:sectPr>
      </w:pPr>
    </w:p>
    <w:p w14:paraId="5B29C6C0" w14:textId="77777777" w:rsidR="00165E59" w:rsidRDefault="00165E59" w:rsidP="00165E59">
      <w:pPr>
        <w:pStyle w:val="1"/>
        <w:rPr>
          <w:sz w:val="28"/>
        </w:rPr>
      </w:pPr>
      <w:bookmarkStart w:id="67" w:name="_Toc431072738"/>
      <w:r w:rsidRPr="005E758A">
        <w:lastRenderedPageBreak/>
        <w:t>第</w:t>
      </w:r>
      <w:r w:rsidRPr="005E758A">
        <w:t>22</w:t>
      </w:r>
      <w:r w:rsidRPr="005E758A">
        <w:t>條</w:t>
      </w:r>
      <w:r>
        <w:rPr>
          <w:rFonts w:hint="eastAsia"/>
        </w:rPr>
        <w:t xml:space="preserve">　難民兒童</w:t>
      </w:r>
      <w:bookmarkEnd w:id="67"/>
    </w:p>
    <w:tbl>
      <w:tblPr>
        <w:tblStyle w:val="af4"/>
        <w:tblW w:w="0" w:type="auto"/>
        <w:jc w:val="center"/>
        <w:tblLook w:val="04A0" w:firstRow="1" w:lastRow="0" w:firstColumn="1" w:lastColumn="0" w:noHBand="0" w:noVBand="1"/>
      </w:tblPr>
      <w:tblGrid>
        <w:gridCol w:w="8220"/>
      </w:tblGrid>
      <w:tr w:rsidR="00165E59" w:rsidRPr="005E758A" w14:paraId="0AD68862" w14:textId="77777777" w:rsidTr="002B035C">
        <w:trPr>
          <w:jc w:val="center"/>
        </w:trPr>
        <w:tc>
          <w:tcPr>
            <w:tcW w:w="8220" w:type="dxa"/>
          </w:tcPr>
          <w:p w14:paraId="6CBAA44A" w14:textId="77777777" w:rsidR="00165E59" w:rsidRPr="005E758A" w:rsidRDefault="00165E59" w:rsidP="002B035C">
            <w:pPr>
              <w:pStyle w:val="a0"/>
              <w:numPr>
                <w:ilvl w:val="2"/>
                <w:numId w:val="1"/>
              </w:numPr>
              <w:snapToGrid w:val="0"/>
              <w:spacing w:beforeLines="50" w:before="180"/>
              <w:ind w:leftChars="0" w:left="357" w:hanging="357"/>
              <w:jc w:val="both"/>
              <w:rPr>
                <w:rFonts w:ascii="Times New Roman" w:eastAsia="標楷體" w:hAnsi="Times New Roman"/>
                <w:color w:val="333333"/>
                <w:sz w:val="28"/>
                <w:szCs w:val="28"/>
                <w:shd w:val="clear" w:color="auto" w:fill="FFFFFF"/>
              </w:rPr>
            </w:pPr>
            <w:r w:rsidRPr="005E758A">
              <w:rPr>
                <w:rFonts w:ascii="Times New Roman" w:eastAsia="標楷體" w:hAnsi="Times New Roman"/>
                <w:color w:val="333333"/>
                <w:sz w:val="28"/>
                <w:szCs w:val="28"/>
                <w:shd w:val="clear" w:color="auto" w:fill="FFFFFF"/>
              </w:rPr>
              <w:t>締約國應採取適當措施，確保申請難民身分或依應適用之國際或國內法律或程序被視為難民的兒童，不論是否與其父母或其他人隨行，</w:t>
            </w:r>
            <w:proofErr w:type="gramStart"/>
            <w:r w:rsidRPr="005E758A">
              <w:rPr>
                <w:rFonts w:ascii="Times New Roman" w:eastAsia="標楷體" w:hAnsi="Times New Roman"/>
                <w:color w:val="333333"/>
                <w:sz w:val="28"/>
                <w:szCs w:val="28"/>
                <w:shd w:val="clear" w:color="auto" w:fill="FFFFFF"/>
              </w:rPr>
              <w:t>均能獲得</w:t>
            </w:r>
            <w:proofErr w:type="gramEnd"/>
            <w:r w:rsidRPr="005E758A">
              <w:rPr>
                <w:rFonts w:ascii="Times New Roman" w:eastAsia="標楷體" w:hAnsi="Times New Roman"/>
                <w:color w:val="333333"/>
                <w:sz w:val="28"/>
                <w:szCs w:val="28"/>
                <w:shd w:val="clear" w:color="auto" w:fill="FFFFFF"/>
              </w:rPr>
              <w:t>適當的保護及人道協助，以享有本公約及該締約國所締結之其他國際人權公約或人道文書中所揭示的相關權利。</w:t>
            </w:r>
          </w:p>
          <w:p w14:paraId="4F3DA457" w14:textId="77777777" w:rsidR="00165E59" w:rsidRPr="005E758A" w:rsidRDefault="00165E59" w:rsidP="002B035C">
            <w:pPr>
              <w:pStyle w:val="a0"/>
              <w:numPr>
                <w:ilvl w:val="2"/>
                <w:numId w:val="1"/>
              </w:numPr>
              <w:snapToGrid w:val="0"/>
              <w:spacing w:beforeLines="50" w:before="180"/>
              <w:ind w:leftChars="0" w:left="357" w:hanging="357"/>
              <w:jc w:val="both"/>
              <w:rPr>
                <w:rFonts w:ascii="Times New Roman" w:eastAsia="標楷體" w:hAnsi="Times New Roman"/>
                <w:sz w:val="28"/>
                <w:szCs w:val="28"/>
              </w:rPr>
            </w:pPr>
            <w:r w:rsidRPr="005E758A">
              <w:rPr>
                <w:rFonts w:ascii="Times New Roman" w:eastAsia="標楷體" w:hAnsi="Times New Roman"/>
                <w:color w:val="333333"/>
                <w:sz w:val="28"/>
                <w:szCs w:val="28"/>
                <w:shd w:val="clear" w:color="auto" w:fill="FFFFFF"/>
              </w:rPr>
              <w:t>為此，締約國應配合聯合國及其他</w:t>
            </w:r>
            <w:proofErr w:type="gramStart"/>
            <w:r w:rsidRPr="005E758A">
              <w:rPr>
                <w:rFonts w:ascii="Times New Roman" w:eastAsia="標楷體" w:hAnsi="Times New Roman"/>
                <w:color w:val="333333"/>
                <w:sz w:val="28"/>
                <w:szCs w:val="28"/>
                <w:shd w:val="clear" w:color="auto" w:fill="FFFFFF"/>
              </w:rPr>
              <w:t>政府間的權責</w:t>
            </w:r>
            <w:proofErr w:type="gramEnd"/>
            <w:r w:rsidRPr="005E758A">
              <w:rPr>
                <w:rFonts w:ascii="Times New Roman" w:eastAsia="標楷體" w:hAnsi="Times New Roman"/>
                <w:color w:val="333333"/>
                <w:sz w:val="28"/>
                <w:szCs w:val="28"/>
                <w:shd w:val="clear" w:color="auto" w:fill="FFFFFF"/>
              </w:rPr>
              <w:t>組織或與聯合國有合作關係之非政府組織之努力並提供其認為適當的合作，以保護及援助該等兒童並追蹤難民兒童之父母或其他家庭成員，以獲得必要的資訊使其家庭團聚。如無法尋獲其父母或其他家屬時，則應給予該兒童與本公約所揭示之永久或暫時剝奪家庭環境兒童相同之保護。</w:t>
            </w:r>
          </w:p>
        </w:tc>
      </w:tr>
    </w:tbl>
    <w:p w14:paraId="633AC4DB" w14:textId="77777777" w:rsidR="00165E59" w:rsidRPr="00165E59" w:rsidRDefault="00165E59" w:rsidP="00165E59">
      <w:pPr>
        <w:snapToGrid w:val="0"/>
        <w:spacing w:before="100" w:beforeAutospacing="1" w:after="100" w:afterAutospacing="1"/>
        <w:jc w:val="both"/>
        <w:rPr>
          <w:sz w:val="28"/>
        </w:rPr>
      </w:pPr>
    </w:p>
    <w:p w14:paraId="609EFAAB" w14:textId="77777777" w:rsidR="001C71D0" w:rsidRPr="005E758A" w:rsidRDefault="001C71D0" w:rsidP="00F02A5C">
      <w:pPr>
        <w:pStyle w:val="2"/>
        <w:numPr>
          <w:ilvl w:val="0"/>
          <w:numId w:val="103"/>
        </w:numPr>
      </w:pPr>
      <w:r w:rsidRPr="005E758A">
        <w:t>規範宗旨</w:t>
      </w:r>
    </w:p>
    <w:p w14:paraId="4E036EA7" w14:textId="77777777" w:rsidR="001C71D0" w:rsidRPr="005E758A" w:rsidRDefault="001C71D0" w:rsidP="001C71D0">
      <w:pPr>
        <w:pStyle w:val="a0"/>
        <w:snapToGrid w:val="0"/>
        <w:spacing w:before="100" w:beforeAutospacing="1" w:after="100" w:afterAutospacing="1"/>
        <w:ind w:leftChars="0" w:left="0" w:firstLineChars="200" w:firstLine="560"/>
        <w:jc w:val="both"/>
        <w:rPr>
          <w:rFonts w:ascii="Times New Roman" w:eastAsia="標楷體" w:hAnsi="Times New Roman"/>
          <w:sz w:val="28"/>
          <w:szCs w:val="28"/>
        </w:rPr>
      </w:pPr>
      <w:r w:rsidRPr="005E758A">
        <w:rPr>
          <w:rFonts w:ascii="Times New Roman" w:eastAsia="標楷體" w:hAnsi="Times New Roman"/>
          <w:sz w:val="28"/>
          <w:szCs w:val="28"/>
        </w:rPr>
        <w:t>本條規範係以難民兒童為保障對象，難民雖非無國籍人，但同樣無法得到其所屬國的保護，因為迫使其流亡者，往往正是其所屬國家。國際社會早自一次世界大戰後即著手處理難民問題。</w:t>
      </w:r>
      <w:r w:rsidRPr="005E758A">
        <w:rPr>
          <w:rFonts w:ascii="Times New Roman" w:eastAsia="標楷體" w:hAnsi="Times New Roman"/>
          <w:sz w:val="28"/>
          <w:szCs w:val="28"/>
        </w:rPr>
        <w:t>1933</w:t>
      </w:r>
      <w:r w:rsidRPr="005E758A">
        <w:rPr>
          <w:rFonts w:ascii="Times New Roman" w:eastAsia="標楷體" w:hAnsi="Times New Roman"/>
          <w:sz w:val="28"/>
          <w:szCs w:val="28"/>
        </w:rPr>
        <w:t>年及</w:t>
      </w:r>
      <w:r w:rsidRPr="005E758A">
        <w:rPr>
          <w:rFonts w:ascii="Times New Roman" w:eastAsia="標楷體" w:hAnsi="Times New Roman"/>
          <w:sz w:val="28"/>
          <w:szCs w:val="28"/>
        </w:rPr>
        <w:t>1951</w:t>
      </w:r>
      <w:r w:rsidRPr="005E758A">
        <w:rPr>
          <w:rFonts w:ascii="Times New Roman" w:eastAsia="標楷體" w:hAnsi="Times New Roman"/>
          <w:sz w:val="28"/>
          <w:szCs w:val="28"/>
        </w:rPr>
        <w:t>年的關於難民地位公約</w:t>
      </w:r>
      <w:r w:rsidRPr="005E758A">
        <w:rPr>
          <w:rFonts w:ascii="Times New Roman" w:eastAsia="標楷體" w:hAnsi="Times New Roman"/>
          <w:sz w:val="28"/>
          <w:szCs w:val="28"/>
        </w:rPr>
        <w:t>(Convention Relating to the Status of Refugees)</w:t>
      </w:r>
      <w:r w:rsidRPr="005E758A">
        <w:rPr>
          <w:rFonts w:ascii="Times New Roman" w:eastAsia="標楷體" w:hAnsi="Times New Roman"/>
          <w:sz w:val="28"/>
          <w:szCs w:val="28"/>
        </w:rPr>
        <w:t>及</w:t>
      </w:r>
      <w:r w:rsidRPr="005E758A">
        <w:rPr>
          <w:rFonts w:ascii="Times New Roman" w:eastAsia="標楷體" w:hAnsi="Times New Roman"/>
          <w:sz w:val="28"/>
          <w:szCs w:val="28"/>
        </w:rPr>
        <w:t>1967</w:t>
      </w:r>
      <w:r w:rsidRPr="005E758A">
        <w:rPr>
          <w:rFonts w:ascii="Times New Roman" w:eastAsia="標楷體" w:hAnsi="Times New Roman"/>
          <w:sz w:val="28"/>
          <w:szCs w:val="28"/>
        </w:rPr>
        <w:t>年的關於難民地位的議定書</w:t>
      </w:r>
      <w:r w:rsidRPr="005E758A">
        <w:rPr>
          <w:rFonts w:ascii="Times New Roman" w:eastAsia="標楷體" w:hAnsi="Times New Roman"/>
          <w:sz w:val="28"/>
          <w:szCs w:val="28"/>
        </w:rPr>
        <w:t>(Protocol Relating to the Status of Refugees)</w:t>
      </w:r>
      <w:r w:rsidRPr="005E758A">
        <w:rPr>
          <w:rFonts w:ascii="Times New Roman" w:eastAsia="標楷體" w:hAnsi="Times New Roman"/>
          <w:sz w:val="28"/>
          <w:szCs w:val="28"/>
        </w:rPr>
        <w:t>即</w:t>
      </w:r>
      <w:proofErr w:type="gramStart"/>
      <w:r w:rsidRPr="005E758A">
        <w:rPr>
          <w:rFonts w:ascii="Times New Roman" w:eastAsia="標楷體" w:hAnsi="Times New Roman"/>
          <w:sz w:val="28"/>
          <w:szCs w:val="28"/>
        </w:rPr>
        <w:t>為著</w:t>
      </w:r>
      <w:proofErr w:type="gramEnd"/>
      <w:r w:rsidRPr="005E758A">
        <w:rPr>
          <w:rFonts w:ascii="Times New Roman" w:eastAsia="標楷體" w:hAnsi="Times New Roman"/>
          <w:sz w:val="28"/>
          <w:szCs w:val="28"/>
        </w:rPr>
        <w:t>例。但特別針對兒童而作規範者，則為本條規定。聯合國難民署估計全球一千萬名難民中，有半數以上是兒童，且兒童權利委員會之總括性意見中，皆有特定部分針對難民兒童之待遇為報告，可見難民兒童問題的嚴重性及保護的必要性</w:t>
      </w:r>
      <w:r w:rsidRPr="005E758A">
        <w:rPr>
          <w:rStyle w:val="af3"/>
          <w:rFonts w:ascii="Times New Roman" w:eastAsia="標楷體" w:hAnsi="Times New Roman"/>
        </w:rPr>
        <w:endnoteReference w:id="296"/>
      </w:r>
      <w:r w:rsidRPr="005E758A">
        <w:rPr>
          <w:rFonts w:ascii="Times New Roman" w:eastAsia="標楷體" w:hAnsi="Times New Roman"/>
          <w:sz w:val="28"/>
          <w:szCs w:val="28"/>
        </w:rPr>
        <w:t>。本條之解釋應同時參照第</w:t>
      </w:r>
      <w:r w:rsidRPr="005E758A">
        <w:rPr>
          <w:rFonts w:ascii="Times New Roman" w:eastAsia="標楷體" w:hAnsi="Times New Roman"/>
          <w:sz w:val="28"/>
          <w:szCs w:val="28"/>
        </w:rPr>
        <w:t>7</w:t>
      </w:r>
      <w:r w:rsidRPr="005E758A">
        <w:rPr>
          <w:rFonts w:ascii="Times New Roman" w:eastAsia="標楷體" w:hAnsi="Times New Roman"/>
          <w:sz w:val="28"/>
          <w:szCs w:val="28"/>
        </w:rPr>
        <w:t>條（出生登記）、第</w:t>
      </w:r>
      <w:r w:rsidRPr="005E758A">
        <w:rPr>
          <w:rFonts w:ascii="Times New Roman" w:eastAsia="標楷體" w:hAnsi="Times New Roman"/>
          <w:sz w:val="28"/>
          <w:szCs w:val="28"/>
        </w:rPr>
        <w:t>8</w:t>
      </w:r>
      <w:r w:rsidRPr="005E758A">
        <w:rPr>
          <w:rFonts w:ascii="Times New Roman" w:eastAsia="標楷體" w:hAnsi="Times New Roman"/>
          <w:sz w:val="28"/>
          <w:szCs w:val="28"/>
        </w:rPr>
        <w:t>條（兒童國籍與身分）、第</w:t>
      </w:r>
      <w:r w:rsidRPr="005E758A">
        <w:rPr>
          <w:rFonts w:ascii="Times New Roman" w:eastAsia="標楷體" w:hAnsi="Times New Roman"/>
          <w:sz w:val="28"/>
          <w:szCs w:val="28"/>
        </w:rPr>
        <w:t>9</w:t>
      </w:r>
      <w:r w:rsidRPr="005E758A">
        <w:rPr>
          <w:rFonts w:ascii="Times New Roman" w:eastAsia="標楷體" w:hAnsi="Times New Roman"/>
          <w:sz w:val="28"/>
          <w:szCs w:val="28"/>
        </w:rPr>
        <w:t>條（兒童不與父母分離）、第</w:t>
      </w:r>
      <w:r w:rsidRPr="005E758A">
        <w:rPr>
          <w:rFonts w:ascii="Times New Roman" w:eastAsia="標楷體" w:hAnsi="Times New Roman"/>
          <w:sz w:val="28"/>
          <w:szCs w:val="28"/>
        </w:rPr>
        <w:t>10</w:t>
      </w:r>
      <w:r w:rsidRPr="005E758A">
        <w:rPr>
          <w:rFonts w:ascii="Times New Roman" w:eastAsia="標楷體" w:hAnsi="Times New Roman"/>
          <w:sz w:val="28"/>
          <w:szCs w:val="28"/>
        </w:rPr>
        <w:t>條（兒童應與其父母團聚）、第</w:t>
      </w:r>
      <w:r w:rsidRPr="005E758A">
        <w:rPr>
          <w:rFonts w:ascii="Times New Roman" w:eastAsia="標楷體" w:hAnsi="Times New Roman"/>
          <w:sz w:val="28"/>
          <w:szCs w:val="28"/>
        </w:rPr>
        <w:t>20</w:t>
      </w:r>
      <w:r w:rsidRPr="005E758A">
        <w:rPr>
          <w:rFonts w:ascii="Times New Roman" w:eastAsia="標楷體" w:hAnsi="Times New Roman"/>
          <w:sz w:val="28"/>
          <w:szCs w:val="28"/>
        </w:rPr>
        <w:t>條（替代式照顧）、第</w:t>
      </w:r>
      <w:r w:rsidRPr="005E758A">
        <w:rPr>
          <w:rFonts w:ascii="Times New Roman" w:eastAsia="標楷體" w:hAnsi="Times New Roman"/>
          <w:sz w:val="28"/>
          <w:szCs w:val="28"/>
        </w:rPr>
        <w:t>35</w:t>
      </w:r>
      <w:r w:rsidRPr="005E758A">
        <w:rPr>
          <w:rFonts w:ascii="Times New Roman" w:eastAsia="標楷體" w:hAnsi="Times New Roman"/>
          <w:sz w:val="28"/>
          <w:szCs w:val="28"/>
        </w:rPr>
        <w:t>條（防止誘拐、買賣或販運之措施）、第</w:t>
      </w:r>
      <w:r w:rsidRPr="005E758A">
        <w:rPr>
          <w:rFonts w:ascii="Times New Roman" w:eastAsia="標楷體" w:hAnsi="Times New Roman"/>
          <w:sz w:val="28"/>
          <w:szCs w:val="28"/>
        </w:rPr>
        <w:t>37</w:t>
      </w:r>
      <w:r w:rsidRPr="005E758A">
        <w:rPr>
          <w:rFonts w:ascii="Times New Roman" w:eastAsia="標楷體" w:hAnsi="Times New Roman"/>
          <w:sz w:val="28"/>
          <w:szCs w:val="28"/>
        </w:rPr>
        <w:t>條（禁止刑求及剝奪自由）、第</w:t>
      </w:r>
      <w:r w:rsidRPr="005E758A">
        <w:rPr>
          <w:rFonts w:ascii="Times New Roman" w:eastAsia="標楷體" w:hAnsi="Times New Roman"/>
          <w:sz w:val="28"/>
          <w:szCs w:val="28"/>
        </w:rPr>
        <w:t>39</w:t>
      </w:r>
      <w:r w:rsidRPr="005E758A">
        <w:rPr>
          <w:rFonts w:ascii="Times New Roman" w:eastAsia="標楷體" w:hAnsi="Times New Roman"/>
          <w:sz w:val="28"/>
          <w:szCs w:val="28"/>
        </w:rPr>
        <w:t>條（身心健康之恢復及重返社會）以及公約之二份任擇議定書（「關於兒童捲入武裝衝突問題之兒童權利公約任擇議定書」與「關於買賣兒童、兒童賣淫和兒童色情問題之兒童權利公約任擇議定書」）。</w:t>
      </w:r>
    </w:p>
    <w:p w14:paraId="74B8D229" w14:textId="77777777" w:rsidR="001C71D0" w:rsidRPr="005E758A" w:rsidRDefault="001C71D0" w:rsidP="001C71D0">
      <w:pPr>
        <w:pStyle w:val="2"/>
      </w:pPr>
      <w:r w:rsidRPr="005E758A">
        <w:t>條文要義</w:t>
      </w:r>
    </w:p>
    <w:p w14:paraId="71635266" w14:textId="77777777" w:rsidR="001C71D0" w:rsidRPr="005E758A" w:rsidRDefault="001C71D0" w:rsidP="00F02A5C">
      <w:pPr>
        <w:pStyle w:val="3"/>
        <w:numPr>
          <w:ilvl w:val="0"/>
          <w:numId w:val="104"/>
        </w:numPr>
      </w:pPr>
      <w:r w:rsidRPr="005E758A">
        <w:t>第</w:t>
      </w:r>
      <w:r w:rsidRPr="005E758A">
        <w:t>22</w:t>
      </w:r>
      <w:r w:rsidRPr="005E758A">
        <w:t>條第</w:t>
      </w:r>
      <w:r w:rsidRPr="005E758A">
        <w:t>1</w:t>
      </w:r>
      <w:r w:rsidRPr="005E758A">
        <w:t>項</w:t>
      </w:r>
    </w:p>
    <w:p w14:paraId="0A5CF54A" w14:textId="77777777" w:rsidR="001C71D0" w:rsidRPr="005E758A" w:rsidRDefault="001C71D0" w:rsidP="001C71D0">
      <w:pPr>
        <w:pStyle w:val="a0"/>
        <w:snapToGrid w:val="0"/>
        <w:spacing w:before="100" w:beforeAutospacing="1" w:after="100" w:afterAutospacing="1"/>
        <w:ind w:leftChars="0" w:left="0" w:firstLineChars="200" w:firstLine="560"/>
        <w:jc w:val="both"/>
        <w:rPr>
          <w:rFonts w:ascii="Times New Roman" w:eastAsia="標楷體" w:hAnsi="Times New Roman"/>
          <w:b/>
          <w:bCs/>
          <w:sz w:val="28"/>
          <w:szCs w:val="28"/>
        </w:rPr>
      </w:pPr>
      <w:r w:rsidRPr="005E758A">
        <w:rPr>
          <w:rFonts w:ascii="Times New Roman" w:eastAsia="標楷體" w:hAnsi="Times New Roman"/>
          <w:sz w:val="28"/>
          <w:szCs w:val="28"/>
        </w:rPr>
        <w:lastRenderedPageBreak/>
        <w:t>難民兒童應享有「本公約及該締約國所締結之其他國際人權公約或人道文書中所揭示的相關權利」，本條並未就難民之資格身分為規範，但由本</w:t>
      </w:r>
      <w:proofErr w:type="gramStart"/>
      <w:r w:rsidRPr="005E758A">
        <w:rPr>
          <w:rFonts w:ascii="Times New Roman" w:eastAsia="標楷體" w:hAnsi="Times New Roman"/>
          <w:sz w:val="28"/>
          <w:szCs w:val="28"/>
        </w:rPr>
        <w:t>條文義觀之</w:t>
      </w:r>
      <w:proofErr w:type="gramEnd"/>
      <w:r w:rsidRPr="005E758A">
        <w:rPr>
          <w:rFonts w:ascii="Times New Roman" w:eastAsia="標楷體" w:hAnsi="Times New Roman"/>
          <w:sz w:val="28"/>
          <w:szCs w:val="28"/>
        </w:rPr>
        <w:t>，締約國所制定之難民相關法令應符合其於國際規範下應負擔之義務。</w:t>
      </w:r>
      <w:r w:rsidRPr="005E758A">
        <w:rPr>
          <w:rStyle w:val="af3"/>
          <w:rFonts w:ascii="Times New Roman" w:eastAsia="標楷體" w:hAnsi="Times New Roman"/>
        </w:rPr>
        <w:endnoteReference w:id="297"/>
      </w:r>
      <w:r w:rsidRPr="005E758A">
        <w:rPr>
          <w:rFonts w:ascii="Times New Roman" w:eastAsia="標楷體" w:hAnsi="Times New Roman"/>
          <w:sz w:val="28"/>
          <w:szCs w:val="28"/>
        </w:rPr>
        <w:t>難民之定義或可參酌</w:t>
      </w:r>
      <w:r w:rsidRPr="005E758A">
        <w:rPr>
          <w:rFonts w:ascii="Times New Roman" w:eastAsia="標楷體" w:hAnsi="Times New Roman"/>
          <w:sz w:val="28"/>
          <w:szCs w:val="28"/>
        </w:rPr>
        <w:t>1951</w:t>
      </w:r>
      <w:r w:rsidRPr="005E758A">
        <w:rPr>
          <w:rFonts w:ascii="Times New Roman" w:eastAsia="標楷體" w:hAnsi="Times New Roman"/>
          <w:sz w:val="28"/>
          <w:szCs w:val="28"/>
        </w:rPr>
        <w:t>年「關於難民地位公約</w:t>
      </w:r>
      <w:r w:rsidRPr="005E758A">
        <w:rPr>
          <w:rFonts w:ascii="Times New Roman" w:eastAsia="標楷體" w:hAnsi="Times New Roman"/>
          <w:sz w:val="28"/>
          <w:szCs w:val="28"/>
        </w:rPr>
        <w:t>(</w:t>
      </w:r>
      <w:r w:rsidRPr="005E758A">
        <w:rPr>
          <w:rFonts w:ascii="Times New Roman" w:eastAsia="標楷體" w:hAnsi="Times New Roman"/>
          <w:bCs/>
          <w:sz w:val="28"/>
          <w:szCs w:val="28"/>
        </w:rPr>
        <w:t>Convention relating to the Status of Refugees)</w:t>
      </w:r>
      <w:r w:rsidRPr="005E758A">
        <w:rPr>
          <w:rFonts w:ascii="Times New Roman" w:eastAsia="標楷體" w:hAnsi="Times New Roman"/>
          <w:sz w:val="28"/>
          <w:szCs w:val="28"/>
        </w:rPr>
        <w:t>」第</w:t>
      </w:r>
      <w:r w:rsidRPr="005E758A">
        <w:rPr>
          <w:rFonts w:ascii="Times New Roman" w:eastAsia="標楷體" w:hAnsi="Times New Roman"/>
          <w:sz w:val="28"/>
          <w:szCs w:val="28"/>
        </w:rPr>
        <w:t>1</w:t>
      </w:r>
      <w:r w:rsidRPr="005E758A">
        <w:rPr>
          <w:rFonts w:ascii="Times New Roman" w:eastAsia="標楷體" w:hAnsi="Times New Roman"/>
          <w:sz w:val="28"/>
          <w:szCs w:val="28"/>
        </w:rPr>
        <w:t>條，因種族、國籍、宗教或某特定社會集團之成員，由於政治意見的理由，恐有遭受迫害威脅而逃亡國外之人。但本條中締約國所應保護之兒童不限於上述情形之難民，而應以更廣泛的意義去解釋</w:t>
      </w:r>
      <w:r w:rsidRPr="005E758A">
        <w:rPr>
          <w:rStyle w:val="af3"/>
          <w:rFonts w:ascii="Times New Roman" w:eastAsia="標楷體" w:hAnsi="Times New Roman"/>
        </w:rPr>
        <w:endnoteReference w:id="298"/>
      </w:r>
      <w:r w:rsidRPr="005E758A">
        <w:rPr>
          <w:rFonts w:ascii="Times New Roman" w:eastAsia="標楷體" w:hAnsi="Times New Roman"/>
          <w:sz w:val="28"/>
          <w:szCs w:val="28"/>
        </w:rPr>
        <w:t>。依據第</w:t>
      </w:r>
      <w:r w:rsidRPr="005E758A">
        <w:rPr>
          <w:rFonts w:ascii="Times New Roman" w:eastAsia="標楷體" w:hAnsi="Times New Roman"/>
          <w:sz w:val="28"/>
          <w:szCs w:val="28"/>
        </w:rPr>
        <w:t>6</w:t>
      </w:r>
      <w:r w:rsidRPr="005E758A">
        <w:rPr>
          <w:rFonts w:ascii="Times New Roman" w:eastAsia="標楷體" w:hAnsi="Times New Roman"/>
          <w:sz w:val="28"/>
          <w:szCs w:val="28"/>
        </w:rPr>
        <w:t>號一般性意見之內容，在評價無人陪伴或無父母陪伴兒童提出的難民身份申請時，各國應考慮國際人權法與難民法，包括難民署根據</w:t>
      </w:r>
      <w:r w:rsidRPr="005E758A">
        <w:rPr>
          <w:rFonts w:ascii="Times New Roman" w:eastAsia="標楷體" w:hAnsi="Times New Roman"/>
          <w:sz w:val="28"/>
          <w:szCs w:val="28"/>
        </w:rPr>
        <w:t>1951</w:t>
      </w:r>
      <w:r w:rsidRPr="005E758A">
        <w:rPr>
          <w:rFonts w:ascii="Times New Roman" w:eastAsia="標楷體" w:hAnsi="Times New Roman"/>
          <w:sz w:val="28"/>
          <w:szCs w:val="28"/>
        </w:rPr>
        <w:t>年難民公約行使監督職能過程中提出的各種立場的發展動態以及它們之間相互的關係。尤其必須採取對年齡和性別敏感的方式解讀難民公約所提出的難民定義，兼顧迫害兒童的獨特動機，形式和表現。因家族血緣遭受迫害、未成年士兵招聘、販賣兒童賣淫、性剝削或女性</w:t>
      </w:r>
      <w:proofErr w:type="gramStart"/>
      <w:r w:rsidRPr="005E758A">
        <w:rPr>
          <w:rFonts w:ascii="Times New Roman" w:eastAsia="標楷體" w:hAnsi="Times New Roman"/>
          <w:sz w:val="28"/>
          <w:szCs w:val="28"/>
        </w:rPr>
        <w:t>生殖器殘割等等</w:t>
      </w:r>
      <w:proofErr w:type="gramEnd"/>
      <w:r w:rsidRPr="005E758A">
        <w:rPr>
          <w:rFonts w:ascii="Times New Roman" w:eastAsia="標楷體" w:hAnsi="Times New Roman"/>
          <w:sz w:val="28"/>
          <w:szCs w:val="28"/>
        </w:rPr>
        <w:t>都是迫害兒童的具體形式和表現，如果這類行為與</w:t>
      </w:r>
      <w:r w:rsidRPr="005E758A">
        <w:rPr>
          <w:rFonts w:ascii="Times New Roman" w:eastAsia="標楷體" w:hAnsi="Times New Roman"/>
          <w:sz w:val="28"/>
          <w:szCs w:val="28"/>
        </w:rPr>
        <w:t>1951</w:t>
      </w:r>
      <w:r w:rsidRPr="005E758A">
        <w:rPr>
          <w:rFonts w:ascii="Times New Roman" w:eastAsia="標楷體" w:hAnsi="Times New Roman"/>
          <w:sz w:val="28"/>
          <w:szCs w:val="28"/>
        </w:rPr>
        <w:t>年難民公約所提出的任何一項理由相符就有理由授予難民身分。因此，各國在國家難民身份確認程序中應高度重視這類專門針對兒童的迫害形式和表現以及基於性別的暴力</w:t>
      </w:r>
      <w:bookmarkStart w:id="68" w:name="_Ref429395664"/>
      <w:r w:rsidRPr="005E758A">
        <w:rPr>
          <w:rStyle w:val="af3"/>
          <w:rFonts w:ascii="Times New Roman" w:eastAsia="標楷體" w:hAnsi="Times New Roman"/>
        </w:rPr>
        <w:endnoteReference w:id="299"/>
      </w:r>
      <w:bookmarkEnd w:id="68"/>
      <w:r w:rsidRPr="005E758A">
        <w:rPr>
          <w:rFonts w:ascii="Times New Roman" w:eastAsia="標楷體" w:hAnsi="Times New Roman"/>
          <w:sz w:val="28"/>
          <w:szCs w:val="28"/>
        </w:rPr>
        <w:t>。例如兒童權利委員會指出德國未將「兒童士兵之招募」列為兒童之受庇護</w:t>
      </w:r>
      <w:proofErr w:type="gramStart"/>
      <w:r w:rsidRPr="005E758A">
        <w:rPr>
          <w:rFonts w:ascii="Times New Roman" w:eastAsia="標楷體" w:hAnsi="Times New Roman"/>
          <w:sz w:val="28"/>
          <w:szCs w:val="28"/>
        </w:rPr>
        <w:t>特別</w:t>
      </w:r>
      <w:proofErr w:type="gramEnd"/>
      <w:r w:rsidRPr="005E758A">
        <w:rPr>
          <w:rFonts w:ascii="Times New Roman" w:eastAsia="標楷體" w:hAnsi="Times New Roman"/>
          <w:sz w:val="28"/>
          <w:szCs w:val="28"/>
        </w:rPr>
        <w:t>態樣，而應該修正，納入本條之保護範圍</w:t>
      </w:r>
      <w:r w:rsidRPr="005E758A">
        <w:rPr>
          <w:rStyle w:val="af3"/>
          <w:rFonts w:ascii="Times New Roman" w:eastAsia="標楷體" w:hAnsi="Times New Roman"/>
        </w:rPr>
        <w:endnoteReference w:id="300"/>
      </w:r>
      <w:r w:rsidRPr="005E758A">
        <w:rPr>
          <w:rFonts w:ascii="Times New Roman" w:eastAsia="標楷體" w:hAnsi="Times New Roman"/>
          <w:sz w:val="28"/>
          <w:szCs w:val="28"/>
        </w:rPr>
        <w:t>。</w:t>
      </w:r>
    </w:p>
    <w:p w14:paraId="2B3AD075" w14:textId="77777777" w:rsidR="001C71D0" w:rsidRPr="005E758A" w:rsidRDefault="001C71D0" w:rsidP="001C71D0">
      <w:pPr>
        <w:pStyle w:val="a0"/>
        <w:snapToGrid w:val="0"/>
        <w:spacing w:before="100" w:beforeAutospacing="1" w:after="100" w:afterAutospacing="1"/>
        <w:ind w:leftChars="0" w:left="0" w:firstLineChars="200" w:firstLine="560"/>
        <w:jc w:val="both"/>
        <w:rPr>
          <w:rFonts w:ascii="Times New Roman" w:eastAsia="標楷體" w:hAnsi="Times New Roman"/>
          <w:sz w:val="28"/>
          <w:szCs w:val="28"/>
        </w:rPr>
      </w:pPr>
      <w:r w:rsidRPr="005E758A">
        <w:rPr>
          <w:rFonts w:ascii="Times New Roman" w:eastAsia="標楷體" w:hAnsi="Times New Roman"/>
          <w:sz w:val="28"/>
          <w:szCs w:val="28"/>
        </w:rPr>
        <w:t>「締約國應採取適當措施」係指締約國有責任建立一個有效的尋求庇護制度，以及尤其是要頒布立法，對無人陪伴或無父母陪伴兒童給予特殊待遇，同時要增強必要的能力，以便根據本公約和已加入的其他國際人權、難民保護和人道主義相關文件所規定的適用權利使這種待遇得到落實。兒童權利委員會並鼓勵資源不足、難以展開這種能力建設工作的國家尋求國際援助，包括由難民署提供援助</w:t>
      </w:r>
      <w:r w:rsidRPr="005E758A">
        <w:rPr>
          <w:rStyle w:val="af3"/>
          <w:rFonts w:ascii="Times New Roman" w:eastAsia="標楷體" w:hAnsi="Times New Roman"/>
        </w:rPr>
        <w:endnoteReference w:id="301"/>
      </w:r>
      <w:r w:rsidRPr="005E758A">
        <w:rPr>
          <w:rFonts w:ascii="Times New Roman" w:eastAsia="標楷體" w:hAnsi="Times New Roman"/>
          <w:sz w:val="28"/>
          <w:szCs w:val="28"/>
        </w:rPr>
        <w:t>。國家於實施兒童身分確認程序時，對於參加兒童身份確認程序工作的工作人員，尤其是涉及無人陪伴或無父母陪伴兒童的工作時，應接受培訓，以便執行對兒童、文化和性別敏感的國際和國家難民法。為適當評價兒童的難民地位申請，各政府在蒐集原籍國資料時應包括兒童的處境資料，例如屬於少數群體或邊緣化群體兒童的情況</w:t>
      </w:r>
      <w:r w:rsidRPr="005E758A">
        <w:rPr>
          <w:rStyle w:val="af3"/>
          <w:rFonts w:ascii="Times New Roman" w:eastAsia="標楷體" w:hAnsi="Times New Roman"/>
        </w:rPr>
        <w:endnoteReference w:id="302"/>
      </w:r>
      <w:r w:rsidRPr="005E758A">
        <w:rPr>
          <w:rFonts w:ascii="Times New Roman" w:eastAsia="標楷體" w:hAnsi="Times New Roman"/>
          <w:sz w:val="28"/>
          <w:szCs w:val="28"/>
        </w:rPr>
        <w:t>。</w:t>
      </w:r>
    </w:p>
    <w:p w14:paraId="0A5BD14E" w14:textId="77777777" w:rsidR="001C71D0" w:rsidRPr="005E758A" w:rsidRDefault="001C71D0" w:rsidP="001C71D0">
      <w:pPr>
        <w:pStyle w:val="a0"/>
        <w:snapToGrid w:val="0"/>
        <w:spacing w:before="100" w:beforeAutospacing="1" w:after="100" w:afterAutospacing="1"/>
        <w:ind w:leftChars="0" w:left="0" w:firstLineChars="200" w:firstLine="560"/>
        <w:jc w:val="both"/>
        <w:rPr>
          <w:rFonts w:ascii="Times New Roman" w:eastAsia="標楷體" w:hAnsi="Times New Roman"/>
          <w:sz w:val="28"/>
          <w:szCs w:val="28"/>
        </w:rPr>
      </w:pPr>
      <w:r w:rsidRPr="005E758A">
        <w:rPr>
          <w:rFonts w:ascii="Times New Roman" w:eastAsia="標楷體" w:hAnsi="Times New Roman"/>
          <w:sz w:val="28"/>
          <w:szCs w:val="28"/>
        </w:rPr>
        <w:t>有關「不論是否與其父母或其他人隨行」之兒童，其申請難民身分或是該身分之認定，依據兒童權利委員會第</w:t>
      </w:r>
      <w:r w:rsidRPr="005E758A">
        <w:rPr>
          <w:rFonts w:ascii="Times New Roman" w:eastAsia="標楷體" w:hAnsi="Times New Roman"/>
          <w:sz w:val="28"/>
          <w:szCs w:val="28"/>
        </w:rPr>
        <w:t>6</w:t>
      </w:r>
      <w:r w:rsidRPr="005E758A">
        <w:rPr>
          <w:rFonts w:ascii="Times New Roman" w:eastAsia="標楷體" w:hAnsi="Times New Roman"/>
          <w:sz w:val="28"/>
          <w:szCs w:val="28"/>
        </w:rPr>
        <w:t>號一般性意見的說明，締約國應尊重這些兒童的最佳利益並在庇護或其他程序開啟前為他們指派監護人</w:t>
      </w:r>
      <w:r w:rsidRPr="005E758A">
        <w:rPr>
          <w:rFonts w:ascii="Times New Roman" w:eastAsia="標楷體" w:hAnsi="Times New Roman"/>
          <w:sz w:val="28"/>
          <w:szCs w:val="28"/>
        </w:rPr>
        <w:t>(guardian)</w:t>
      </w:r>
      <w:r w:rsidRPr="005E758A">
        <w:rPr>
          <w:rFonts w:ascii="Times New Roman" w:eastAsia="標楷體" w:hAnsi="Times New Roman"/>
          <w:sz w:val="28"/>
          <w:szCs w:val="28"/>
        </w:rPr>
        <w:t>；而程序進行中也應該考慮為該等兒童指派法律代理人以維護其權益。</w:t>
      </w:r>
    </w:p>
    <w:p w14:paraId="7F7944AB" w14:textId="77777777" w:rsidR="001C71D0" w:rsidRPr="005E758A" w:rsidRDefault="001C71D0" w:rsidP="001C71D0">
      <w:pPr>
        <w:pStyle w:val="3"/>
      </w:pPr>
      <w:r w:rsidRPr="005E758A">
        <w:lastRenderedPageBreak/>
        <w:t>第</w:t>
      </w:r>
      <w:r w:rsidRPr="005E758A">
        <w:t>22</w:t>
      </w:r>
      <w:r w:rsidRPr="005E758A">
        <w:t>條第</w:t>
      </w:r>
      <w:r w:rsidRPr="005E758A">
        <w:t>2</w:t>
      </w:r>
      <w:r w:rsidRPr="005E758A">
        <w:t>項</w:t>
      </w:r>
    </w:p>
    <w:p w14:paraId="6A4C622F" w14:textId="77777777" w:rsidR="001C71D0" w:rsidRPr="005E758A" w:rsidRDefault="001C71D0" w:rsidP="001C71D0">
      <w:pPr>
        <w:pStyle w:val="a0"/>
        <w:snapToGrid w:val="0"/>
        <w:spacing w:before="100" w:beforeAutospacing="1" w:after="100" w:afterAutospacing="1"/>
        <w:ind w:leftChars="0" w:left="0" w:firstLineChars="200" w:firstLine="560"/>
        <w:jc w:val="both"/>
        <w:rPr>
          <w:rFonts w:ascii="Times New Roman" w:eastAsia="標楷體" w:hAnsi="Times New Roman"/>
          <w:sz w:val="28"/>
          <w:szCs w:val="28"/>
        </w:rPr>
      </w:pPr>
      <w:proofErr w:type="gramStart"/>
      <w:r w:rsidRPr="005E758A">
        <w:rPr>
          <w:rFonts w:ascii="Times New Roman" w:eastAsia="標楷體" w:hAnsi="Times New Roman"/>
          <w:sz w:val="28"/>
          <w:szCs w:val="28"/>
        </w:rPr>
        <w:t>本條除強調</w:t>
      </w:r>
      <w:proofErr w:type="gramEnd"/>
      <w:r w:rsidRPr="005E758A">
        <w:rPr>
          <w:rFonts w:ascii="Times New Roman" w:eastAsia="標楷體" w:hAnsi="Times New Roman"/>
          <w:sz w:val="28"/>
          <w:szCs w:val="28"/>
        </w:rPr>
        <w:t>透過國際合作提供難民兒童必要之協助外，依據</w:t>
      </w:r>
      <w:r w:rsidRPr="005E758A">
        <w:rPr>
          <w:rFonts w:ascii="Times New Roman" w:eastAsia="標楷體" w:hAnsi="Times New Roman"/>
          <w:sz w:val="28"/>
          <w:szCs w:val="28"/>
        </w:rPr>
        <w:t>UNICEF</w:t>
      </w:r>
      <w:r w:rsidRPr="005E758A">
        <w:rPr>
          <w:rFonts w:ascii="Times New Roman" w:eastAsia="標楷體" w:hAnsi="Times New Roman"/>
          <w:sz w:val="28"/>
          <w:szCs w:val="28"/>
        </w:rPr>
        <w:t>之解釋，縱使該等兒童之難民資格申請未獲許可，只要申請之兒童仍身處於該國境內，該國即應確保其得享有公約的保障。因此，本項之適用應參酌本公約第</w:t>
      </w:r>
      <w:r w:rsidRPr="005E758A">
        <w:rPr>
          <w:rFonts w:ascii="Times New Roman" w:eastAsia="標楷體" w:hAnsi="Times New Roman"/>
          <w:sz w:val="28"/>
          <w:szCs w:val="28"/>
        </w:rPr>
        <w:t>3</w:t>
      </w:r>
      <w:r w:rsidRPr="005E758A">
        <w:rPr>
          <w:rFonts w:ascii="Times New Roman" w:eastAsia="標楷體" w:hAnsi="Times New Roman"/>
          <w:sz w:val="28"/>
          <w:szCs w:val="28"/>
        </w:rPr>
        <w:t>條兒童最佳利益及相關兒童權利為優先考量。</w:t>
      </w:r>
    </w:p>
    <w:p w14:paraId="0F5F8DE7" w14:textId="77777777" w:rsidR="001C71D0" w:rsidRPr="005E758A" w:rsidRDefault="001C71D0" w:rsidP="001C71D0">
      <w:pPr>
        <w:pStyle w:val="2"/>
      </w:pPr>
      <w:r w:rsidRPr="005E758A">
        <w:t>案例介紹</w:t>
      </w:r>
    </w:p>
    <w:p w14:paraId="5FD38ED0" w14:textId="77777777" w:rsidR="001C71D0" w:rsidRPr="005E758A" w:rsidRDefault="001C71D0" w:rsidP="00F02A5C">
      <w:pPr>
        <w:pStyle w:val="3"/>
        <w:numPr>
          <w:ilvl w:val="0"/>
          <w:numId w:val="105"/>
        </w:numPr>
      </w:pPr>
      <w:r w:rsidRPr="005E758A">
        <w:t>2006</w:t>
      </w:r>
      <w:r w:rsidRPr="005E758A">
        <w:t>年</w:t>
      </w:r>
      <w:r w:rsidR="00EA4CCF" w:rsidRPr="005E758A">
        <w:t>歐洲人權法院</w:t>
      </w:r>
      <w:r w:rsidRPr="005E758A">
        <w:t>難民</w:t>
      </w:r>
      <w:r w:rsidR="00EA4CCF" w:rsidRPr="005E758A">
        <w:t>申請</w:t>
      </w:r>
      <w:r w:rsidRPr="005E758A">
        <w:t>案</w:t>
      </w:r>
      <w:r w:rsidR="00EA4CCF" w:rsidRPr="005E758A">
        <w:t>：</w:t>
      </w:r>
      <w:proofErr w:type="spellStart"/>
      <w:r w:rsidRPr="005E758A">
        <w:rPr>
          <w:shd w:val="clear" w:color="auto" w:fill="FFFFFF"/>
        </w:rPr>
        <w:t>Mubilanzila</w:t>
      </w:r>
      <w:proofErr w:type="spellEnd"/>
      <w:r w:rsidRPr="005E758A">
        <w:rPr>
          <w:shd w:val="clear" w:color="auto" w:fill="FFFFFF"/>
        </w:rPr>
        <w:t xml:space="preserve"> </w:t>
      </w:r>
      <w:proofErr w:type="spellStart"/>
      <w:r w:rsidRPr="005E758A">
        <w:rPr>
          <w:shd w:val="clear" w:color="auto" w:fill="FFFFFF"/>
        </w:rPr>
        <w:t>Mayeka</w:t>
      </w:r>
      <w:proofErr w:type="spellEnd"/>
      <w:r w:rsidRPr="005E758A">
        <w:rPr>
          <w:shd w:val="clear" w:color="auto" w:fill="FFFFFF"/>
        </w:rPr>
        <w:t xml:space="preserve"> and </w:t>
      </w:r>
      <w:proofErr w:type="spellStart"/>
      <w:r w:rsidRPr="005E758A">
        <w:rPr>
          <w:shd w:val="clear" w:color="auto" w:fill="FFFFFF"/>
        </w:rPr>
        <w:t>Kaniki</w:t>
      </w:r>
      <w:proofErr w:type="spellEnd"/>
      <w:r w:rsidRPr="005E758A">
        <w:rPr>
          <w:shd w:val="clear" w:color="auto" w:fill="FFFFFF"/>
        </w:rPr>
        <w:t xml:space="preserve"> </w:t>
      </w:r>
      <w:proofErr w:type="spellStart"/>
      <w:r w:rsidRPr="005E758A">
        <w:rPr>
          <w:shd w:val="clear" w:color="auto" w:fill="FFFFFF"/>
        </w:rPr>
        <w:t>Mitunga</w:t>
      </w:r>
      <w:proofErr w:type="spellEnd"/>
      <w:r w:rsidRPr="005E758A">
        <w:rPr>
          <w:shd w:val="clear" w:color="auto" w:fill="FFFFFF"/>
        </w:rPr>
        <w:t xml:space="preserve"> v. Belgium</w:t>
      </w:r>
      <w:r w:rsidRPr="005E758A">
        <w:rPr>
          <w:rStyle w:val="af3"/>
          <w:color w:val="000000" w:themeColor="text1"/>
          <w:shd w:val="clear" w:color="auto" w:fill="FFFFFF"/>
        </w:rPr>
        <w:endnoteReference w:id="303"/>
      </w:r>
    </w:p>
    <w:p w14:paraId="521AAEBB" w14:textId="77777777" w:rsidR="001C71D0" w:rsidRPr="005E758A" w:rsidRDefault="001C71D0" w:rsidP="001C71D0">
      <w:pPr>
        <w:pStyle w:val="a0"/>
        <w:snapToGrid w:val="0"/>
        <w:spacing w:before="100" w:beforeAutospacing="1" w:after="100" w:afterAutospacing="1"/>
        <w:ind w:leftChars="0" w:left="0" w:firstLineChars="200" w:firstLine="560"/>
        <w:jc w:val="both"/>
        <w:rPr>
          <w:rFonts w:ascii="Times New Roman" w:eastAsia="標楷體" w:hAnsi="Times New Roman"/>
          <w:color w:val="000000" w:themeColor="text1"/>
          <w:sz w:val="28"/>
          <w:szCs w:val="28"/>
        </w:rPr>
      </w:pPr>
      <w:r w:rsidRPr="005E758A">
        <w:rPr>
          <w:rFonts w:ascii="Times New Roman" w:eastAsia="標楷體" w:hAnsi="Times New Roman"/>
          <w:color w:val="000000" w:themeColor="text1"/>
          <w:sz w:val="28"/>
          <w:szCs w:val="28"/>
        </w:rPr>
        <w:t>一名</w:t>
      </w:r>
      <w:r w:rsidRPr="005E758A">
        <w:rPr>
          <w:rFonts w:ascii="Times New Roman" w:eastAsia="標楷體" w:hAnsi="Times New Roman"/>
          <w:color w:val="000000" w:themeColor="text1"/>
          <w:sz w:val="28"/>
          <w:szCs w:val="28"/>
        </w:rPr>
        <w:t>5</w:t>
      </w:r>
      <w:r w:rsidRPr="005E758A">
        <w:rPr>
          <w:rFonts w:ascii="Times New Roman" w:eastAsia="標楷體" w:hAnsi="Times New Roman"/>
          <w:color w:val="000000" w:themeColor="text1"/>
          <w:sz w:val="28"/>
          <w:szCs w:val="28"/>
        </w:rPr>
        <w:t>歲剛果裔女童</w:t>
      </w:r>
      <w:r w:rsidRPr="005E758A">
        <w:rPr>
          <w:rFonts w:ascii="Times New Roman" w:eastAsia="標楷體" w:hAnsi="Times New Roman"/>
          <w:color w:val="000000" w:themeColor="text1"/>
          <w:sz w:val="28"/>
          <w:szCs w:val="28"/>
        </w:rPr>
        <w:t>M</w:t>
      </w:r>
      <w:r w:rsidRPr="005E758A">
        <w:rPr>
          <w:rFonts w:ascii="Times New Roman" w:eastAsia="標楷體" w:hAnsi="Times New Roman"/>
          <w:color w:val="000000" w:themeColor="text1"/>
          <w:sz w:val="28"/>
          <w:szCs w:val="28"/>
        </w:rPr>
        <w:t>為與其</w:t>
      </w:r>
      <w:proofErr w:type="gramStart"/>
      <w:r w:rsidRPr="005E758A">
        <w:rPr>
          <w:rFonts w:ascii="Times New Roman" w:eastAsia="標楷體" w:hAnsi="Times New Roman"/>
          <w:color w:val="000000" w:themeColor="text1"/>
          <w:sz w:val="28"/>
          <w:szCs w:val="28"/>
        </w:rPr>
        <w:t>甫</w:t>
      </w:r>
      <w:proofErr w:type="gramEnd"/>
      <w:r w:rsidRPr="005E758A">
        <w:rPr>
          <w:rFonts w:ascii="Times New Roman" w:eastAsia="標楷體" w:hAnsi="Times New Roman"/>
          <w:color w:val="000000" w:themeColor="text1"/>
          <w:sz w:val="28"/>
          <w:szCs w:val="28"/>
        </w:rPr>
        <w:t>獲得加拿大難民庇護的母親團聚，而與其叔叔前往加拿大，途中因欠缺必要之旅行及移民文件，於</w:t>
      </w:r>
      <w:r w:rsidRPr="005E758A">
        <w:rPr>
          <w:rFonts w:ascii="Times New Roman" w:eastAsia="標楷體" w:hAnsi="Times New Roman"/>
          <w:color w:val="000000" w:themeColor="text1"/>
          <w:sz w:val="28"/>
          <w:szCs w:val="28"/>
        </w:rPr>
        <w:t>2002 </w:t>
      </w:r>
      <w:r w:rsidRPr="005E758A">
        <w:rPr>
          <w:rFonts w:ascii="Times New Roman" w:eastAsia="標楷體" w:hAnsi="Times New Roman"/>
          <w:color w:val="000000" w:themeColor="text1"/>
          <w:sz w:val="28"/>
          <w:szCs w:val="28"/>
        </w:rPr>
        <w:t>年</w:t>
      </w:r>
      <w:r w:rsidRPr="005E758A">
        <w:rPr>
          <w:rFonts w:ascii="Times New Roman" w:eastAsia="標楷體" w:hAnsi="Times New Roman"/>
          <w:color w:val="000000" w:themeColor="text1"/>
          <w:sz w:val="28"/>
          <w:szCs w:val="28"/>
        </w:rPr>
        <w:t>8</w:t>
      </w:r>
      <w:r w:rsidRPr="005E758A">
        <w:rPr>
          <w:rFonts w:ascii="Times New Roman" w:eastAsia="標楷體" w:hAnsi="Times New Roman"/>
          <w:color w:val="000000" w:themeColor="text1"/>
          <w:sz w:val="28"/>
          <w:szCs w:val="28"/>
        </w:rPr>
        <w:t>月遭比利時當局於布魯塞爾機場予以拘留。女童</w:t>
      </w:r>
      <w:r w:rsidRPr="005E758A">
        <w:rPr>
          <w:rFonts w:ascii="Times New Roman" w:eastAsia="標楷體" w:hAnsi="Times New Roman"/>
          <w:color w:val="000000" w:themeColor="text1"/>
          <w:sz w:val="28"/>
          <w:szCs w:val="28"/>
        </w:rPr>
        <w:t>M</w:t>
      </w:r>
      <w:r w:rsidRPr="005E758A">
        <w:rPr>
          <w:rFonts w:ascii="Times New Roman" w:eastAsia="標楷體" w:hAnsi="Times New Roman"/>
          <w:color w:val="000000" w:themeColor="text1"/>
          <w:sz w:val="28"/>
          <w:szCs w:val="28"/>
        </w:rPr>
        <w:t>被送往收容成年人之拘留中心長達兩個月，其申請難民庇護又遭比利時當局拒絕並遣送回國。女童</w:t>
      </w:r>
      <w:r w:rsidRPr="005E758A">
        <w:rPr>
          <w:rFonts w:ascii="Times New Roman" w:eastAsia="標楷體" w:hAnsi="Times New Roman"/>
          <w:color w:val="000000" w:themeColor="text1"/>
          <w:sz w:val="28"/>
          <w:szCs w:val="28"/>
        </w:rPr>
        <w:t>M</w:t>
      </w:r>
      <w:r w:rsidRPr="005E758A">
        <w:rPr>
          <w:rFonts w:ascii="Times New Roman" w:eastAsia="標楷體" w:hAnsi="Times New Roman"/>
          <w:color w:val="000000" w:themeColor="text1"/>
          <w:sz w:val="28"/>
          <w:szCs w:val="28"/>
        </w:rPr>
        <w:t>依照救濟管道提出上訴也同遭</w:t>
      </w:r>
      <w:r w:rsidRPr="005E758A">
        <w:rPr>
          <w:rFonts w:ascii="Times New Roman" w:eastAsia="標楷體" w:hAnsi="Times New Roman"/>
          <w:sz w:val="28"/>
          <w:szCs w:val="28"/>
        </w:rPr>
        <w:t>駁回</w:t>
      </w:r>
      <w:r w:rsidRPr="005E758A">
        <w:rPr>
          <w:rFonts w:ascii="Times New Roman" w:eastAsia="標楷體" w:hAnsi="Times New Roman"/>
          <w:color w:val="000000" w:themeColor="text1"/>
          <w:sz w:val="28"/>
          <w:szCs w:val="28"/>
        </w:rPr>
        <w:t>，於是提起訴訟，同年</w:t>
      </w:r>
      <w:r w:rsidRPr="005E758A">
        <w:rPr>
          <w:rFonts w:ascii="Times New Roman" w:eastAsia="標楷體" w:hAnsi="Times New Roman"/>
          <w:color w:val="000000" w:themeColor="text1"/>
          <w:sz w:val="28"/>
          <w:szCs w:val="28"/>
        </w:rPr>
        <w:t>10</w:t>
      </w:r>
      <w:r w:rsidRPr="005E758A">
        <w:rPr>
          <w:rFonts w:ascii="Times New Roman" w:eastAsia="標楷體" w:hAnsi="Times New Roman"/>
          <w:color w:val="000000" w:themeColor="text1"/>
          <w:sz w:val="28"/>
          <w:szCs w:val="28"/>
        </w:rPr>
        <w:t>月，第一審法院認為將女童拘留違反兒童權利公約，判決應立即釋放該女童。因此女童被遣送回剛果，至機場途中由一位社工陪同，</w:t>
      </w:r>
      <w:proofErr w:type="gramStart"/>
      <w:r w:rsidRPr="005E758A">
        <w:rPr>
          <w:rFonts w:ascii="Times New Roman" w:eastAsia="標楷體" w:hAnsi="Times New Roman"/>
          <w:color w:val="000000" w:themeColor="text1"/>
          <w:sz w:val="28"/>
          <w:szCs w:val="28"/>
        </w:rPr>
        <w:t>於搭機</w:t>
      </w:r>
      <w:proofErr w:type="gramEnd"/>
      <w:r w:rsidRPr="005E758A">
        <w:rPr>
          <w:rFonts w:ascii="Times New Roman" w:eastAsia="標楷體" w:hAnsi="Times New Roman"/>
          <w:color w:val="000000" w:themeColor="text1"/>
          <w:sz w:val="28"/>
          <w:szCs w:val="28"/>
        </w:rPr>
        <w:t>後由指定之空服員陪同。</w:t>
      </w:r>
      <w:r w:rsidRPr="005E758A">
        <w:rPr>
          <w:rFonts w:ascii="Times New Roman" w:eastAsia="標楷體" w:hAnsi="Times New Roman"/>
          <w:color w:val="000000" w:themeColor="text1"/>
          <w:sz w:val="28"/>
          <w:szCs w:val="28"/>
        </w:rPr>
        <w:t>10</w:t>
      </w:r>
      <w:r w:rsidRPr="005E758A">
        <w:rPr>
          <w:rFonts w:ascii="Times New Roman" w:eastAsia="標楷體" w:hAnsi="Times New Roman"/>
          <w:color w:val="000000" w:themeColor="text1"/>
          <w:sz w:val="28"/>
          <w:szCs w:val="28"/>
        </w:rPr>
        <w:t>月底時，女童</w:t>
      </w:r>
      <w:r w:rsidRPr="005E758A">
        <w:rPr>
          <w:rFonts w:ascii="Times New Roman" w:eastAsia="標楷體" w:hAnsi="Times New Roman"/>
          <w:color w:val="000000" w:themeColor="text1"/>
          <w:sz w:val="28"/>
          <w:szCs w:val="28"/>
        </w:rPr>
        <w:t>M</w:t>
      </w:r>
      <w:r w:rsidRPr="005E758A">
        <w:rPr>
          <w:rFonts w:ascii="Times New Roman" w:eastAsia="標楷體" w:hAnsi="Times New Roman"/>
          <w:color w:val="000000" w:themeColor="text1"/>
          <w:sz w:val="28"/>
          <w:szCs w:val="28"/>
        </w:rPr>
        <w:t>因比利時及加拿大總理之介入而得以至加拿大與其母親會合。</w:t>
      </w:r>
    </w:p>
    <w:p w14:paraId="64AE2EB9" w14:textId="77777777" w:rsidR="001C71D0" w:rsidRPr="005E758A" w:rsidRDefault="001C71D0" w:rsidP="001C71D0">
      <w:pPr>
        <w:pStyle w:val="a0"/>
        <w:snapToGrid w:val="0"/>
        <w:spacing w:before="100" w:beforeAutospacing="1" w:after="100" w:afterAutospacing="1"/>
        <w:ind w:leftChars="0" w:left="0" w:firstLineChars="200" w:firstLine="560"/>
        <w:jc w:val="both"/>
        <w:rPr>
          <w:rFonts w:ascii="Times New Roman" w:eastAsia="標楷體" w:hAnsi="Times New Roman"/>
          <w:color w:val="000000" w:themeColor="text1"/>
          <w:sz w:val="28"/>
          <w:szCs w:val="28"/>
        </w:rPr>
      </w:pPr>
      <w:r w:rsidRPr="005E758A">
        <w:rPr>
          <w:rFonts w:ascii="Times New Roman" w:eastAsia="標楷體" w:hAnsi="Times New Roman"/>
          <w:color w:val="000000" w:themeColor="text1"/>
          <w:sz w:val="28"/>
          <w:szCs w:val="28"/>
        </w:rPr>
        <w:t>於是女童</w:t>
      </w:r>
      <w:r w:rsidRPr="005E758A">
        <w:rPr>
          <w:rFonts w:ascii="Times New Roman" w:eastAsia="標楷體" w:hAnsi="Times New Roman"/>
          <w:color w:val="000000" w:themeColor="text1"/>
          <w:sz w:val="28"/>
          <w:szCs w:val="28"/>
        </w:rPr>
        <w:t>M</w:t>
      </w:r>
      <w:r w:rsidRPr="005E758A">
        <w:rPr>
          <w:rFonts w:ascii="Times New Roman" w:eastAsia="標楷體" w:hAnsi="Times New Roman"/>
          <w:color w:val="000000" w:themeColor="text1"/>
          <w:sz w:val="28"/>
          <w:szCs w:val="28"/>
        </w:rPr>
        <w:t>與其</w:t>
      </w:r>
      <w:r w:rsidRPr="005E758A">
        <w:rPr>
          <w:rFonts w:ascii="Times New Roman" w:eastAsia="標楷體" w:hAnsi="Times New Roman"/>
          <w:sz w:val="28"/>
          <w:szCs w:val="28"/>
        </w:rPr>
        <w:t>母親</w:t>
      </w:r>
      <w:r w:rsidRPr="005E758A">
        <w:rPr>
          <w:rFonts w:ascii="Times New Roman" w:eastAsia="標楷體" w:hAnsi="Times New Roman"/>
          <w:color w:val="000000" w:themeColor="text1"/>
          <w:sz w:val="28"/>
          <w:szCs w:val="28"/>
        </w:rPr>
        <w:t>共同向歐洲人權法院起訴比利時違反歐洲人權公約第</w:t>
      </w:r>
      <w:r w:rsidRPr="005E758A">
        <w:rPr>
          <w:rFonts w:ascii="Times New Roman" w:eastAsia="標楷體" w:hAnsi="Times New Roman"/>
          <w:color w:val="000000" w:themeColor="text1"/>
          <w:sz w:val="28"/>
          <w:szCs w:val="28"/>
        </w:rPr>
        <w:t>3</w:t>
      </w:r>
      <w:r w:rsidRPr="005E758A">
        <w:rPr>
          <w:rFonts w:ascii="Times New Roman" w:eastAsia="標楷體" w:hAnsi="Times New Roman"/>
          <w:color w:val="000000" w:themeColor="text1"/>
          <w:sz w:val="28"/>
          <w:szCs w:val="28"/>
        </w:rPr>
        <w:t>條、第</w:t>
      </w:r>
      <w:r w:rsidRPr="005E758A">
        <w:rPr>
          <w:rFonts w:ascii="Times New Roman" w:eastAsia="標楷體" w:hAnsi="Times New Roman"/>
          <w:color w:val="000000" w:themeColor="text1"/>
          <w:sz w:val="28"/>
          <w:szCs w:val="28"/>
        </w:rPr>
        <w:t>5</w:t>
      </w:r>
      <w:r w:rsidRPr="005E758A">
        <w:rPr>
          <w:rFonts w:ascii="Times New Roman" w:eastAsia="標楷體" w:hAnsi="Times New Roman"/>
          <w:color w:val="000000" w:themeColor="text1"/>
          <w:sz w:val="28"/>
          <w:szCs w:val="28"/>
        </w:rPr>
        <w:t>條、第</w:t>
      </w:r>
      <w:r w:rsidRPr="005E758A">
        <w:rPr>
          <w:rFonts w:ascii="Times New Roman" w:eastAsia="標楷體" w:hAnsi="Times New Roman"/>
          <w:color w:val="000000" w:themeColor="text1"/>
          <w:sz w:val="28"/>
          <w:szCs w:val="28"/>
        </w:rPr>
        <w:t>8</w:t>
      </w:r>
      <w:r w:rsidRPr="005E758A">
        <w:rPr>
          <w:rFonts w:ascii="Times New Roman" w:eastAsia="標楷體" w:hAnsi="Times New Roman"/>
          <w:color w:val="000000" w:themeColor="text1"/>
          <w:sz w:val="28"/>
          <w:szCs w:val="28"/>
        </w:rPr>
        <w:t>條及第</w:t>
      </w:r>
      <w:r w:rsidRPr="005E758A">
        <w:rPr>
          <w:rFonts w:ascii="Times New Roman" w:eastAsia="標楷體" w:hAnsi="Times New Roman"/>
          <w:color w:val="000000" w:themeColor="text1"/>
          <w:sz w:val="28"/>
          <w:szCs w:val="28"/>
        </w:rPr>
        <w:t>13</w:t>
      </w:r>
      <w:r w:rsidRPr="005E758A">
        <w:rPr>
          <w:rFonts w:ascii="Times New Roman" w:eastAsia="標楷體" w:hAnsi="Times New Roman"/>
          <w:color w:val="000000" w:themeColor="text1"/>
          <w:sz w:val="28"/>
          <w:szCs w:val="28"/>
        </w:rPr>
        <w:t>條。</w:t>
      </w:r>
    </w:p>
    <w:p w14:paraId="0943538A" w14:textId="77777777" w:rsidR="001C71D0" w:rsidRPr="005E758A" w:rsidRDefault="001C71D0" w:rsidP="001C71D0">
      <w:pPr>
        <w:pStyle w:val="a0"/>
        <w:snapToGrid w:val="0"/>
        <w:spacing w:before="100" w:beforeAutospacing="1" w:after="100" w:afterAutospacing="1"/>
        <w:ind w:leftChars="0" w:left="0" w:firstLineChars="200" w:firstLine="560"/>
        <w:jc w:val="both"/>
        <w:rPr>
          <w:rFonts w:ascii="Times New Roman" w:eastAsia="標楷體" w:hAnsi="Times New Roman"/>
          <w:color w:val="000000" w:themeColor="text1"/>
          <w:sz w:val="28"/>
          <w:szCs w:val="28"/>
        </w:rPr>
      </w:pPr>
      <w:r w:rsidRPr="005E758A">
        <w:rPr>
          <w:rFonts w:ascii="Times New Roman" w:eastAsia="標楷體" w:hAnsi="Times New Roman"/>
          <w:color w:val="000000" w:themeColor="text1"/>
          <w:sz w:val="28"/>
          <w:szCs w:val="28"/>
        </w:rPr>
        <w:t>本案爭點在於對弱勢族群尋求庇護者之拘留及驅逐出境是否違反相關兒童人權。歐洲人權法院認為比利時政府之處置不僅違反歐洲人權公約第</w:t>
      </w:r>
      <w:r w:rsidRPr="005E758A">
        <w:rPr>
          <w:rFonts w:ascii="Times New Roman" w:eastAsia="標楷體" w:hAnsi="Times New Roman"/>
          <w:color w:val="000000" w:themeColor="text1"/>
          <w:sz w:val="28"/>
          <w:szCs w:val="28"/>
        </w:rPr>
        <w:t>3</w:t>
      </w:r>
      <w:r w:rsidRPr="005E758A">
        <w:rPr>
          <w:rFonts w:ascii="Times New Roman" w:eastAsia="標楷體" w:hAnsi="Times New Roman"/>
          <w:color w:val="000000" w:themeColor="text1"/>
          <w:sz w:val="28"/>
          <w:szCs w:val="28"/>
        </w:rPr>
        <w:t>條</w:t>
      </w:r>
      <w:r w:rsidRPr="005E758A">
        <w:rPr>
          <w:rFonts w:ascii="Times New Roman" w:eastAsia="標楷體" w:hAnsi="Times New Roman"/>
          <w:color w:val="000000" w:themeColor="text1"/>
          <w:sz w:val="28"/>
          <w:szCs w:val="28"/>
        </w:rPr>
        <w:t>(</w:t>
      </w:r>
      <w:r w:rsidRPr="005E758A">
        <w:rPr>
          <w:rFonts w:ascii="Times New Roman" w:eastAsia="標楷體" w:hAnsi="Times New Roman"/>
          <w:color w:val="000000" w:themeColor="text1"/>
          <w:sz w:val="28"/>
          <w:szCs w:val="28"/>
        </w:rPr>
        <w:t>禁止不人道待遇</w:t>
      </w:r>
      <w:r w:rsidRPr="005E758A">
        <w:rPr>
          <w:rFonts w:ascii="Times New Roman" w:eastAsia="標楷體" w:hAnsi="Times New Roman"/>
          <w:color w:val="000000" w:themeColor="text1"/>
          <w:sz w:val="28"/>
          <w:szCs w:val="28"/>
        </w:rPr>
        <w:t>)</w:t>
      </w:r>
      <w:r w:rsidRPr="005E758A">
        <w:rPr>
          <w:rFonts w:ascii="Times New Roman" w:eastAsia="標楷體" w:hAnsi="Times New Roman"/>
          <w:color w:val="000000" w:themeColor="text1"/>
          <w:sz w:val="28"/>
          <w:szCs w:val="28"/>
        </w:rPr>
        <w:t>、第</w:t>
      </w:r>
      <w:r w:rsidRPr="005E758A">
        <w:rPr>
          <w:rFonts w:ascii="Times New Roman" w:eastAsia="標楷體" w:hAnsi="Times New Roman"/>
          <w:color w:val="000000" w:themeColor="text1"/>
          <w:sz w:val="28"/>
          <w:szCs w:val="28"/>
        </w:rPr>
        <w:t>5</w:t>
      </w:r>
      <w:r w:rsidRPr="005E758A">
        <w:rPr>
          <w:rFonts w:ascii="Times New Roman" w:eastAsia="標楷體" w:hAnsi="Times New Roman"/>
          <w:color w:val="000000" w:themeColor="text1"/>
          <w:sz w:val="28"/>
          <w:szCs w:val="28"/>
        </w:rPr>
        <w:t>條</w:t>
      </w:r>
      <w:r w:rsidRPr="005E758A">
        <w:rPr>
          <w:rFonts w:ascii="Times New Roman" w:eastAsia="標楷體" w:hAnsi="Times New Roman"/>
          <w:color w:val="000000" w:themeColor="text1"/>
          <w:sz w:val="28"/>
          <w:szCs w:val="28"/>
        </w:rPr>
        <w:t>(</w:t>
      </w:r>
      <w:r w:rsidRPr="005E758A">
        <w:rPr>
          <w:rFonts w:ascii="Times New Roman" w:eastAsia="標楷體" w:hAnsi="Times New Roman"/>
          <w:color w:val="000000" w:themeColor="text1"/>
          <w:sz w:val="28"/>
          <w:szCs w:val="28"/>
        </w:rPr>
        <w:t>自由及安全權利</w:t>
      </w:r>
      <w:r w:rsidRPr="005E758A">
        <w:rPr>
          <w:rFonts w:ascii="Times New Roman" w:eastAsia="標楷體" w:hAnsi="Times New Roman"/>
          <w:color w:val="000000" w:themeColor="text1"/>
          <w:sz w:val="28"/>
          <w:szCs w:val="28"/>
        </w:rPr>
        <w:t>)</w:t>
      </w:r>
      <w:r w:rsidRPr="005E758A">
        <w:rPr>
          <w:rFonts w:ascii="Times New Roman" w:eastAsia="標楷體" w:hAnsi="Times New Roman"/>
          <w:color w:val="000000" w:themeColor="text1"/>
          <w:sz w:val="28"/>
          <w:szCs w:val="28"/>
        </w:rPr>
        <w:t>、第</w:t>
      </w:r>
      <w:r w:rsidRPr="005E758A">
        <w:rPr>
          <w:rFonts w:ascii="Times New Roman" w:eastAsia="標楷體" w:hAnsi="Times New Roman"/>
          <w:color w:val="000000" w:themeColor="text1"/>
          <w:sz w:val="28"/>
          <w:szCs w:val="28"/>
        </w:rPr>
        <w:t>8</w:t>
      </w:r>
      <w:r w:rsidRPr="005E758A">
        <w:rPr>
          <w:rFonts w:ascii="Times New Roman" w:eastAsia="標楷體" w:hAnsi="Times New Roman"/>
          <w:color w:val="000000" w:themeColor="text1"/>
          <w:sz w:val="28"/>
          <w:szCs w:val="28"/>
        </w:rPr>
        <w:t>條</w:t>
      </w:r>
      <w:r w:rsidRPr="005E758A">
        <w:rPr>
          <w:rFonts w:ascii="Times New Roman" w:eastAsia="標楷體" w:hAnsi="Times New Roman"/>
          <w:color w:val="000000" w:themeColor="text1"/>
          <w:sz w:val="28"/>
          <w:szCs w:val="28"/>
        </w:rPr>
        <w:t>(</w:t>
      </w:r>
      <w:r w:rsidRPr="005E758A">
        <w:rPr>
          <w:rFonts w:ascii="Times New Roman" w:eastAsia="標楷體" w:hAnsi="Times New Roman"/>
          <w:color w:val="000000" w:themeColor="text1"/>
          <w:sz w:val="28"/>
          <w:szCs w:val="28"/>
        </w:rPr>
        <w:t>隱私及家庭權</w:t>
      </w:r>
      <w:r w:rsidRPr="005E758A">
        <w:rPr>
          <w:rFonts w:ascii="Times New Roman" w:eastAsia="標楷體" w:hAnsi="Times New Roman"/>
          <w:color w:val="000000" w:themeColor="text1"/>
          <w:sz w:val="28"/>
          <w:szCs w:val="28"/>
        </w:rPr>
        <w:t>)</w:t>
      </w:r>
      <w:r w:rsidRPr="005E758A">
        <w:rPr>
          <w:rFonts w:ascii="Times New Roman" w:eastAsia="標楷體" w:hAnsi="Times New Roman"/>
          <w:color w:val="000000" w:themeColor="text1"/>
          <w:sz w:val="28"/>
          <w:szCs w:val="28"/>
        </w:rPr>
        <w:t>等，更引用兒童權利公約相關條文，認為兒童權利公約得以補足歐洲人權公約規範上之不足以保護非歐洲國籍之兒童。締約國縱使為了公共秩序而採取拘留外國人之手段，亦須於國家為取締違法移民時遵守其國際法上義務之前提，包含歐洲人權公約及兒童權利公約。</w:t>
      </w:r>
      <w:proofErr w:type="gramStart"/>
      <w:r w:rsidRPr="005E758A">
        <w:rPr>
          <w:rFonts w:ascii="Times New Roman" w:eastAsia="標楷體" w:hAnsi="Times New Roman"/>
          <w:color w:val="000000" w:themeColor="text1"/>
          <w:sz w:val="28"/>
          <w:szCs w:val="28"/>
        </w:rPr>
        <w:t>再者，</w:t>
      </w:r>
      <w:proofErr w:type="gramEnd"/>
      <w:r w:rsidRPr="005E758A">
        <w:rPr>
          <w:rFonts w:ascii="Times New Roman" w:eastAsia="標楷體" w:hAnsi="Times New Roman"/>
          <w:color w:val="000000" w:themeColor="text1"/>
          <w:sz w:val="28"/>
          <w:szCs w:val="28"/>
        </w:rPr>
        <w:t>即使國家對於難民議題意圖規避移民法規，亦不得剝奪外國人或外國弱勢族群於國際公約下所享有之保護，特別是弱勢族群處於無人陪伴之情況。因此，國家對於基本權利之保障及拘留之相關政策須與國際公約一致。本案中，女童並未意圖規避比利時政府之監督，因此將其拘留於成年人拘留中心顯然不具必要性，其他的措施亦應符合兒童權利公約第</w:t>
      </w:r>
      <w:r w:rsidRPr="005E758A">
        <w:rPr>
          <w:rFonts w:ascii="Times New Roman" w:eastAsia="標楷體" w:hAnsi="Times New Roman"/>
          <w:color w:val="000000" w:themeColor="text1"/>
          <w:sz w:val="28"/>
          <w:szCs w:val="28"/>
        </w:rPr>
        <w:t>3</w:t>
      </w:r>
      <w:r w:rsidRPr="005E758A">
        <w:rPr>
          <w:rFonts w:ascii="Times New Roman" w:eastAsia="標楷體" w:hAnsi="Times New Roman"/>
          <w:color w:val="000000" w:themeColor="text1"/>
          <w:sz w:val="28"/>
          <w:szCs w:val="28"/>
        </w:rPr>
        <w:t>條關於兒童最佳利益之規範，包含特別</w:t>
      </w:r>
      <w:r w:rsidRPr="005E758A">
        <w:rPr>
          <w:rFonts w:ascii="Times New Roman" w:eastAsia="標楷體" w:hAnsi="Times New Roman"/>
          <w:color w:val="000000" w:themeColor="text1"/>
          <w:sz w:val="28"/>
          <w:szCs w:val="28"/>
        </w:rPr>
        <w:lastRenderedPageBreak/>
        <w:t>的收容中心及寄養父母等。</w:t>
      </w:r>
    </w:p>
    <w:p w14:paraId="76E890EC" w14:textId="77777777" w:rsidR="001C71D0" w:rsidRPr="005E758A" w:rsidRDefault="001C71D0" w:rsidP="001C71D0">
      <w:pPr>
        <w:pStyle w:val="3"/>
      </w:pPr>
      <w:r w:rsidRPr="005E758A">
        <w:t>2011</w:t>
      </w:r>
      <w:r w:rsidRPr="005E758A">
        <w:t>年香港</w:t>
      </w:r>
      <w:r w:rsidR="00EA4CCF" w:rsidRPr="005E758A">
        <w:t>高等法院</w:t>
      </w:r>
      <w:r w:rsidRPr="005E758A">
        <w:t>申請難民案</w:t>
      </w:r>
      <w:r w:rsidR="00EA4CCF" w:rsidRPr="005E758A">
        <w:t>：</w:t>
      </w:r>
      <w:r w:rsidRPr="005E758A">
        <w:t>C v. Director of Immigration</w:t>
      </w:r>
      <w:r w:rsidRPr="005E758A">
        <w:rPr>
          <w:rStyle w:val="af3"/>
          <w:color w:val="000000" w:themeColor="text1"/>
        </w:rPr>
        <w:endnoteReference w:id="304"/>
      </w:r>
    </w:p>
    <w:p w14:paraId="530CABFD" w14:textId="77777777" w:rsidR="001C71D0" w:rsidRPr="005E758A" w:rsidRDefault="001C71D0" w:rsidP="001C71D0">
      <w:pPr>
        <w:pStyle w:val="a0"/>
        <w:snapToGrid w:val="0"/>
        <w:spacing w:before="100" w:beforeAutospacing="1" w:after="100" w:afterAutospacing="1"/>
        <w:ind w:leftChars="0" w:left="0" w:firstLineChars="200" w:firstLine="560"/>
        <w:jc w:val="both"/>
        <w:rPr>
          <w:rFonts w:ascii="Times New Roman" w:eastAsia="標楷體" w:hAnsi="Times New Roman"/>
          <w:color w:val="000000" w:themeColor="text1"/>
          <w:sz w:val="28"/>
          <w:szCs w:val="28"/>
        </w:rPr>
      </w:pPr>
      <w:r w:rsidRPr="005E758A">
        <w:rPr>
          <w:rFonts w:ascii="Times New Roman" w:eastAsia="標楷體" w:hAnsi="Times New Roman"/>
          <w:color w:val="000000" w:themeColor="text1"/>
          <w:sz w:val="28"/>
          <w:szCs w:val="28"/>
        </w:rPr>
        <w:t>6</w:t>
      </w:r>
      <w:r w:rsidRPr="005E758A">
        <w:rPr>
          <w:rFonts w:ascii="Times New Roman" w:eastAsia="標楷體" w:hAnsi="Times New Roman"/>
          <w:color w:val="000000" w:themeColor="text1"/>
          <w:sz w:val="28"/>
          <w:szCs w:val="28"/>
        </w:rPr>
        <w:t>名難民（包括一名未滿</w:t>
      </w:r>
      <w:r w:rsidRPr="005E758A">
        <w:rPr>
          <w:rFonts w:ascii="Times New Roman" w:eastAsia="標楷體" w:hAnsi="Times New Roman"/>
          <w:color w:val="000000" w:themeColor="text1"/>
          <w:sz w:val="28"/>
          <w:szCs w:val="28"/>
        </w:rPr>
        <w:t>18</w:t>
      </w:r>
      <w:r w:rsidRPr="005E758A">
        <w:rPr>
          <w:rFonts w:ascii="Times New Roman" w:eastAsia="標楷體" w:hAnsi="Times New Roman"/>
          <w:color w:val="000000" w:themeColor="text1"/>
          <w:sz w:val="28"/>
          <w:szCs w:val="28"/>
        </w:rPr>
        <w:t>歲的兒童</w:t>
      </w:r>
      <w:r w:rsidRPr="005E758A">
        <w:rPr>
          <w:rFonts w:ascii="Times New Roman" w:eastAsia="標楷體" w:hAnsi="Times New Roman"/>
          <w:color w:val="000000" w:themeColor="text1"/>
          <w:sz w:val="28"/>
          <w:szCs w:val="28"/>
        </w:rPr>
        <w:t>AK</w:t>
      </w:r>
      <w:r w:rsidRPr="005E758A">
        <w:rPr>
          <w:rFonts w:ascii="Times New Roman" w:eastAsia="標楷體" w:hAnsi="Times New Roman"/>
          <w:color w:val="000000" w:themeColor="text1"/>
          <w:sz w:val="28"/>
          <w:szCs w:val="28"/>
        </w:rPr>
        <w:t>）因聯合國難民署香港辦公室拒絕承認其難民地位遭香港政府遣送回國，因而提起訴訟。他們主張</w:t>
      </w:r>
      <w:r w:rsidRPr="005E758A">
        <w:rPr>
          <w:rFonts w:ascii="Times New Roman" w:eastAsia="標楷體" w:hAnsi="Times New Roman"/>
          <w:color w:val="000000" w:themeColor="text1"/>
          <w:sz w:val="28"/>
          <w:szCs w:val="28"/>
        </w:rPr>
        <w:t>(1)</w:t>
      </w:r>
      <w:r w:rsidRPr="005E758A">
        <w:rPr>
          <w:rFonts w:ascii="Times New Roman" w:eastAsia="標楷體" w:hAnsi="Times New Roman"/>
          <w:color w:val="000000" w:themeColor="text1"/>
          <w:sz w:val="28"/>
          <w:szCs w:val="28"/>
        </w:rPr>
        <w:t>香港政府在國際習慣法下有義務不讓可能因種族、信仰、國籍或政治</w:t>
      </w:r>
      <w:r w:rsidRPr="005E758A">
        <w:rPr>
          <w:rFonts w:ascii="Times New Roman" w:eastAsia="標楷體" w:hAnsi="Times New Roman"/>
          <w:sz w:val="28"/>
          <w:szCs w:val="28"/>
        </w:rPr>
        <w:t>立場</w:t>
      </w:r>
      <w:r w:rsidRPr="005E758A">
        <w:rPr>
          <w:rFonts w:ascii="Times New Roman" w:eastAsia="標楷體" w:hAnsi="Times New Roman"/>
          <w:color w:val="000000" w:themeColor="text1"/>
          <w:sz w:val="28"/>
          <w:szCs w:val="28"/>
        </w:rPr>
        <w:t>等因素受迫害之難民被驅離</w:t>
      </w:r>
      <w:r w:rsidRPr="005E758A">
        <w:rPr>
          <w:rFonts w:ascii="Times New Roman" w:eastAsia="標楷體" w:hAnsi="Times New Roman"/>
          <w:color w:val="000000" w:themeColor="text1"/>
          <w:sz w:val="28"/>
          <w:szCs w:val="28"/>
        </w:rPr>
        <w:t xml:space="preserve"> </w:t>
      </w:r>
      <w:r w:rsidRPr="005E758A">
        <w:rPr>
          <w:rFonts w:ascii="Times New Roman" w:eastAsia="標楷體" w:hAnsi="Times New Roman"/>
          <w:color w:val="000000" w:themeColor="text1"/>
          <w:sz w:val="28"/>
          <w:szCs w:val="28"/>
        </w:rPr>
        <w:t>，及</w:t>
      </w:r>
      <w:r w:rsidRPr="005E758A">
        <w:rPr>
          <w:rFonts w:ascii="Times New Roman" w:eastAsia="標楷體" w:hAnsi="Times New Roman"/>
          <w:color w:val="000000" w:themeColor="text1"/>
          <w:sz w:val="28"/>
          <w:szCs w:val="28"/>
        </w:rPr>
        <w:t>(2)</w:t>
      </w:r>
      <w:r w:rsidRPr="005E758A">
        <w:rPr>
          <w:rFonts w:ascii="Times New Roman" w:eastAsia="標楷體" w:hAnsi="Times New Roman"/>
          <w:color w:val="000000" w:themeColor="text1"/>
          <w:sz w:val="28"/>
          <w:szCs w:val="28"/>
        </w:rPr>
        <w:t>香港政府不應只依照聯合國難民署之判斷，而須自行決定這些難民是否符合難民地位。</w:t>
      </w:r>
    </w:p>
    <w:p w14:paraId="282EE54C" w14:textId="77777777" w:rsidR="001C71D0" w:rsidRPr="005E758A" w:rsidRDefault="001C71D0" w:rsidP="001C71D0">
      <w:pPr>
        <w:pStyle w:val="a0"/>
        <w:snapToGrid w:val="0"/>
        <w:spacing w:before="100" w:beforeAutospacing="1" w:after="100" w:afterAutospacing="1"/>
        <w:ind w:leftChars="0" w:left="0" w:firstLineChars="200" w:firstLine="560"/>
        <w:jc w:val="both"/>
        <w:rPr>
          <w:rFonts w:ascii="Times New Roman" w:eastAsia="標楷體" w:hAnsi="Times New Roman"/>
          <w:color w:val="000000" w:themeColor="text1"/>
          <w:sz w:val="28"/>
          <w:szCs w:val="28"/>
        </w:rPr>
      </w:pPr>
      <w:r w:rsidRPr="005E758A">
        <w:rPr>
          <w:rFonts w:ascii="Times New Roman" w:eastAsia="標楷體" w:hAnsi="Times New Roman"/>
          <w:color w:val="000000" w:themeColor="text1"/>
          <w:sz w:val="28"/>
          <w:szCs w:val="28"/>
        </w:rPr>
        <w:t>本案爭點在於香港政府將難民遣返是否違反國際習慣法？香港高等法院首先承認禁止將回國可能遭受迫害之難民遣返具有國際習慣法難民之地位，但此原則並非絕對。香港持續拒絕接受此項原則，係因其違背</w:t>
      </w:r>
      <w:r w:rsidRPr="005E758A">
        <w:rPr>
          <w:rFonts w:ascii="Times New Roman" w:eastAsia="標楷體" w:hAnsi="Times New Roman"/>
          <w:sz w:val="28"/>
          <w:szCs w:val="28"/>
        </w:rPr>
        <w:t>香港</w:t>
      </w:r>
      <w:r w:rsidRPr="005E758A">
        <w:rPr>
          <w:rFonts w:ascii="Times New Roman" w:eastAsia="標楷體" w:hAnsi="Times New Roman"/>
          <w:color w:val="000000" w:themeColor="text1"/>
          <w:sz w:val="28"/>
          <w:szCs w:val="28"/>
        </w:rPr>
        <w:t>之法律且未有立法之依據。</w:t>
      </w:r>
      <w:proofErr w:type="gramStart"/>
      <w:r w:rsidRPr="005E758A">
        <w:rPr>
          <w:rFonts w:ascii="Times New Roman" w:eastAsia="標楷體" w:hAnsi="Times New Roman"/>
          <w:color w:val="000000" w:themeColor="text1"/>
          <w:sz w:val="28"/>
          <w:szCs w:val="28"/>
        </w:rPr>
        <w:t>再者，</w:t>
      </w:r>
      <w:proofErr w:type="gramEnd"/>
      <w:r w:rsidRPr="005E758A">
        <w:rPr>
          <w:rFonts w:ascii="Times New Roman" w:eastAsia="標楷體" w:hAnsi="Times New Roman"/>
          <w:color w:val="000000" w:themeColor="text1"/>
          <w:sz w:val="28"/>
          <w:szCs w:val="28"/>
        </w:rPr>
        <w:t>中國對於兒童權利公約第</w:t>
      </w:r>
      <w:r w:rsidRPr="005E758A">
        <w:rPr>
          <w:rFonts w:ascii="Times New Roman" w:eastAsia="標楷體" w:hAnsi="Times New Roman"/>
          <w:color w:val="000000" w:themeColor="text1"/>
          <w:sz w:val="28"/>
          <w:szCs w:val="28"/>
        </w:rPr>
        <w:t>22</w:t>
      </w:r>
      <w:r w:rsidRPr="005E758A">
        <w:rPr>
          <w:rFonts w:ascii="Times New Roman" w:eastAsia="標楷體" w:hAnsi="Times New Roman"/>
          <w:color w:val="000000" w:themeColor="text1"/>
          <w:sz w:val="28"/>
          <w:szCs w:val="28"/>
        </w:rPr>
        <w:t>條為保留，因此，亦無於香港適用之餘地。</w:t>
      </w:r>
    </w:p>
    <w:p w14:paraId="2A1F6D07" w14:textId="77777777" w:rsidR="001C71D0" w:rsidRPr="005E758A" w:rsidRDefault="001C71D0" w:rsidP="001C71D0">
      <w:pPr>
        <w:pStyle w:val="a0"/>
        <w:numPr>
          <w:ilvl w:val="0"/>
          <w:numId w:val="1"/>
        </w:numPr>
        <w:snapToGrid w:val="0"/>
        <w:spacing w:beforeLines="50" w:before="180" w:afterLines="50" w:after="180"/>
        <w:ind w:leftChars="0"/>
        <w:rPr>
          <w:rFonts w:ascii="Times New Roman" w:eastAsia="標楷體" w:hAnsi="Times New Roman"/>
          <w:b/>
          <w:sz w:val="28"/>
          <w:szCs w:val="28"/>
        </w:rPr>
      </w:pPr>
      <w:r w:rsidRPr="005E758A">
        <w:rPr>
          <w:rFonts w:ascii="Times New Roman" w:eastAsia="標楷體" w:hAnsi="Times New Roman"/>
          <w:b/>
          <w:sz w:val="28"/>
          <w:szCs w:val="28"/>
        </w:rPr>
        <w:t>綜合分析</w:t>
      </w:r>
    </w:p>
    <w:p w14:paraId="12A665E9" w14:textId="77777777" w:rsidR="001C71D0" w:rsidRPr="005E758A" w:rsidRDefault="001C71D0" w:rsidP="001C71D0">
      <w:pPr>
        <w:pStyle w:val="a0"/>
        <w:snapToGrid w:val="0"/>
        <w:spacing w:before="100" w:beforeAutospacing="1" w:after="100" w:afterAutospacing="1"/>
        <w:ind w:leftChars="0" w:left="0" w:firstLineChars="200" w:firstLine="560"/>
        <w:jc w:val="both"/>
        <w:rPr>
          <w:rFonts w:ascii="Times New Roman" w:eastAsia="標楷體" w:hAnsi="Times New Roman"/>
          <w:sz w:val="28"/>
          <w:szCs w:val="28"/>
        </w:rPr>
      </w:pPr>
      <w:r w:rsidRPr="005E758A">
        <w:rPr>
          <w:rFonts w:ascii="Times New Roman" w:eastAsia="標楷體" w:hAnsi="Times New Roman"/>
          <w:sz w:val="28"/>
          <w:szCs w:val="28"/>
        </w:rPr>
        <w:t>難民問題，由來已久。聯合國難民署估計全球一千萬名難民中，有半數以上是兒童，且兒童權利委員會之總括性意見中，皆有特定部分針對難民兒童之待遇為報告，可見難民兒童問題的嚴重性及保護的必要性。</w:t>
      </w:r>
      <w:r w:rsidR="00680782" w:rsidRPr="005E758A">
        <w:rPr>
          <w:rFonts w:ascii="Times New Roman" w:eastAsia="標楷體" w:hAnsi="Times New Roman"/>
          <w:sz w:val="28"/>
          <w:szCs w:val="28"/>
        </w:rPr>
        <w:t>近年非洲及中東難民大量湧入歐洲，形成另一波難民潮。成千上萬難民喪身地中海，其中更有小童溺死海邊的慘景，震驚全球，足見難民問題一直是個國際社會的重大議題。難民兒童為弱勢中的弱勢，理應予以特別保護</w:t>
      </w:r>
      <w:r w:rsidRPr="005E758A">
        <w:rPr>
          <w:rFonts w:ascii="Times New Roman" w:eastAsia="標楷體" w:hAnsi="Times New Roman"/>
          <w:sz w:val="28"/>
          <w:szCs w:val="28"/>
        </w:rPr>
        <w:t>。儘管如此，部分締約國</w:t>
      </w:r>
      <w:r w:rsidR="00680782" w:rsidRPr="005E758A">
        <w:rPr>
          <w:rFonts w:ascii="Times New Roman" w:eastAsia="標楷體" w:hAnsi="Times New Roman"/>
          <w:sz w:val="28"/>
          <w:szCs w:val="28"/>
        </w:rPr>
        <w:t>（如中華人民共和國）基於政治考量，仍有就本條為保留者，可見本條仍</w:t>
      </w:r>
      <w:r w:rsidRPr="005E758A">
        <w:rPr>
          <w:rFonts w:ascii="Times New Roman" w:eastAsia="標楷體" w:hAnsi="Times New Roman"/>
          <w:sz w:val="28"/>
          <w:szCs w:val="28"/>
        </w:rPr>
        <w:t>具有</w:t>
      </w:r>
      <w:r w:rsidR="00680782" w:rsidRPr="005E758A">
        <w:rPr>
          <w:rFonts w:ascii="Times New Roman" w:eastAsia="標楷體" w:hAnsi="Times New Roman"/>
          <w:color w:val="000000" w:themeColor="text1"/>
          <w:sz w:val="28"/>
          <w:szCs w:val="28"/>
        </w:rPr>
        <w:t>相當</w:t>
      </w:r>
      <w:r w:rsidRPr="005E758A">
        <w:rPr>
          <w:rFonts w:ascii="Times New Roman" w:eastAsia="標楷體" w:hAnsi="Times New Roman"/>
          <w:sz w:val="28"/>
          <w:szCs w:val="28"/>
        </w:rPr>
        <w:t>的爭議性。</w:t>
      </w:r>
    </w:p>
    <w:p w14:paraId="14A0503F" w14:textId="77777777" w:rsidR="001C71D0" w:rsidRPr="005E758A" w:rsidRDefault="001C71D0" w:rsidP="001C71D0">
      <w:pPr>
        <w:pStyle w:val="a0"/>
        <w:numPr>
          <w:ilvl w:val="0"/>
          <w:numId w:val="1"/>
        </w:numPr>
        <w:snapToGrid w:val="0"/>
        <w:spacing w:beforeLines="50" w:before="180" w:afterLines="50" w:after="180"/>
        <w:ind w:leftChars="0"/>
        <w:rPr>
          <w:rFonts w:ascii="Times New Roman" w:eastAsia="標楷體" w:hAnsi="Times New Roman"/>
          <w:b/>
          <w:sz w:val="28"/>
          <w:szCs w:val="28"/>
        </w:rPr>
      </w:pPr>
      <w:r w:rsidRPr="005E758A">
        <w:rPr>
          <w:rFonts w:ascii="Times New Roman" w:eastAsia="標楷體" w:hAnsi="Times New Roman"/>
          <w:b/>
          <w:sz w:val="28"/>
          <w:szCs w:val="28"/>
        </w:rPr>
        <w:t>參考資料</w:t>
      </w:r>
    </w:p>
    <w:p w14:paraId="653347FE" w14:textId="77777777" w:rsidR="001C71D0" w:rsidRPr="005E758A" w:rsidRDefault="001C71D0" w:rsidP="001C71D0">
      <w:pPr>
        <w:pStyle w:val="a0"/>
        <w:numPr>
          <w:ilvl w:val="1"/>
          <w:numId w:val="1"/>
        </w:numPr>
        <w:snapToGrid w:val="0"/>
        <w:ind w:leftChars="0" w:left="448" w:hanging="448"/>
        <w:jc w:val="both"/>
        <w:rPr>
          <w:rFonts w:ascii="Times New Roman" w:eastAsia="標楷體" w:hAnsi="Times New Roman"/>
          <w:color w:val="000000" w:themeColor="text1"/>
          <w:sz w:val="28"/>
          <w:szCs w:val="28"/>
        </w:rPr>
      </w:pPr>
      <w:r w:rsidRPr="005E758A">
        <w:rPr>
          <w:rFonts w:ascii="Times New Roman" w:eastAsia="標楷體" w:hAnsi="Times New Roman"/>
          <w:smallCaps/>
          <w:color w:val="000000" w:themeColor="text1"/>
          <w:sz w:val="28"/>
          <w:szCs w:val="28"/>
        </w:rPr>
        <w:t>UNICEF, Implementation Handbook for the Convention on the Rights of the Child</w:t>
      </w:r>
      <w:r w:rsidRPr="005E758A">
        <w:rPr>
          <w:rFonts w:ascii="Times New Roman" w:eastAsia="標楷體" w:hAnsi="Times New Roman"/>
          <w:color w:val="000000" w:themeColor="text1"/>
          <w:sz w:val="28"/>
          <w:szCs w:val="28"/>
        </w:rPr>
        <w:t xml:space="preserve"> (3d ed. 2007).</w:t>
      </w:r>
    </w:p>
    <w:p w14:paraId="7B5DC392" w14:textId="77777777" w:rsidR="001C71D0" w:rsidRPr="005E758A" w:rsidRDefault="001C71D0" w:rsidP="001C71D0">
      <w:pPr>
        <w:pStyle w:val="a0"/>
        <w:numPr>
          <w:ilvl w:val="1"/>
          <w:numId w:val="1"/>
        </w:numPr>
        <w:snapToGrid w:val="0"/>
        <w:ind w:leftChars="0" w:left="448" w:hanging="448"/>
        <w:jc w:val="both"/>
        <w:rPr>
          <w:rFonts w:ascii="Times New Roman" w:eastAsia="標楷體" w:hAnsi="Times New Roman"/>
          <w:color w:val="000000" w:themeColor="text1"/>
          <w:sz w:val="28"/>
          <w:szCs w:val="28"/>
        </w:rPr>
      </w:pPr>
      <w:proofErr w:type="gramStart"/>
      <w:r w:rsidRPr="005E758A">
        <w:rPr>
          <w:rFonts w:ascii="Times New Roman" w:eastAsia="標楷體" w:hAnsi="Times New Roman"/>
          <w:color w:val="000000" w:themeColor="text1"/>
          <w:sz w:val="28"/>
          <w:szCs w:val="28"/>
        </w:rPr>
        <w:t>李園會</w:t>
      </w:r>
      <w:proofErr w:type="gramEnd"/>
      <w:r w:rsidRPr="005E758A">
        <w:rPr>
          <w:rFonts w:ascii="Times New Roman" w:eastAsia="標楷體" w:hAnsi="Times New Roman"/>
          <w:color w:val="000000" w:themeColor="text1"/>
          <w:sz w:val="28"/>
          <w:szCs w:val="28"/>
        </w:rPr>
        <w:t>，兒童權利公約，</w:t>
      </w:r>
      <w:proofErr w:type="gramStart"/>
      <w:r w:rsidR="00165E59" w:rsidRPr="005E758A">
        <w:rPr>
          <w:rFonts w:ascii="Times New Roman" w:eastAsia="標楷體" w:hAnsi="Times New Roman"/>
          <w:sz w:val="28"/>
          <w:szCs w:val="28"/>
        </w:rPr>
        <w:t>臺</w:t>
      </w:r>
      <w:proofErr w:type="gramEnd"/>
      <w:r w:rsidRPr="005E758A">
        <w:rPr>
          <w:rFonts w:ascii="Times New Roman" w:eastAsia="標楷體" w:hAnsi="Times New Roman"/>
          <w:color w:val="000000" w:themeColor="text1"/>
          <w:sz w:val="28"/>
          <w:szCs w:val="28"/>
        </w:rPr>
        <w:t>中市，內政部兒童局，</w:t>
      </w:r>
      <w:r w:rsidRPr="005E758A">
        <w:rPr>
          <w:rFonts w:ascii="Times New Roman" w:eastAsia="標楷體" w:hAnsi="Times New Roman"/>
          <w:color w:val="000000" w:themeColor="text1"/>
          <w:sz w:val="28"/>
          <w:szCs w:val="28"/>
        </w:rPr>
        <w:t>2000</w:t>
      </w:r>
      <w:r w:rsidRPr="005E758A">
        <w:rPr>
          <w:rFonts w:ascii="Times New Roman" w:eastAsia="標楷體" w:hAnsi="Times New Roman"/>
          <w:color w:val="000000" w:themeColor="text1"/>
          <w:sz w:val="28"/>
          <w:szCs w:val="28"/>
        </w:rPr>
        <w:t>年。</w:t>
      </w:r>
    </w:p>
    <w:p w14:paraId="5724B23F" w14:textId="77777777" w:rsidR="001C71D0" w:rsidRPr="005E758A" w:rsidRDefault="001C71D0" w:rsidP="001C71D0">
      <w:pPr>
        <w:pStyle w:val="a0"/>
        <w:numPr>
          <w:ilvl w:val="1"/>
          <w:numId w:val="1"/>
        </w:numPr>
        <w:snapToGrid w:val="0"/>
        <w:ind w:leftChars="0" w:left="448" w:hanging="448"/>
        <w:jc w:val="both"/>
        <w:rPr>
          <w:rFonts w:ascii="Times New Roman" w:eastAsia="標楷體" w:hAnsi="Times New Roman"/>
          <w:color w:val="000000" w:themeColor="text1"/>
          <w:sz w:val="32"/>
          <w:szCs w:val="28"/>
        </w:rPr>
      </w:pPr>
      <w:r w:rsidRPr="005E758A">
        <w:rPr>
          <w:rFonts w:ascii="Times New Roman" w:eastAsia="標楷體" w:hAnsi="Times New Roman"/>
          <w:sz w:val="28"/>
          <w:szCs w:val="24"/>
        </w:rPr>
        <w:t>兒童權利</w:t>
      </w:r>
      <w:r w:rsidRPr="005E758A">
        <w:rPr>
          <w:rFonts w:ascii="Times New Roman" w:eastAsia="標楷體" w:hAnsi="Times New Roman"/>
          <w:sz w:val="28"/>
          <w:szCs w:val="28"/>
        </w:rPr>
        <w:t>委員會</w:t>
      </w:r>
      <w:r w:rsidRPr="005E758A">
        <w:rPr>
          <w:rFonts w:ascii="Times New Roman" w:eastAsia="標楷體" w:hAnsi="Times New Roman"/>
          <w:sz w:val="28"/>
          <w:szCs w:val="24"/>
        </w:rPr>
        <w:t>，第</w:t>
      </w:r>
      <w:r w:rsidRPr="005E758A">
        <w:rPr>
          <w:rFonts w:ascii="Times New Roman" w:eastAsia="標楷體" w:hAnsi="Times New Roman"/>
          <w:sz w:val="28"/>
          <w:szCs w:val="24"/>
        </w:rPr>
        <w:t>6</w:t>
      </w:r>
      <w:r w:rsidRPr="005E758A">
        <w:rPr>
          <w:rFonts w:ascii="Times New Roman" w:eastAsia="標楷體" w:hAnsi="Times New Roman"/>
          <w:sz w:val="28"/>
          <w:szCs w:val="24"/>
        </w:rPr>
        <w:t>號一般性意見「遠離原籍國無人陪伴和無父母陪伴的兒童待遇」。</w:t>
      </w:r>
      <w:r w:rsidRPr="005E758A">
        <w:rPr>
          <w:rFonts w:ascii="Times New Roman" w:eastAsia="標楷體" w:hAnsi="Times New Roman"/>
          <w:sz w:val="28"/>
          <w:szCs w:val="24"/>
        </w:rPr>
        <w:t>(Committee on the Rights of the Child, General Comment No. 6: Treatment of Unaccompanied and Separated Children Outside Their Country of Origin, U.N. Doc. CRC/GC/2005/6 (Sep. 1, 2005).)</w:t>
      </w:r>
    </w:p>
    <w:p w14:paraId="35D6FE9E" w14:textId="77777777" w:rsidR="001C71D0" w:rsidRPr="005E758A" w:rsidRDefault="001C71D0" w:rsidP="001C71D0">
      <w:pPr>
        <w:pStyle w:val="a0"/>
        <w:numPr>
          <w:ilvl w:val="1"/>
          <w:numId w:val="1"/>
        </w:numPr>
        <w:snapToGrid w:val="0"/>
        <w:ind w:leftChars="0" w:left="448" w:hanging="448"/>
        <w:jc w:val="both"/>
        <w:rPr>
          <w:rFonts w:ascii="Times New Roman" w:eastAsia="標楷體" w:hAnsi="Times New Roman"/>
          <w:color w:val="000000" w:themeColor="text1"/>
          <w:sz w:val="28"/>
          <w:szCs w:val="28"/>
        </w:rPr>
      </w:pPr>
      <w:r w:rsidRPr="005E758A">
        <w:rPr>
          <w:rFonts w:ascii="Times New Roman" w:eastAsia="標楷體" w:hAnsi="Times New Roman"/>
          <w:sz w:val="28"/>
          <w:szCs w:val="28"/>
        </w:rPr>
        <w:t>林沛君，兒少人權向前行，臺北市，台灣展翅協會，</w:t>
      </w:r>
      <w:r w:rsidRPr="005E758A">
        <w:rPr>
          <w:rFonts w:ascii="Times New Roman" w:eastAsia="標楷體" w:hAnsi="Times New Roman"/>
          <w:sz w:val="28"/>
          <w:szCs w:val="28"/>
        </w:rPr>
        <w:t>2015</w:t>
      </w:r>
      <w:r w:rsidRPr="005E758A">
        <w:rPr>
          <w:rFonts w:ascii="Times New Roman" w:eastAsia="標楷體" w:hAnsi="Times New Roman"/>
          <w:sz w:val="28"/>
          <w:szCs w:val="28"/>
        </w:rPr>
        <w:t>年</w:t>
      </w:r>
      <w:r w:rsidRPr="005E758A">
        <w:rPr>
          <w:rFonts w:ascii="Times New Roman" w:eastAsia="標楷體" w:hAnsi="Times New Roman"/>
          <w:sz w:val="28"/>
          <w:szCs w:val="28"/>
        </w:rPr>
        <w:t>4</w:t>
      </w:r>
      <w:r w:rsidRPr="005E758A">
        <w:rPr>
          <w:rFonts w:ascii="Times New Roman" w:eastAsia="標楷體" w:hAnsi="Times New Roman"/>
          <w:sz w:val="28"/>
          <w:szCs w:val="28"/>
        </w:rPr>
        <w:t>月。</w:t>
      </w:r>
    </w:p>
    <w:p w14:paraId="13F2C42D" w14:textId="77777777" w:rsidR="001C71D0" w:rsidRPr="005E758A" w:rsidRDefault="001C71D0" w:rsidP="001C71D0">
      <w:pPr>
        <w:snapToGrid w:val="0"/>
        <w:spacing w:beforeLines="50" w:before="180" w:afterLines="50" w:after="180"/>
        <w:rPr>
          <w:color w:val="000000" w:themeColor="text1"/>
          <w:sz w:val="28"/>
          <w:szCs w:val="28"/>
        </w:rPr>
      </w:pPr>
    </w:p>
    <w:p w14:paraId="635C9E7B" w14:textId="77777777" w:rsidR="001C71D0" w:rsidRPr="005E758A" w:rsidRDefault="001C71D0" w:rsidP="001C71D0">
      <w:pPr>
        <w:snapToGrid w:val="0"/>
        <w:spacing w:beforeLines="50" w:before="180" w:afterLines="50" w:after="180"/>
        <w:rPr>
          <w:color w:val="000000" w:themeColor="text1"/>
          <w:sz w:val="28"/>
          <w:szCs w:val="28"/>
        </w:rPr>
      </w:pPr>
      <w:r w:rsidRPr="005E758A">
        <w:rPr>
          <w:color w:val="000000" w:themeColor="text1"/>
          <w:sz w:val="28"/>
          <w:szCs w:val="28"/>
        </w:rPr>
        <w:lastRenderedPageBreak/>
        <w:t>關鍵字：難民、庇護、監護人、兒童身分確認</w:t>
      </w:r>
    </w:p>
    <w:p w14:paraId="7338ADFF" w14:textId="77777777" w:rsidR="001C71D0" w:rsidRPr="005E758A" w:rsidRDefault="001C71D0" w:rsidP="00CC1907">
      <w:pPr>
        <w:pStyle w:val="1"/>
        <w:sectPr w:rsidR="001C71D0" w:rsidRPr="005E758A">
          <w:endnotePr>
            <w:numFmt w:val="decimal"/>
            <w:numRestart w:val="eachSect"/>
          </w:endnotePr>
          <w:pgSz w:w="11906" w:h="16838"/>
          <w:pgMar w:top="1440" w:right="1800" w:bottom="1440" w:left="1800" w:header="851" w:footer="992" w:gutter="0"/>
          <w:cols w:space="425"/>
          <w:docGrid w:type="lines" w:linePitch="360"/>
        </w:sectPr>
      </w:pPr>
    </w:p>
    <w:p w14:paraId="6077FD41" w14:textId="77777777" w:rsidR="0067212E" w:rsidRDefault="0067212E" w:rsidP="0067212E">
      <w:pPr>
        <w:pStyle w:val="1"/>
        <w:rPr>
          <w:sz w:val="28"/>
          <w:szCs w:val="28"/>
        </w:rPr>
      </w:pPr>
      <w:bookmarkStart w:id="69" w:name="_Toc431072739"/>
      <w:r w:rsidRPr="005E758A">
        <w:lastRenderedPageBreak/>
        <w:t>第</w:t>
      </w:r>
      <w:r w:rsidRPr="005E758A">
        <w:t>23</w:t>
      </w:r>
      <w:r w:rsidRPr="005E758A">
        <w:t>條</w:t>
      </w:r>
      <w:r>
        <w:rPr>
          <w:rFonts w:hint="eastAsia"/>
        </w:rPr>
        <w:t xml:space="preserve">　身障兒童</w:t>
      </w:r>
      <w:bookmarkEnd w:id="69"/>
    </w:p>
    <w:tbl>
      <w:tblPr>
        <w:tblW w:w="82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8220"/>
      </w:tblGrid>
      <w:tr w:rsidR="0067212E" w:rsidRPr="005E758A" w14:paraId="73635D66" w14:textId="77777777" w:rsidTr="0067212E">
        <w:trPr>
          <w:jc w:val="center"/>
        </w:trPr>
        <w:tc>
          <w:tcPr>
            <w:tcW w:w="8220" w:type="dxa"/>
          </w:tcPr>
          <w:p w14:paraId="763B9CEC" w14:textId="77777777" w:rsidR="0067212E" w:rsidRPr="005E758A" w:rsidRDefault="0067212E" w:rsidP="002B035C">
            <w:pPr>
              <w:pStyle w:val="a0"/>
              <w:numPr>
                <w:ilvl w:val="0"/>
                <w:numId w:val="53"/>
              </w:numPr>
              <w:snapToGrid w:val="0"/>
              <w:spacing w:before="100" w:beforeAutospacing="1" w:after="100" w:afterAutospacing="1"/>
              <w:ind w:leftChars="0"/>
              <w:jc w:val="both"/>
              <w:rPr>
                <w:rFonts w:ascii="Times New Roman" w:eastAsia="標楷體" w:hAnsi="Times New Roman"/>
                <w:sz w:val="28"/>
                <w:szCs w:val="28"/>
              </w:rPr>
            </w:pPr>
            <w:r w:rsidRPr="005E758A">
              <w:rPr>
                <w:rFonts w:ascii="Times New Roman" w:eastAsia="標楷體" w:hAnsi="Times New Roman"/>
                <w:sz w:val="28"/>
                <w:szCs w:val="28"/>
              </w:rPr>
              <w:t>締約國體認身心障礙兒童，應於確保其尊嚴、促進其自立、有利於其積極參與社會環境下，享有完整與一般之生活。</w:t>
            </w:r>
          </w:p>
          <w:p w14:paraId="680002AB" w14:textId="77777777" w:rsidR="0067212E" w:rsidRPr="005E758A" w:rsidRDefault="0067212E" w:rsidP="002B035C">
            <w:pPr>
              <w:pStyle w:val="a0"/>
              <w:numPr>
                <w:ilvl w:val="0"/>
                <w:numId w:val="53"/>
              </w:numPr>
              <w:snapToGrid w:val="0"/>
              <w:spacing w:before="100" w:beforeAutospacing="1" w:after="100" w:afterAutospacing="1"/>
              <w:ind w:leftChars="0"/>
              <w:jc w:val="both"/>
              <w:rPr>
                <w:rFonts w:ascii="Times New Roman" w:eastAsia="標楷體" w:hAnsi="Times New Roman"/>
                <w:sz w:val="28"/>
                <w:szCs w:val="28"/>
              </w:rPr>
            </w:pPr>
            <w:r w:rsidRPr="005E758A">
              <w:rPr>
                <w:rFonts w:ascii="Times New Roman" w:eastAsia="標楷體" w:hAnsi="Times New Roman"/>
                <w:sz w:val="28"/>
                <w:szCs w:val="28"/>
              </w:rPr>
              <w:t>締約國承認身心障礙兒童有受特別照顧之權利，且應鼓勵並確保在現有資源範圍內，依據申請，斟酌兒童與其父母或其他照顧人之情況，對符合資格之兒童及其照顧者提供協助。</w:t>
            </w:r>
          </w:p>
          <w:p w14:paraId="63733A8D" w14:textId="77777777" w:rsidR="0067212E" w:rsidRPr="005E758A" w:rsidRDefault="0067212E" w:rsidP="002B035C">
            <w:pPr>
              <w:pStyle w:val="a0"/>
              <w:numPr>
                <w:ilvl w:val="0"/>
                <w:numId w:val="53"/>
              </w:numPr>
              <w:snapToGrid w:val="0"/>
              <w:spacing w:before="100" w:beforeAutospacing="1" w:after="100" w:afterAutospacing="1"/>
              <w:ind w:leftChars="0"/>
              <w:jc w:val="both"/>
              <w:rPr>
                <w:rFonts w:ascii="Times New Roman" w:eastAsia="標楷體" w:hAnsi="Times New Roman"/>
                <w:sz w:val="28"/>
                <w:szCs w:val="28"/>
              </w:rPr>
            </w:pPr>
            <w:r w:rsidRPr="005E758A">
              <w:rPr>
                <w:rFonts w:ascii="Times New Roman" w:eastAsia="標楷體" w:hAnsi="Times New Roman"/>
                <w:sz w:val="28"/>
                <w:szCs w:val="28"/>
              </w:rPr>
              <w:t>有鑒於身心障礙兒童之特殊需求，並考慮兒童的父母或其他照顧者之經濟情況，盡可能免費提供本條第</w:t>
            </w:r>
            <w:r w:rsidRPr="005E758A">
              <w:rPr>
                <w:rFonts w:ascii="Times New Roman" w:eastAsia="標楷體" w:hAnsi="Times New Roman"/>
                <w:sz w:val="28"/>
                <w:szCs w:val="28"/>
              </w:rPr>
              <w:t>2</w:t>
            </w:r>
            <w:r w:rsidRPr="005E758A">
              <w:rPr>
                <w:rFonts w:ascii="Times New Roman" w:eastAsia="標楷體" w:hAnsi="Times New Roman"/>
                <w:sz w:val="28"/>
                <w:szCs w:val="28"/>
              </w:rPr>
              <w:t>項之協助，並應用以確保身心障礙兒童能有效地獲得與接受教育、訓練、健康照顧服務、復健服務、職前準備以及休閒機會，促進該兒童盡可能充分地融入社會與實現個人發展，包括其文化及精神之發展。</w:t>
            </w:r>
          </w:p>
          <w:p w14:paraId="569A2AA8" w14:textId="77777777" w:rsidR="0067212E" w:rsidRPr="005E758A" w:rsidRDefault="0067212E" w:rsidP="002B035C">
            <w:pPr>
              <w:pStyle w:val="a0"/>
              <w:numPr>
                <w:ilvl w:val="0"/>
                <w:numId w:val="53"/>
              </w:numPr>
              <w:snapToGrid w:val="0"/>
              <w:spacing w:before="100" w:beforeAutospacing="1" w:after="100" w:afterAutospacing="1"/>
              <w:ind w:leftChars="0"/>
              <w:jc w:val="both"/>
              <w:rPr>
                <w:rFonts w:ascii="Times New Roman" w:eastAsia="標楷體" w:hAnsi="Times New Roman"/>
                <w:i/>
              </w:rPr>
            </w:pPr>
            <w:r w:rsidRPr="005E758A">
              <w:rPr>
                <w:rFonts w:ascii="Times New Roman" w:eastAsia="標楷體" w:hAnsi="Times New Roman"/>
                <w:sz w:val="28"/>
                <w:szCs w:val="28"/>
              </w:rPr>
              <w:t>締約國應本國際合作精神，促進預防健康照顧以及身心障礙兒童的醫療、心理與功能治療領域交換適當資訊，包括散播與取得有關復健方法、教育以及就業服務相關資料，以使締約國能夠增進該等領域之能力、技術並擴大其經驗。就此，尤應特別考慮發展中國家之需要。</w:t>
            </w:r>
          </w:p>
        </w:tc>
      </w:tr>
    </w:tbl>
    <w:p w14:paraId="46030140" w14:textId="77777777" w:rsidR="0067212E" w:rsidRPr="0067212E" w:rsidRDefault="0067212E" w:rsidP="0067212E">
      <w:pPr>
        <w:snapToGrid w:val="0"/>
        <w:spacing w:before="100" w:beforeAutospacing="1" w:after="100" w:afterAutospacing="1"/>
        <w:jc w:val="both"/>
        <w:rPr>
          <w:sz w:val="28"/>
          <w:szCs w:val="28"/>
        </w:rPr>
      </w:pPr>
    </w:p>
    <w:p w14:paraId="7C53BD01" w14:textId="77777777" w:rsidR="00CC1907" w:rsidRPr="005E758A" w:rsidRDefault="00CC1907" w:rsidP="007119F4">
      <w:pPr>
        <w:pStyle w:val="2"/>
        <w:numPr>
          <w:ilvl w:val="0"/>
          <w:numId w:val="58"/>
        </w:numPr>
        <w:rPr>
          <w:szCs w:val="28"/>
        </w:rPr>
      </w:pPr>
      <w:r w:rsidRPr="005E758A">
        <w:rPr>
          <w:szCs w:val="28"/>
        </w:rPr>
        <w:t>規範宗旨</w:t>
      </w:r>
    </w:p>
    <w:p w14:paraId="3386B784" w14:textId="77777777" w:rsidR="00CC1907" w:rsidRPr="005E758A" w:rsidRDefault="00CC1907" w:rsidP="00CC1907">
      <w:pPr>
        <w:pStyle w:val="a0"/>
        <w:snapToGrid w:val="0"/>
        <w:spacing w:before="100" w:beforeAutospacing="1" w:after="100" w:afterAutospacing="1"/>
        <w:ind w:leftChars="0" w:left="0" w:firstLineChars="200" w:firstLine="560"/>
        <w:jc w:val="both"/>
        <w:rPr>
          <w:rFonts w:ascii="Times New Roman" w:eastAsia="標楷體" w:hAnsi="Times New Roman"/>
          <w:sz w:val="28"/>
          <w:szCs w:val="28"/>
        </w:rPr>
      </w:pPr>
      <w:r w:rsidRPr="005E758A">
        <w:rPr>
          <w:rFonts w:ascii="Times New Roman" w:eastAsia="標楷體" w:hAnsi="Times New Roman"/>
          <w:sz w:val="28"/>
          <w:szCs w:val="28"/>
        </w:rPr>
        <w:t>本條規範係以「身心障礙兒童」作保障對象，故與第</w:t>
      </w:r>
      <w:r w:rsidRPr="005E758A">
        <w:rPr>
          <w:rFonts w:ascii="Times New Roman" w:eastAsia="標楷體" w:hAnsi="Times New Roman"/>
          <w:sz w:val="28"/>
          <w:szCs w:val="28"/>
        </w:rPr>
        <w:t>2</w:t>
      </w:r>
      <w:r w:rsidRPr="005E758A">
        <w:rPr>
          <w:rFonts w:ascii="Times New Roman" w:eastAsia="標楷體" w:hAnsi="Times New Roman"/>
          <w:sz w:val="28"/>
          <w:szCs w:val="28"/>
        </w:rPr>
        <w:t>條禁止歧視之規定具有直接關聯性。本條強調國家應積極採取必要行動以使身心障礙兒童能在機會均等的情況下行使公約的各項權利。</w:t>
      </w:r>
    </w:p>
    <w:p w14:paraId="523B0903" w14:textId="77777777" w:rsidR="00CC1907" w:rsidRPr="005E758A" w:rsidRDefault="00CC1907" w:rsidP="00CC1907">
      <w:pPr>
        <w:pStyle w:val="a0"/>
        <w:snapToGrid w:val="0"/>
        <w:spacing w:before="100" w:beforeAutospacing="1" w:after="100" w:afterAutospacing="1"/>
        <w:ind w:leftChars="0" w:left="0" w:firstLineChars="200" w:firstLine="560"/>
        <w:jc w:val="both"/>
        <w:rPr>
          <w:rFonts w:ascii="Times New Roman" w:eastAsia="標楷體" w:hAnsi="Times New Roman"/>
          <w:sz w:val="28"/>
          <w:szCs w:val="28"/>
        </w:rPr>
      </w:pPr>
      <w:r w:rsidRPr="005E758A">
        <w:rPr>
          <w:rFonts w:ascii="Times New Roman" w:eastAsia="標楷體" w:hAnsi="Times New Roman"/>
          <w:sz w:val="28"/>
          <w:szCs w:val="28"/>
        </w:rPr>
        <w:t>兒童權利委員會曾明確指出，身心障礙兒童權利保障之落實應該要以本條第</w:t>
      </w:r>
      <w:r w:rsidRPr="005E758A">
        <w:rPr>
          <w:rFonts w:ascii="Times New Roman" w:eastAsia="標楷體" w:hAnsi="Times New Roman"/>
          <w:sz w:val="28"/>
          <w:szCs w:val="28"/>
        </w:rPr>
        <w:t>1</w:t>
      </w:r>
      <w:r w:rsidRPr="005E758A">
        <w:rPr>
          <w:rFonts w:ascii="Times New Roman" w:eastAsia="標楷體" w:hAnsi="Times New Roman"/>
          <w:sz w:val="28"/>
          <w:szCs w:val="28"/>
        </w:rPr>
        <w:t>項所要求之「確保其尊嚴、促進其自立、有利於其積極參與社會環境下，享有完整與一般之生活」為指導原則；而此原則的核心即在於促使身心障礙兒童能夠最大程度地融入社會</w:t>
      </w:r>
      <w:bookmarkStart w:id="70" w:name="_Ref429393150"/>
      <w:r w:rsidRPr="005E758A">
        <w:rPr>
          <w:rStyle w:val="af3"/>
          <w:rFonts w:ascii="Times New Roman" w:eastAsia="標楷體" w:hAnsi="Times New Roman"/>
        </w:rPr>
        <w:endnoteReference w:id="305"/>
      </w:r>
      <w:bookmarkEnd w:id="70"/>
      <w:r w:rsidRPr="005E758A">
        <w:rPr>
          <w:rFonts w:ascii="Times New Roman" w:eastAsia="標楷體" w:hAnsi="Times New Roman"/>
          <w:sz w:val="28"/>
          <w:szCs w:val="28"/>
        </w:rPr>
        <w:t>。</w:t>
      </w:r>
    </w:p>
    <w:p w14:paraId="3DD58B8F" w14:textId="77777777" w:rsidR="00CC1907" w:rsidRPr="005E758A" w:rsidRDefault="00CC1907" w:rsidP="00CC1907">
      <w:pPr>
        <w:pStyle w:val="2"/>
      </w:pPr>
      <w:r w:rsidRPr="005E758A">
        <w:t>條文要義</w:t>
      </w:r>
    </w:p>
    <w:p w14:paraId="4457D420" w14:textId="77777777" w:rsidR="00CC1907" w:rsidRPr="005E758A" w:rsidRDefault="00CC1907" w:rsidP="007119F4">
      <w:pPr>
        <w:pStyle w:val="3"/>
        <w:numPr>
          <w:ilvl w:val="0"/>
          <w:numId w:val="59"/>
        </w:numPr>
      </w:pPr>
      <w:r w:rsidRPr="005E758A">
        <w:t>第</w:t>
      </w:r>
      <w:r w:rsidRPr="005E758A">
        <w:t>23</w:t>
      </w:r>
      <w:r w:rsidRPr="005E758A">
        <w:t>條第</w:t>
      </w:r>
      <w:r w:rsidRPr="005E758A">
        <w:t>1</w:t>
      </w:r>
      <w:r w:rsidRPr="005E758A">
        <w:t>項</w:t>
      </w:r>
      <w:bookmarkStart w:id="71" w:name="_Ref429373237"/>
      <w:r w:rsidRPr="005E758A">
        <w:rPr>
          <w:rStyle w:val="af3"/>
        </w:rPr>
        <w:endnoteReference w:id="306"/>
      </w:r>
      <w:bookmarkEnd w:id="71"/>
    </w:p>
    <w:p w14:paraId="7871AE08" w14:textId="77777777" w:rsidR="00CC1907" w:rsidRPr="005E758A" w:rsidRDefault="00CC1907" w:rsidP="00CC1907">
      <w:pPr>
        <w:pStyle w:val="a0"/>
        <w:snapToGrid w:val="0"/>
        <w:spacing w:before="100" w:beforeAutospacing="1" w:after="100" w:afterAutospacing="1"/>
        <w:ind w:leftChars="0" w:left="0" w:firstLineChars="200" w:firstLine="560"/>
        <w:jc w:val="both"/>
        <w:rPr>
          <w:rFonts w:ascii="Times New Roman" w:eastAsia="標楷體" w:hAnsi="Times New Roman"/>
          <w:sz w:val="28"/>
          <w:szCs w:val="28"/>
        </w:rPr>
      </w:pPr>
      <w:r w:rsidRPr="005E758A">
        <w:rPr>
          <w:rFonts w:ascii="Times New Roman" w:eastAsia="標楷體" w:hAnsi="Times New Roman"/>
          <w:sz w:val="28"/>
          <w:szCs w:val="28"/>
        </w:rPr>
        <w:t>公約並未就「身心障礙」提供定義，而兒童權利委員會於第</w:t>
      </w:r>
      <w:r w:rsidRPr="005E758A">
        <w:rPr>
          <w:rFonts w:ascii="Times New Roman" w:eastAsia="標楷體" w:hAnsi="Times New Roman"/>
          <w:sz w:val="28"/>
          <w:szCs w:val="28"/>
        </w:rPr>
        <w:t>9</w:t>
      </w:r>
      <w:r w:rsidRPr="005E758A">
        <w:rPr>
          <w:rFonts w:ascii="Times New Roman" w:eastAsia="標楷體" w:hAnsi="Times New Roman"/>
          <w:sz w:val="28"/>
          <w:szCs w:val="28"/>
        </w:rPr>
        <w:t>號一般性意見（身心障礙兒童之權利）即係援引「身心障礙者權利公約」第</w:t>
      </w:r>
      <w:r w:rsidRPr="005E758A">
        <w:rPr>
          <w:rFonts w:ascii="Times New Roman" w:eastAsia="標楷體" w:hAnsi="Times New Roman"/>
          <w:sz w:val="28"/>
          <w:szCs w:val="28"/>
        </w:rPr>
        <w:t>1</w:t>
      </w:r>
      <w:r w:rsidRPr="005E758A">
        <w:rPr>
          <w:rFonts w:ascii="Times New Roman" w:eastAsia="標楷體" w:hAnsi="Times New Roman"/>
          <w:sz w:val="28"/>
          <w:szCs w:val="28"/>
        </w:rPr>
        <w:t>條第</w:t>
      </w:r>
      <w:r w:rsidRPr="005E758A">
        <w:rPr>
          <w:rFonts w:ascii="Times New Roman" w:eastAsia="標楷體" w:hAnsi="Times New Roman"/>
          <w:sz w:val="28"/>
          <w:szCs w:val="28"/>
        </w:rPr>
        <w:t>2</w:t>
      </w:r>
      <w:r w:rsidRPr="005E758A">
        <w:rPr>
          <w:rFonts w:ascii="Times New Roman" w:eastAsia="標楷體" w:hAnsi="Times New Roman"/>
          <w:sz w:val="28"/>
          <w:szCs w:val="28"/>
        </w:rPr>
        <w:t>項之定義，亦即身心障礙者係指「包括身體、精神、智力或感覺器官長期受到損害，且這些損害使他們在與他人全面平等參與</w:t>
      </w:r>
      <w:r w:rsidRPr="005E758A">
        <w:rPr>
          <w:rFonts w:ascii="Times New Roman" w:eastAsia="標楷體" w:hAnsi="Times New Roman"/>
          <w:sz w:val="28"/>
          <w:szCs w:val="28"/>
        </w:rPr>
        <w:lastRenderedPageBreak/>
        <w:t>社會的基礎上產生困難」</w:t>
      </w:r>
      <w:r w:rsidRPr="005E758A">
        <w:rPr>
          <w:rStyle w:val="af3"/>
          <w:rFonts w:ascii="Times New Roman" w:eastAsia="標楷體" w:hAnsi="Times New Roman"/>
        </w:rPr>
        <w:endnoteReference w:id="307"/>
      </w:r>
      <w:r w:rsidRPr="005E758A">
        <w:rPr>
          <w:rFonts w:ascii="Times New Roman" w:eastAsia="標楷體" w:hAnsi="Times New Roman"/>
          <w:sz w:val="28"/>
          <w:szCs w:val="28"/>
        </w:rPr>
        <w:t>。</w:t>
      </w:r>
    </w:p>
    <w:p w14:paraId="3C2E6404" w14:textId="77777777" w:rsidR="00CC1907" w:rsidRPr="005E758A" w:rsidRDefault="00CC1907" w:rsidP="00CC1907">
      <w:pPr>
        <w:pStyle w:val="a0"/>
        <w:snapToGrid w:val="0"/>
        <w:spacing w:before="100" w:beforeAutospacing="1" w:after="100" w:afterAutospacing="1"/>
        <w:ind w:leftChars="0" w:left="0" w:firstLineChars="200" w:firstLine="560"/>
        <w:jc w:val="both"/>
        <w:rPr>
          <w:rFonts w:ascii="Times New Roman" w:eastAsia="標楷體" w:hAnsi="Times New Roman"/>
          <w:sz w:val="28"/>
          <w:szCs w:val="28"/>
        </w:rPr>
      </w:pPr>
      <w:r w:rsidRPr="005E758A">
        <w:rPr>
          <w:rFonts w:ascii="Times New Roman" w:eastAsia="標楷體" w:hAnsi="Times New Roman"/>
          <w:sz w:val="28"/>
          <w:szCs w:val="28"/>
        </w:rPr>
        <w:t>就身心障礙兒童「確保其尊嚴、促進其自立、有利於其積極參與社會環境下，享有完整與一般之生活」的義務而言，依據兒童權利委員會於第</w:t>
      </w:r>
      <w:r w:rsidRPr="005E758A">
        <w:rPr>
          <w:rFonts w:ascii="Times New Roman" w:eastAsia="標楷體" w:hAnsi="Times New Roman"/>
          <w:sz w:val="28"/>
          <w:szCs w:val="28"/>
        </w:rPr>
        <w:t>9</w:t>
      </w:r>
      <w:r w:rsidRPr="005E758A">
        <w:rPr>
          <w:rFonts w:ascii="Times New Roman" w:eastAsia="標楷體" w:hAnsi="Times New Roman"/>
          <w:sz w:val="28"/>
          <w:szCs w:val="28"/>
        </w:rPr>
        <w:t>號一般性意見之闡釋，此段文字所欲傳遞之核心訊息為「應該促使身心障礙者融入社會」。故而，國家依據本條規範所</w:t>
      </w:r>
      <w:proofErr w:type="gramStart"/>
      <w:r w:rsidRPr="005E758A">
        <w:rPr>
          <w:rFonts w:ascii="Times New Roman" w:eastAsia="標楷體" w:hAnsi="Times New Roman"/>
          <w:sz w:val="28"/>
          <w:szCs w:val="28"/>
        </w:rPr>
        <w:t>採</w:t>
      </w:r>
      <w:proofErr w:type="gramEnd"/>
      <w:r w:rsidRPr="005E758A">
        <w:rPr>
          <w:rFonts w:ascii="Times New Roman" w:eastAsia="標楷體" w:hAnsi="Times New Roman"/>
          <w:sz w:val="28"/>
          <w:szCs w:val="28"/>
        </w:rPr>
        <w:t>行之各項措施應以此為目標，亦即保障身心障礙兒童能在尊嚴、促進其自立、有利於其積極參與社會的環境下，享有完整而一般的生活</w:t>
      </w:r>
      <w:r w:rsidRPr="005E758A">
        <w:rPr>
          <w:rStyle w:val="af3"/>
          <w:rFonts w:ascii="Times New Roman" w:eastAsia="標楷體" w:hAnsi="Times New Roman"/>
        </w:rPr>
        <w:endnoteReference w:id="308"/>
      </w:r>
      <w:r w:rsidRPr="005E758A">
        <w:rPr>
          <w:rFonts w:ascii="Times New Roman" w:eastAsia="標楷體" w:hAnsi="Times New Roman"/>
          <w:sz w:val="28"/>
          <w:szCs w:val="28"/>
        </w:rPr>
        <w:t>。此處應一併討論者為身心障礙兒童「參與」的議題，其中特別值得關注的事項包括：</w:t>
      </w:r>
    </w:p>
    <w:p w14:paraId="5ABFB1B6" w14:textId="77777777" w:rsidR="00CC1907" w:rsidRPr="005E758A" w:rsidRDefault="00CC1907" w:rsidP="00F02A5C">
      <w:pPr>
        <w:pStyle w:val="a0"/>
        <w:numPr>
          <w:ilvl w:val="4"/>
          <w:numId w:val="114"/>
        </w:numPr>
        <w:snapToGrid w:val="0"/>
        <w:spacing w:before="100" w:beforeAutospacing="1" w:after="100" w:afterAutospacing="1"/>
        <w:ind w:left="837" w:hanging="357"/>
        <w:jc w:val="both"/>
        <w:rPr>
          <w:rFonts w:ascii="Times New Roman" w:eastAsia="標楷體" w:hAnsi="Times New Roman"/>
          <w:sz w:val="28"/>
          <w:szCs w:val="28"/>
        </w:rPr>
      </w:pPr>
      <w:r w:rsidRPr="005E758A">
        <w:rPr>
          <w:rFonts w:ascii="Times New Roman" w:eastAsia="標楷體" w:hAnsi="Times New Roman"/>
          <w:sz w:val="28"/>
          <w:szCs w:val="28"/>
        </w:rPr>
        <w:t>相關決策的參與</w:t>
      </w:r>
      <w:r w:rsidRPr="005E758A">
        <w:rPr>
          <w:rFonts w:ascii="Times New Roman" w:eastAsia="標楷體" w:hAnsi="Times New Roman"/>
          <w:sz w:val="28"/>
          <w:szCs w:val="28"/>
        </w:rPr>
        <w:t>-</w:t>
      </w:r>
      <w:r w:rsidRPr="005E758A">
        <w:rPr>
          <w:rFonts w:ascii="Times New Roman" w:eastAsia="標楷體" w:hAnsi="Times New Roman"/>
          <w:sz w:val="28"/>
          <w:szCs w:val="28"/>
        </w:rPr>
        <w:t>依據兒童權利委員會之說明，與身心障礙兒童相關之政策及事項通常是由成年的身心障礙者或其他成人所決定，故多未能反映身心障礙兒童的想法。該委員會鼓勵各國國會及相關單位邀請身心障礙兒童代表參與決策的作成，以確保其需求獲得傾聽並提供他們融入社會的管道</w:t>
      </w:r>
      <w:r w:rsidRPr="005E758A">
        <w:rPr>
          <w:rStyle w:val="af3"/>
          <w:rFonts w:ascii="Times New Roman" w:eastAsia="標楷體" w:hAnsi="Times New Roman"/>
        </w:rPr>
        <w:endnoteReference w:id="309"/>
      </w:r>
      <w:r w:rsidRPr="005E758A">
        <w:rPr>
          <w:rFonts w:ascii="Times New Roman" w:eastAsia="標楷體" w:hAnsi="Times New Roman"/>
          <w:sz w:val="28"/>
          <w:szCs w:val="28"/>
        </w:rPr>
        <w:t>。</w:t>
      </w:r>
    </w:p>
    <w:p w14:paraId="07117F2B" w14:textId="77777777" w:rsidR="00CC1907" w:rsidRPr="005E758A" w:rsidRDefault="00CC1907" w:rsidP="00F02A5C">
      <w:pPr>
        <w:pStyle w:val="a0"/>
        <w:numPr>
          <w:ilvl w:val="4"/>
          <w:numId w:val="114"/>
        </w:numPr>
        <w:snapToGrid w:val="0"/>
        <w:spacing w:before="100" w:beforeAutospacing="1" w:after="100" w:afterAutospacing="1"/>
        <w:ind w:left="837" w:hanging="357"/>
        <w:jc w:val="both"/>
        <w:rPr>
          <w:rFonts w:ascii="Times New Roman" w:eastAsia="標楷體" w:hAnsi="Times New Roman"/>
          <w:sz w:val="28"/>
          <w:szCs w:val="28"/>
        </w:rPr>
      </w:pPr>
      <w:r w:rsidRPr="005E758A">
        <w:rPr>
          <w:rFonts w:ascii="Times New Roman" w:eastAsia="標楷體" w:hAnsi="Times New Roman"/>
          <w:sz w:val="28"/>
          <w:szCs w:val="28"/>
        </w:rPr>
        <w:t>「融入性教育模式」</w:t>
      </w:r>
      <w:r w:rsidRPr="005E758A">
        <w:rPr>
          <w:rFonts w:ascii="Times New Roman" w:eastAsia="標楷體" w:hAnsi="Times New Roman"/>
          <w:sz w:val="28"/>
          <w:szCs w:val="28"/>
        </w:rPr>
        <w:t>(inclusive education)-</w:t>
      </w:r>
      <w:r w:rsidRPr="005E758A">
        <w:rPr>
          <w:rFonts w:ascii="Times New Roman" w:eastAsia="標楷體" w:hAnsi="Times New Roman"/>
          <w:sz w:val="28"/>
          <w:szCs w:val="28"/>
        </w:rPr>
        <w:t>兒童權利委員會特別強調身心障礙兒童「融入」一般學校體系的重要性。此基礎理念為身心障礙兒童應與其他兒童享有接受一般教育的機會，因此國家應針對其需求提供「合理安排」</w:t>
      </w:r>
      <w:r w:rsidRPr="005E758A">
        <w:rPr>
          <w:rFonts w:ascii="Times New Roman" w:eastAsia="標楷體" w:hAnsi="Times New Roman"/>
          <w:sz w:val="28"/>
          <w:szCs w:val="28"/>
        </w:rPr>
        <w:t>(reasonable accommodation)</w:t>
      </w:r>
      <w:r w:rsidRPr="005E758A">
        <w:rPr>
          <w:rFonts w:ascii="Times New Roman" w:eastAsia="標楷體" w:hAnsi="Times New Roman"/>
          <w:sz w:val="28"/>
          <w:szCs w:val="28"/>
        </w:rPr>
        <w:t>，協助該等兒童融入一般的學校與教育體系</w:t>
      </w:r>
      <w:r w:rsidRPr="005E758A">
        <w:rPr>
          <w:rStyle w:val="af3"/>
          <w:rFonts w:ascii="Times New Roman" w:eastAsia="標楷體" w:hAnsi="Times New Roman"/>
        </w:rPr>
        <w:endnoteReference w:id="310"/>
      </w:r>
      <w:r w:rsidRPr="005E758A">
        <w:rPr>
          <w:rFonts w:ascii="Times New Roman" w:eastAsia="標楷體" w:hAnsi="Times New Roman"/>
          <w:sz w:val="28"/>
          <w:szCs w:val="28"/>
        </w:rPr>
        <w:t>。</w:t>
      </w:r>
    </w:p>
    <w:p w14:paraId="45484540" w14:textId="77777777" w:rsidR="00CC1907" w:rsidRPr="005E758A" w:rsidRDefault="00CC1907" w:rsidP="007119F4">
      <w:pPr>
        <w:pStyle w:val="3"/>
        <w:numPr>
          <w:ilvl w:val="0"/>
          <w:numId w:val="59"/>
        </w:numPr>
      </w:pPr>
      <w:r w:rsidRPr="005E758A">
        <w:t>第</w:t>
      </w:r>
      <w:r w:rsidRPr="005E758A">
        <w:t>23</w:t>
      </w:r>
      <w:r w:rsidRPr="005E758A">
        <w:t>條第</w:t>
      </w:r>
      <w:r w:rsidRPr="005E758A">
        <w:t>2</w:t>
      </w:r>
      <w:r w:rsidRPr="005E758A">
        <w:t>項及第</w:t>
      </w:r>
      <w:r w:rsidRPr="005E758A">
        <w:t>3</w:t>
      </w:r>
      <w:r w:rsidRPr="005E758A">
        <w:t>項</w:t>
      </w:r>
    </w:p>
    <w:p w14:paraId="00957DAC" w14:textId="77777777" w:rsidR="00CC1907" w:rsidRPr="005E758A" w:rsidRDefault="00CC1907" w:rsidP="00CC1907">
      <w:pPr>
        <w:pStyle w:val="a0"/>
        <w:snapToGrid w:val="0"/>
        <w:spacing w:before="100" w:beforeAutospacing="1" w:after="100" w:afterAutospacing="1"/>
        <w:ind w:leftChars="0" w:left="0" w:firstLineChars="200" w:firstLine="560"/>
        <w:jc w:val="both"/>
        <w:rPr>
          <w:rFonts w:ascii="Times New Roman" w:eastAsia="標楷體" w:hAnsi="Times New Roman"/>
          <w:sz w:val="28"/>
          <w:szCs w:val="28"/>
        </w:rPr>
      </w:pPr>
      <w:r w:rsidRPr="005E758A">
        <w:rPr>
          <w:rFonts w:ascii="Times New Roman" w:eastAsia="標楷體" w:hAnsi="Times New Roman"/>
          <w:sz w:val="28"/>
          <w:szCs w:val="28"/>
        </w:rPr>
        <w:t>本條第</w:t>
      </w:r>
      <w:r w:rsidRPr="005E758A">
        <w:rPr>
          <w:rFonts w:ascii="Times New Roman" w:eastAsia="標楷體" w:hAnsi="Times New Roman"/>
          <w:sz w:val="28"/>
          <w:szCs w:val="28"/>
        </w:rPr>
        <w:t>2</w:t>
      </w:r>
      <w:r w:rsidRPr="005E758A">
        <w:rPr>
          <w:rFonts w:ascii="Times New Roman" w:eastAsia="標楷體" w:hAnsi="Times New Roman"/>
          <w:sz w:val="28"/>
          <w:szCs w:val="28"/>
        </w:rPr>
        <w:t>項及第</w:t>
      </w:r>
      <w:r w:rsidRPr="005E758A">
        <w:rPr>
          <w:rFonts w:ascii="Times New Roman" w:eastAsia="標楷體" w:hAnsi="Times New Roman"/>
          <w:sz w:val="28"/>
          <w:szCs w:val="28"/>
        </w:rPr>
        <w:t>3</w:t>
      </w:r>
      <w:r w:rsidRPr="005E758A">
        <w:rPr>
          <w:rFonts w:ascii="Times New Roman" w:eastAsia="標楷體" w:hAnsi="Times New Roman"/>
          <w:sz w:val="28"/>
          <w:szCs w:val="28"/>
        </w:rPr>
        <w:t>項的規範重點在於國家應採取「積極作為以使身心障礙兒童享有均等的機會」。</w:t>
      </w:r>
      <w:proofErr w:type="gramStart"/>
      <w:r w:rsidRPr="005E758A">
        <w:rPr>
          <w:rFonts w:ascii="Times New Roman" w:eastAsia="標楷體" w:hAnsi="Times New Roman"/>
          <w:sz w:val="28"/>
          <w:szCs w:val="28"/>
        </w:rPr>
        <w:t>再者，</w:t>
      </w:r>
      <w:proofErr w:type="gramEnd"/>
      <w:r w:rsidRPr="005E758A">
        <w:rPr>
          <w:rFonts w:ascii="Times New Roman" w:eastAsia="標楷體" w:hAnsi="Times New Roman"/>
          <w:sz w:val="28"/>
          <w:szCs w:val="28"/>
        </w:rPr>
        <w:t>就本條第</w:t>
      </w:r>
      <w:r w:rsidRPr="005E758A">
        <w:rPr>
          <w:rFonts w:ascii="Times New Roman" w:eastAsia="標楷體" w:hAnsi="Times New Roman"/>
          <w:sz w:val="28"/>
          <w:szCs w:val="28"/>
        </w:rPr>
        <w:t>3</w:t>
      </w:r>
      <w:r w:rsidRPr="005E758A">
        <w:rPr>
          <w:rFonts w:ascii="Times New Roman" w:eastAsia="標楷體" w:hAnsi="Times New Roman"/>
          <w:sz w:val="28"/>
          <w:szCs w:val="28"/>
        </w:rPr>
        <w:t>項所強調國家應協助身心障礙兒童「盡可能充分地融入社會」，依據</w:t>
      </w:r>
      <w:r w:rsidRPr="005E758A">
        <w:rPr>
          <w:rFonts w:ascii="Times New Roman" w:eastAsia="標楷體" w:hAnsi="Times New Roman"/>
          <w:sz w:val="28"/>
          <w:szCs w:val="28"/>
        </w:rPr>
        <w:t>UNICEF</w:t>
      </w:r>
      <w:r w:rsidRPr="005E758A">
        <w:rPr>
          <w:rFonts w:ascii="Times New Roman" w:eastAsia="標楷體" w:hAnsi="Times New Roman"/>
          <w:sz w:val="28"/>
          <w:szCs w:val="28"/>
        </w:rPr>
        <w:t>之說明，其所隱含的意思是盡可能不對該等兒童採取機構化的處遇方式。兒童權利委員會亦曾指出機構內所提供之教育與醫療標準經常不足以符合照顧身心障礙兒童之需求，故一再重申機構安置應屬最後手段的基本原則</w:t>
      </w:r>
      <w:r w:rsidRPr="005E758A">
        <w:rPr>
          <w:rStyle w:val="af3"/>
          <w:rFonts w:ascii="Times New Roman" w:eastAsia="標楷體" w:hAnsi="Times New Roman"/>
        </w:rPr>
        <w:endnoteReference w:id="311"/>
      </w:r>
      <w:r w:rsidRPr="005E758A">
        <w:rPr>
          <w:rFonts w:ascii="Times New Roman" w:eastAsia="標楷體" w:hAnsi="Times New Roman"/>
          <w:sz w:val="28"/>
          <w:szCs w:val="28"/>
        </w:rPr>
        <w:t>。</w:t>
      </w:r>
    </w:p>
    <w:p w14:paraId="0202E5A9" w14:textId="77777777" w:rsidR="00CC1907" w:rsidRPr="005E758A" w:rsidRDefault="00CC1907" w:rsidP="00CC1907">
      <w:pPr>
        <w:pStyle w:val="a0"/>
        <w:snapToGrid w:val="0"/>
        <w:spacing w:before="100" w:beforeAutospacing="1" w:after="100" w:afterAutospacing="1"/>
        <w:ind w:leftChars="0" w:left="0" w:firstLineChars="200" w:firstLine="560"/>
        <w:jc w:val="both"/>
        <w:rPr>
          <w:rFonts w:ascii="Times New Roman" w:eastAsia="標楷體" w:hAnsi="Times New Roman"/>
          <w:sz w:val="28"/>
          <w:szCs w:val="28"/>
        </w:rPr>
      </w:pPr>
      <w:r w:rsidRPr="005E758A">
        <w:rPr>
          <w:rFonts w:ascii="Times New Roman" w:eastAsia="標楷體" w:hAnsi="Times New Roman"/>
          <w:sz w:val="28"/>
          <w:szCs w:val="28"/>
        </w:rPr>
        <w:t>貧窮既是造成</w:t>
      </w:r>
      <w:r w:rsidR="002C321D" w:rsidRPr="005E758A">
        <w:rPr>
          <w:rFonts w:ascii="Times New Roman" w:eastAsia="標楷體" w:hAnsi="Times New Roman"/>
          <w:sz w:val="28"/>
          <w:szCs w:val="28"/>
        </w:rPr>
        <w:t>身心障礙</w:t>
      </w:r>
      <w:r w:rsidRPr="005E758A">
        <w:rPr>
          <w:rFonts w:ascii="Times New Roman" w:eastAsia="標楷體" w:hAnsi="Times New Roman"/>
          <w:sz w:val="28"/>
          <w:szCs w:val="28"/>
        </w:rPr>
        <w:t>的原因又是</w:t>
      </w:r>
      <w:r w:rsidR="002C321D" w:rsidRPr="005E758A">
        <w:rPr>
          <w:rFonts w:ascii="Times New Roman" w:eastAsia="標楷體" w:hAnsi="Times New Roman"/>
          <w:sz w:val="28"/>
          <w:szCs w:val="28"/>
        </w:rPr>
        <w:t>身心障礙</w:t>
      </w:r>
      <w:r w:rsidRPr="005E758A">
        <w:rPr>
          <w:rFonts w:ascii="Times New Roman" w:eastAsia="標楷體" w:hAnsi="Times New Roman"/>
          <w:sz w:val="28"/>
          <w:szCs w:val="28"/>
        </w:rPr>
        <w:t>帶來的後果，因此委員會反復強調，</w:t>
      </w:r>
      <w:r w:rsidR="002C321D" w:rsidRPr="005E758A">
        <w:rPr>
          <w:rFonts w:ascii="Times New Roman" w:eastAsia="標楷體" w:hAnsi="Times New Roman"/>
          <w:sz w:val="28"/>
          <w:szCs w:val="28"/>
        </w:rPr>
        <w:t>身心障礙</w:t>
      </w:r>
      <w:r w:rsidRPr="005E758A">
        <w:rPr>
          <w:rFonts w:ascii="Times New Roman" w:eastAsia="標楷體" w:hAnsi="Times New Roman"/>
          <w:sz w:val="28"/>
          <w:szCs w:val="28"/>
        </w:rPr>
        <w:t>兒童及其家庭有權享有適當的生活水準，包括適當的食物、衣物和住房，並不斷改善其生活條件。對於生活貧困的</w:t>
      </w:r>
      <w:r w:rsidR="002C321D" w:rsidRPr="005E758A">
        <w:rPr>
          <w:rFonts w:ascii="Times New Roman" w:eastAsia="標楷體" w:hAnsi="Times New Roman"/>
          <w:sz w:val="28"/>
          <w:szCs w:val="28"/>
        </w:rPr>
        <w:t>身心障礙</w:t>
      </w:r>
      <w:r w:rsidRPr="005E758A">
        <w:rPr>
          <w:rFonts w:ascii="Times New Roman" w:eastAsia="標楷體" w:hAnsi="Times New Roman"/>
          <w:sz w:val="28"/>
          <w:szCs w:val="28"/>
        </w:rPr>
        <w:t>兒童，應該通過劃撥適當的預算資源，並通過確保</w:t>
      </w:r>
      <w:r w:rsidR="002C321D" w:rsidRPr="005E758A">
        <w:rPr>
          <w:rFonts w:ascii="Times New Roman" w:eastAsia="標楷體" w:hAnsi="Times New Roman"/>
          <w:sz w:val="28"/>
          <w:szCs w:val="28"/>
        </w:rPr>
        <w:t>身心障礙</w:t>
      </w:r>
      <w:r w:rsidRPr="005E758A">
        <w:rPr>
          <w:rFonts w:ascii="Times New Roman" w:eastAsia="標楷體" w:hAnsi="Times New Roman"/>
          <w:sz w:val="28"/>
          <w:szCs w:val="28"/>
        </w:rPr>
        <w:t>兒童有機會參加社會保護</w:t>
      </w:r>
      <w:proofErr w:type="gramStart"/>
      <w:r w:rsidRPr="005E758A">
        <w:rPr>
          <w:rFonts w:ascii="Times New Roman" w:eastAsia="標楷體" w:hAnsi="Times New Roman"/>
          <w:sz w:val="28"/>
          <w:szCs w:val="28"/>
        </w:rPr>
        <w:t>和減貧方案</w:t>
      </w:r>
      <w:proofErr w:type="gramEnd"/>
      <w:r w:rsidRPr="005E758A">
        <w:rPr>
          <w:rFonts w:ascii="Times New Roman" w:eastAsia="標楷體" w:hAnsi="Times New Roman"/>
          <w:sz w:val="28"/>
          <w:szCs w:val="28"/>
        </w:rPr>
        <w:t>的方式來處理</w:t>
      </w:r>
      <w:r w:rsidRPr="005E758A">
        <w:rPr>
          <w:rStyle w:val="af3"/>
          <w:rFonts w:ascii="Times New Roman" w:eastAsia="標楷體" w:hAnsi="Times New Roman"/>
        </w:rPr>
        <w:endnoteReference w:id="312"/>
      </w:r>
      <w:r w:rsidRPr="005E758A">
        <w:rPr>
          <w:rFonts w:ascii="Times New Roman" w:eastAsia="標楷體" w:hAnsi="Times New Roman"/>
          <w:sz w:val="28"/>
          <w:szCs w:val="28"/>
        </w:rPr>
        <w:t>。</w:t>
      </w:r>
    </w:p>
    <w:p w14:paraId="44314462" w14:textId="77777777" w:rsidR="00CC1907" w:rsidRPr="005E758A" w:rsidRDefault="00CC1907" w:rsidP="00CC1907">
      <w:pPr>
        <w:pStyle w:val="a0"/>
        <w:snapToGrid w:val="0"/>
        <w:spacing w:before="100" w:beforeAutospacing="1" w:after="100" w:afterAutospacing="1"/>
        <w:ind w:leftChars="0" w:left="0" w:firstLineChars="200" w:firstLine="560"/>
        <w:jc w:val="both"/>
        <w:rPr>
          <w:rFonts w:ascii="Times New Roman" w:eastAsia="標楷體" w:hAnsi="Times New Roman"/>
          <w:sz w:val="28"/>
          <w:szCs w:val="28"/>
        </w:rPr>
      </w:pPr>
      <w:r w:rsidRPr="005E758A">
        <w:rPr>
          <w:rFonts w:ascii="Times New Roman" w:eastAsia="標楷體" w:hAnsi="Times New Roman"/>
          <w:sz w:val="28"/>
          <w:szCs w:val="28"/>
        </w:rPr>
        <w:t>關於第</w:t>
      </w:r>
      <w:r w:rsidRPr="005E758A">
        <w:rPr>
          <w:rFonts w:ascii="Times New Roman" w:eastAsia="標楷體" w:hAnsi="Times New Roman"/>
          <w:sz w:val="28"/>
          <w:szCs w:val="28"/>
        </w:rPr>
        <w:t>23</w:t>
      </w:r>
      <w:r w:rsidRPr="005E758A">
        <w:rPr>
          <w:rFonts w:ascii="Times New Roman" w:eastAsia="標楷體" w:hAnsi="Times New Roman"/>
          <w:sz w:val="28"/>
          <w:szCs w:val="28"/>
        </w:rPr>
        <w:t>條第</w:t>
      </w:r>
      <w:r w:rsidRPr="005E758A">
        <w:rPr>
          <w:rFonts w:ascii="Times New Roman" w:eastAsia="標楷體" w:hAnsi="Times New Roman"/>
          <w:sz w:val="28"/>
          <w:szCs w:val="28"/>
        </w:rPr>
        <w:t>2</w:t>
      </w:r>
      <w:r w:rsidRPr="005E758A">
        <w:rPr>
          <w:rFonts w:ascii="Times New Roman" w:eastAsia="標楷體" w:hAnsi="Times New Roman"/>
          <w:sz w:val="28"/>
          <w:szCs w:val="28"/>
        </w:rPr>
        <w:t>款和第</w:t>
      </w:r>
      <w:r w:rsidRPr="005E758A">
        <w:rPr>
          <w:rFonts w:ascii="Times New Roman" w:eastAsia="標楷體" w:hAnsi="Times New Roman"/>
          <w:sz w:val="28"/>
          <w:szCs w:val="28"/>
        </w:rPr>
        <w:t>3</w:t>
      </w:r>
      <w:r w:rsidRPr="005E758A">
        <w:rPr>
          <w:rFonts w:ascii="Times New Roman" w:eastAsia="標楷體" w:hAnsi="Times New Roman"/>
          <w:sz w:val="28"/>
          <w:szCs w:val="28"/>
        </w:rPr>
        <w:t>款的具體內容，委員會認為：特別照顧和援助的提供，應以現有資源為限，而且在可能的情況下都必須免</w:t>
      </w:r>
      <w:r w:rsidRPr="005E758A">
        <w:rPr>
          <w:rFonts w:ascii="Times New Roman" w:eastAsia="標楷體" w:hAnsi="Times New Roman"/>
          <w:sz w:val="28"/>
          <w:szCs w:val="28"/>
        </w:rPr>
        <w:lastRenderedPageBreak/>
        <w:t>費提供。最大限度地將現有資源用於消除對</w:t>
      </w:r>
      <w:r w:rsidR="002C321D" w:rsidRPr="005E758A">
        <w:rPr>
          <w:rFonts w:ascii="Times New Roman" w:eastAsia="標楷體" w:hAnsi="Times New Roman"/>
          <w:sz w:val="28"/>
          <w:szCs w:val="28"/>
        </w:rPr>
        <w:t>身心障礙</w:t>
      </w:r>
      <w:r w:rsidRPr="005E758A">
        <w:rPr>
          <w:rFonts w:ascii="Times New Roman" w:eastAsia="標楷體" w:hAnsi="Times New Roman"/>
          <w:sz w:val="28"/>
          <w:szCs w:val="28"/>
        </w:rPr>
        <w:t>兒童的歧視，讓他們最大限度地融入社會。照顧和援助的目的應當是確保</w:t>
      </w:r>
      <w:r w:rsidR="002C321D" w:rsidRPr="005E758A">
        <w:rPr>
          <w:rFonts w:ascii="Times New Roman" w:eastAsia="標楷體" w:hAnsi="Times New Roman"/>
          <w:sz w:val="28"/>
          <w:szCs w:val="28"/>
        </w:rPr>
        <w:t>身心障礙</w:t>
      </w:r>
      <w:r w:rsidRPr="005E758A">
        <w:rPr>
          <w:rFonts w:ascii="Times New Roman" w:eastAsia="標楷體" w:hAnsi="Times New Roman"/>
          <w:sz w:val="28"/>
          <w:szCs w:val="28"/>
        </w:rPr>
        <w:t>兒童能有效地獲得並受益於教育、培訓、保健服務、康復服務、就業準備和娛樂機會</w:t>
      </w:r>
      <w:r w:rsidRPr="005E758A">
        <w:rPr>
          <w:rStyle w:val="af3"/>
          <w:rFonts w:ascii="Times New Roman" w:eastAsia="標楷體" w:hAnsi="Times New Roman"/>
        </w:rPr>
        <w:endnoteReference w:id="313"/>
      </w:r>
      <w:r w:rsidRPr="005E758A">
        <w:rPr>
          <w:rFonts w:ascii="Times New Roman" w:eastAsia="標楷體" w:hAnsi="Times New Roman"/>
          <w:sz w:val="28"/>
          <w:szCs w:val="28"/>
        </w:rPr>
        <w:t>。</w:t>
      </w:r>
    </w:p>
    <w:p w14:paraId="31194D96" w14:textId="77777777" w:rsidR="00CC1907" w:rsidRPr="005E758A" w:rsidRDefault="00CC1907" w:rsidP="007119F4">
      <w:pPr>
        <w:pStyle w:val="3"/>
        <w:numPr>
          <w:ilvl w:val="0"/>
          <w:numId w:val="59"/>
        </w:numPr>
      </w:pPr>
      <w:r w:rsidRPr="005E758A">
        <w:t>第</w:t>
      </w:r>
      <w:r w:rsidRPr="005E758A">
        <w:t>23</w:t>
      </w:r>
      <w:r w:rsidRPr="005E758A">
        <w:t>條第</w:t>
      </w:r>
      <w:r w:rsidRPr="005E758A">
        <w:t>4</w:t>
      </w:r>
      <w:r w:rsidRPr="005E758A">
        <w:t>項</w:t>
      </w:r>
    </w:p>
    <w:p w14:paraId="32C246E3" w14:textId="77777777" w:rsidR="00CC1907" w:rsidRPr="005E758A" w:rsidRDefault="00CC1907" w:rsidP="00CC1907">
      <w:pPr>
        <w:pStyle w:val="a0"/>
        <w:snapToGrid w:val="0"/>
        <w:spacing w:before="100" w:beforeAutospacing="1" w:after="100" w:afterAutospacing="1"/>
        <w:ind w:leftChars="0" w:left="0" w:firstLineChars="200" w:firstLine="560"/>
        <w:jc w:val="both"/>
        <w:rPr>
          <w:rFonts w:ascii="Times New Roman" w:eastAsia="標楷體" w:hAnsi="Times New Roman"/>
          <w:sz w:val="28"/>
          <w:szCs w:val="28"/>
        </w:rPr>
      </w:pPr>
      <w:r w:rsidRPr="005E758A">
        <w:rPr>
          <w:rFonts w:ascii="Times New Roman" w:eastAsia="標楷體" w:hAnsi="Times New Roman"/>
          <w:sz w:val="28"/>
          <w:szCs w:val="28"/>
        </w:rPr>
        <w:t>本項規定要求各國政府應透過國際合作與資訊交換，以增強其本身協助身心障礙兒童的能力</w:t>
      </w:r>
      <w:r w:rsidRPr="005E758A">
        <w:rPr>
          <w:rStyle w:val="af3"/>
          <w:rFonts w:ascii="Times New Roman" w:eastAsia="標楷體" w:hAnsi="Times New Roman"/>
        </w:rPr>
        <w:endnoteReference w:id="314"/>
      </w:r>
      <w:r w:rsidRPr="005E758A">
        <w:rPr>
          <w:rFonts w:ascii="Times New Roman" w:eastAsia="標楷體" w:hAnsi="Times New Roman"/>
          <w:sz w:val="28"/>
          <w:szCs w:val="28"/>
        </w:rPr>
        <w:t>。國家人權機構必須：</w:t>
      </w:r>
    </w:p>
    <w:p w14:paraId="622652AC" w14:textId="77777777" w:rsidR="00CC1907" w:rsidRPr="005E758A" w:rsidRDefault="00CC1907" w:rsidP="007119F4">
      <w:pPr>
        <w:pStyle w:val="a0"/>
        <w:numPr>
          <w:ilvl w:val="0"/>
          <w:numId w:val="54"/>
        </w:numPr>
        <w:snapToGrid w:val="0"/>
        <w:spacing w:before="100" w:beforeAutospacing="1" w:after="100" w:afterAutospacing="1"/>
        <w:ind w:left="840"/>
        <w:jc w:val="both"/>
        <w:rPr>
          <w:rFonts w:ascii="Times New Roman" w:eastAsia="標楷體" w:hAnsi="Times New Roman"/>
          <w:sz w:val="28"/>
          <w:szCs w:val="28"/>
        </w:rPr>
      </w:pPr>
      <w:r w:rsidRPr="005E758A">
        <w:rPr>
          <w:rFonts w:ascii="Times New Roman" w:eastAsia="標楷體" w:hAnsi="Times New Roman"/>
          <w:sz w:val="28"/>
          <w:szCs w:val="28"/>
        </w:rPr>
        <w:t>具有獨立性，並配備充足的人力和財政資源；</w:t>
      </w:r>
    </w:p>
    <w:p w14:paraId="733E7303" w14:textId="77777777" w:rsidR="00CC1907" w:rsidRPr="005E758A" w:rsidRDefault="00CC1907" w:rsidP="007119F4">
      <w:pPr>
        <w:pStyle w:val="a0"/>
        <w:numPr>
          <w:ilvl w:val="0"/>
          <w:numId w:val="54"/>
        </w:numPr>
        <w:snapToGrid w:val="0"/>
        <w:spacing w:before="100" w:beforeAutospacing="1" w:after="100" w:afterAutospacing="1"/>
        <w:ind w:left="840"/>
        <w:jc w:val="both"/>
        <w:rPr>
          <w:rFonts w:ascii="Times New Roman" w:eastAsia="標楷體" w:hAnsi="Times New Roman"/>
          <w:sz w:val="28"/>
          <w:szCs w:val="28"/>
        </w:rPr>
      </w:pPr>
      <w:r w:rsidRPr="005E758A">
        <w:rPr>
          <w:rFonts w:ascii="Times New Roman" w:eastAsia="標楷體" w:hAnsi="Times New Roman"/>
          <w:sz w:val="28"/>
          <w:szCs w:val="28"/>
        </w:rPr>
        <w:t>為</w:t>
      </w:r>
      <w:r w:rsidR="002C321D" w:rsidRPr="005E758A">
        <w:rPr>
          <w:rFonts w:ascii="Times New Roman" w:eastAsia="標楷體" w:hAnsi="Times New Roman"/>
          <w:sz w:val="28"/>
          <w:szCs w:val="28"/>
        </w:rPr>
        <w:t>身心障礙</w:t>
      </w:r>
      <w:r w:rsidRPr="005E758A">
        <w:rPr>
          <w:rFonts w:ascii="Times New Roman" w:eastAsia="標楷體" w:hAnsi="Times New Roman"/>
          <w:sz w:val="28"/>
          <w:szCs w:val="28"/>
        </w:rPr>
        <w:t>兒童及其照</w:t>
      </w:r>
      <w:r w:rsidR="00921789" w:rsidRPr="005E758A">
        <w:rPr>
          <w:rFonts w:ascii="Times New Roman" w:eastAsia="標楷體" w:hAnsi="Times New Roman"/>
          <w:sz w:val="28"/>
          <w:szCs w:val="28"/>
        </w:rPr>
        <w:t>顧</w:t>
      </w:r>
      <w:r w:rsidRPr="005E758A">
        <w:rPr>
          <w:rFonts w:ascii="Times New Roman" w:eastAsia="標楷體" w:hAnsi="Times New Roman"/>
          <w:sz w:val="28"/>
          <w:szCs w:val="28"/>
        </w:rPr>
        <w:t>者所熟知</w:t>
      </w:r>
    </w:p>
    <w:p w14:paraId="3DCF34D3" w14:textId="77777777" w:rsidR="00CC1907" w:rsidRPr="005E758A" w:rsidRDefault="00CC1907" w:rsidP="007119F4">
      <w:pPr>
        <w:pStyle w:val="a0"/>
        <w:numPr>
          <w:ilvl w:val="0"/>
          <w:numId w:val="54"/>
        </w:numPr>
        <w:snapToGrid w:val="0"/>
        <w:spacing w:before="100" w:beforeAutospacing="1" w:after="100" w:afterAutospacing="1"/>
        <w:ind w:left="840"/>
        <w:jc w:val="both"/>
        <w:rPr>
          <w:rFonts w:ascii="Times New Roman" w:eastAsia="標楷體" w:hAnsi="Times New Roman"/>
          <w:sz w:val="28"/>
          <w:szCs w:val="28"/>
        </w:rPr>
      </w:pPr>
      <w:r w:rsidRPr="005E758A">
        <w:rPr>
          <w:rFonts w:ascii="Times New Roman" w:eastAsia="標楷體" w:hAnsi="Times New Roman"/>
          <w:sz w:val="28"/>
          <w:szCs w:val="28"/>
        </w:rPr>
        <w:t>不僅</w:t>
      </w:r>
      <w:r w:rsidR="002C321D" w:rsidRPr="005E758A">
        <w:rPr>
          <w:rFonts w:ascii="Times New Roman" w:eastAsia="標楷體" w:hAnsi="Times New Roman"/>
          <w:sz w:val="28"/>
          <w:szCs w:val="28"/>
        </w:rPr>
        <w:t>身心障礙</w:t>
      </w:r>
      <w:r w:rsidRPr="005E758A">
        <w:rPr>
          <w:rFonts w:ascii="Times New Roman" w:eastAsia="標楷體" w:hAnsi="Times New Roman"/>
          <w:sz w:val="28"/>
          <w:szCs w:val="28"/>
        </w:rPr>
        <w:t>兒童能夠實際接近，而且尚能容易地以保密的方式提出申訴或問題；以及</w:t>
      </w:r>
    </w:p>
    <w:p w14:paraId="512A4A82" w14:textId="77777777" w:rsidR="00CC1907" w:rsidRPr="005E758A" w:rsidRDefault="00CC1907" w:rsidP="007119F4">
      <w:pPr>
        <w:pStyle w:val="a0"/>
        <w:numPr>
          <w:ilvl w:val="0"/>
          <w:numId w:val="54"/>
        </w:numPr>
        <w:snapToGrid w:val="0"/>
        <w:spacing w:before="100" w:beforeAutospacing="1" w:after="100" w:afterAutospacing="1"/>
        <w:ind w:left="840"/>
        <w:jc w:val="both"/>
        <w:rPr>
          <w:rFonts w:ascii="Times New Roman" w:eastAsia="標楷體" w:hAnsi="Times New Roman"/>
          <w:sz w:val="28"/>
          <w:szCs w:val="28"/>
        </w:rPr>
      </w:pPr>
      <w:r w:rsidRPr="005E758A">
        <w:rPr>
          <w:rFonts w:ascii="Times New Roman" w:eastAsia="標楷體" w:hAnsi="Times New Roman"/>
          <w:sz w:val="28"/>
          <w:szCs w:val="28"/>
        </w:rPr>
        <w:t>必須擁有適當的權利，以考慮到</w:t>
      </w:r>
      <w:r w:rsidR="002C321D" w:rsidRPr="005E758A">
        <w:rPr>
          <w:rFonts w:ascii="Times New Roman" w:eastAsia="標楷體" w:hAnsi="Times New Roman"/>
          <w:sz w:val="28"/>
          <w:szCs w:val="28"/>
        </w:rPr>
        <w:t>身心障礙</w:t>
      </w:r>
      <w:r w:rsidRPr="005E758A">
        <w:rPr>
          <w:rFonts w:ascii="Times New Roman" w:eastAsia="標楷體" w:hAnsi="Times New Roman"/>
          <w:sz w:val="28"/>
          <w:szCs w:val="28"/>
        </w:rPr>
        <w:t>兒童年幼及其</w:t>
      </w:r>
      <w:r w:rsidR="002C321D" w:rsidRPr="005E758A">
        <w:rPr>
          <w:rFonts w:ascii="Times New Roman" w:eastAsia="標楷體" w:hAnsi="Times New Roman"/>
          <w:sz w:val="28"/>
          <w:szCs w:val="28"/>
        </w:rPr>
        <w:t>身心障礙</w:t>
      </w:r>
      <w:r w:rsidRPr="005E758A">
        <w:rPr>
          <w:rFonts w:ascii="Times New Roman" w:eastAsia="標楷體" w:hAnsi="Times New Roman"/>
          <w:sz w:val="28"/>
          <w:szCs w:val="28"/>
        </w:rPr>
        <w:t>的方式受理、調查和處理其提出的申訴</w:t>
      </w:r>
      <w:r w:rsidRPr="005E758A">
        <w:rPr>
          <w:rStyle w:val="af3"/>
          <w:rFonts w:ascii="Times New Roman" w:eastAsia="標楷體" w:hAnsi="Times New Roman"/>
        </w:rPr>
        <w:endnoteReference w:id="315"/>
      </w:r>
      <w:r w:rsidRPr="005E758A">
        <w:rPr>
          <w:rFonts w:ascii="Times New Roman" w:eastAsia="標楷體" w:hAnsi="Times New Roman"/>
          <w:sz w:val="28"/>
          <w:szCs w:val="28"/>
        </w:rPr>
        <w:t>。</w:t>
      </w:r>
    </w:p>
    <w:p w14:paraId="5E793E7B" w14:textId="77777777" w:rsidR="00CC1907" w:rsidRPr="005E758A" w:rsidRDefault="00CC1907" w:rsidP="00CC1907">
      <w:pPr>
        <w:pStyle w:val="2"/>
      </w:pPr>
      <w:r w:rsidRPr="005E758A">
        <w:t>案例介紹</w:t>
      </w:r>
    </w:p>
    <w:p w14:paraId="6C5EEC0B" w14:textId="77777777" w:rsidR="00CC1907" w:rsidRPr="005E758A" w:rsidRDefault="00CC1907" w:rsidP="007119F4">
      <w:pPr>
        <w:pStyle w:val="3"/>
        <w:numPr>
          <w:ilvl w:val="0"/>
          <w:numId w:val="60"/>
        </w:numPr>
      </w:pPr>
      <w:r w:rsidRPr="005E758A">
        <w:t>2007</w:t>
      </w:r>
      <w:r w:rsidRPr="005E758A">
        <w:t>年拉脫維亞憲法法院請求津貼案：</w:t>
      </w:r>
      <w:r w:rsidRPr="005E758A">
        <w:t xml:space="preserve">On the Compliance of the Provision Contained in Section 7, Part One of the Law “On the State Social Allowances” (“if the referred to person is not employed (is not deemed to be an employee or self-employed person in accordance with the Law </w:t>
      </w:r>
      <w:proofErr w:type="gramStart"/>
      <w:r w:rsidRPr="005E758A">
        <w:t>On</w:t>
      </w:r>
      <w:proofErr w:type="gramEnd"/>
      <w:r w:rsidRPr="005E758A">
        <w:t xml:space="preserve"> State Social Insurance)”) with Section 91 and 110 of the Constitution of the Republic of Latvia</w:t>
      </w:r>
      <w:r w:rsidRPr="005E758A">
        <w:rPr>
          <w:rStyle w:val="af3"/>
        </w:rPr>
        <w:endnoteReference w:id="316"/>
      </w:r>
    </w:p>
    <w:p w14:paraId="10924966" w14:textId="77777777" w:rsidR="00CC1907" w:rsidRPr="005E758A" w:rsidRDefault="00CC1907" w:rsidP="00CC1907">
      <w:pPr>
        <w:pStyle w:val="a0"/>
        <w:snapToGrid w:val="0"/>
        <w:spacing w:before="100" w:beforeAutospacing="1" w:after="100" w:afterAutospacing="1"/>
        <w:ind w:leftChars="0" w:left="0" w:firstLineChars="200" w:firstLine="560"/>
        <w:jc w:val="both"/>
        <w:rPr>
          <w:rFonts w:ascii="Times New Roman" w:eastAsia="標楷體" w:hAnsi="Times New Roman"/>
          <w:sz w:val="28"/>
          <w:szCs w:val="28"/>
        </w:rPr>
      </w:pPr>
      <w:r w:rsidRPr="005E758A">
        <w:rPr>
          <w:rFonts w:ascii="Times New Roman" w:eastAsia="標楷體" w:hAnsi="Times New Roman"/>
          <w:sz w:val="28"/>
          <w:szCs w:val="28"/>
        </w:rPr>
        <w:t>本案之原告乃有身心障礙兒童之父母。其中兩對父母有工作而第三對父母待業中。然而根據拉脫維亞國家社會津貼法第</w:t>
      </w:r>
      <w:r w:rsidRPr="005E758A">
        <w:rPr>
          <w:rFonts w:ascii="Times New Roman" w:eastAsia="標楷體" w:hAnsi="Times New Roman"/>
          <w:sz w:val="28"/>
          <w:szCs w:val="28"/>
        </w:rPr>
        <w:t>7.1</w:t>
      </w:r>
      <w:r w:rsidRPr="005E758A">
        <w:rPr>
          <w:rFonts w:ascii="Times New Roman" w:eastAsia="標楷體" w:hAnsi="Times New Roman"/>
          <w:sz w:val="28"/>
          <w:szCs w:val="28"/>
        </w:rPr>
        <w:t>章第</w:t>
      </w:r>
      <w:r w:rsidRPr="005E758A">
        <w:rPr>
          <w:rFonts w:ascii="Times New Roman" w:eastAsia="標楷體" w:hAnsi="Times New Roman"/>
          <w:sz w:val="28"/>
          <w:szCs w:val="28"/>
        </w:rPr>
        <w:t>2</w:t>
      </w:r>
      <w:r w:rsidRPr="005E758A">
        <w:rPr>
          <w:rFonts w:ascii="Times New Roman" w:eastAsia="標楷體" w:hAnsi="Times New Roman"/>
          <w:sz w:val="28"/>
          <w:szCs w:val="28"/>
        </w:rPr>
        <w:t>部分之規定，不給予國家利益於有身心障礙兒童之職業父母。因此，其中兩對原告被排除於受利益之列，而第三對父母如果找到工作後，則將被停止給付利益。原告於是主張系爭條款違反憲法第</w:t>
      </w:r>
      <w:r w:rsidRPr="005E758A">
        <w:rPr>
          <w:rFonts w:ascii="Times New Roman" w:eastAsia="標楷體" w:hAnsi="Times New Roman"/>
          <w:sz w:val="28"/>
          <w:szCs w:val="28"/>
        </w:rPr>
        <w:t>91</w:t>
      </w:r>
      <w:r w:rsidRPr="005E758A">
        <w:rPr>
          <w:rFonts w:ascii="Times New Roman" w:eastAsia="標楷體" w:hAnsi="Times New Roman"/>
          <w:sz w:val="28"/>
          <w:szCs w:val="28"/>
        </w:rPr>
        <w:t>章關於平等以及第</w:t>
      </w:r>
      <w:r w:rsidRPr="005E758A">
        <w:rPr>
          <w:rFonts w:ascii="Times New Roman" w:eastAsia="標楷體" w:hAnsi="Times New Roman"/>
          <w:sz w:val="28"/>
          <w:szCs w:val="28"/>
        </w:rPr>
        <w:t>110</w:t>
      </w:r>
      <w:r w:rsidRPr="005E758A">
        <w:rPr>
          <w:rFonts w:ascii="Times New Roman" w:eastAsia="標楷體" w:hAnsi="Times New Roman"/>
          <w:sz w:val="28"/>
          <w:szCs w:val="28"/>
        </w:rPr>
        <w:t>章關於對身心障礙兒童之保護。原告更進一步主張受利益之金額，乃不足以提供身心障礙孩童、</w:t>
      </w:r>
      <w:proofErr w:type="gramStart"/>
      <w:r w:rsidRPr="005E758A">
        <w:rPr>
          <w:rFonts w:ascii="Times New Roman" w:eastAsia="標楷體" w:hAnsi="Times New Roman"/>
          <w:sz w:val="28"/>
          <w:szCs w:val="28"/>
        </w:rPr>
        <w:t>失業受照護</w:t>
      </w:r>
      <w:proofErr w:type="gramEnd"/>
      <w:r w:rsidRPr="005E758A">
        <w:rPr>
          <w:rFonts w:ascii="Times New Roman" w:eastAsia="標楷體" w:hAnsi="Times New Roman"/>
          <w:sz w:val="28"/>
          <w:szCs w:val="28"/>
        </w:rPr>
        <w:t>者以及其餘</w:t>
      </w:r>
      <w:proofErr w:type="gramStart"/>
      <w:r w:rsidRPr="005E758A">
        <w:rPr>
          <w:rFonts w:ascii="Times New Roman" w:eastAsia="標楷體" w:hAnsi="Times New Roman"/>
          <w:sz w:val="28"/>
          <w:szCs w:val="28"/>
        </w:rPr>
        <w:t>該受照護</w:t>
      </w:r>
      <w:proofErr w:type="gramEnd"/>
      <w:r w:rsidRPr="005E758A">
        <w:rPr>
          <w:rFonts w:ascii="Times New Roman" w:eastAsia="標楷體" w:hAnsi="Times New Roman"/>
          <w:sz w:val="28"/>
          <w:szCs w:val="28"/>
        </w:rPr>
        <w:t>之成員及其他孩童等基本實質之照護。國家並未評估其法規或政策之影響，其可能造成</w:t>
      </w:r>
      <w:proofErr w:type="gramStart"/>
      <w:r w:rsidRPr="005E758A">
        <w:rPr>
          <w:rFonts w:ascii="Times New Roman" w:eastAsia="標楷體" w:hAnsi="Times New Roman"/>
          <w:sz w:val="28"/>
          <w:szCs w:val="28"/>
        </w:rPr>
        <w:t>對於受照護</w:t>
      </w:r>
      <w:proofErr w:type="gramEnd"/>
      <w:r w:rsidRPr="005E758A">
        <w:rPr>
          <w:rFonts w:ascii="Times New Roman" w:eastAsia="標楷體" w:hAnsi="Times New Roman"/>
          <w:sz w:val="28"/>
          <w:szCs w:val="28"/>
        </w:rPr>
        <w:t>者之長期失業，最終造成其家庭之</w:t>
      </w:r>
      <w:proofErr w:type="gramStart"/>
      <w:r w:rsidRPr="005E758A">
        <w:rPr>
          <w:rFonts w:ascii="Times New Roman" w:eastAsia="標楷體" w:hAnsi="Times New Roman"/>
          <w:sz w:val="28"/>
          <w:szCs w:val="28"/>
        </w:rPr>
        <w:t>不</w:t>
      </w:r>
      <w:proofErr w:type="gramEnd"/>
      <w:r w:rsidRPr="005E758A">
        <w:rPr>
          <w:rFonts w:ascii="Times New Roman" w:eastAsia="標楷體" w:hAnsi="Times New Roman"/>
          <w:sz w:val="28"/>
          <w:szCs w:val="28"/>
        </w:rPr>
        <w:t>利益，因長期失業</w:t>
      </w:r>
      <w:proofErr w:type="gramStart"/>
      <w:r w:rsidRPr="005E758A">
        <w:rPr>
          <w:rFonts w:ascii="Times New Roman" w:eastAsia="標楷體" w:hAnsi="Times New Roman"/>
          <w:sz w:val="28"/>
          <w:szCs w:val="28"/>
        </w:rPr>
        <w:t>恐</w:t>
      </w:r>
      <w:proofErr w:type="gramEnd"/>
      <w:r w:rsidRPr="005E758A">
        <w:rPr>
          <w:rFonts w:ascii="Times New Roman" w:eastAsia="標楷體" w:hAnsi="Times New Roman"/>
          <w:sz w:val="28"/>
          <w:szCs w:val="28"/>
        </w:rPr>
        <w:t>導致難以於有身心障礙之父母於小孩成年後回歸勞動市場。</w:t>
      </w:r>
    </w:p>
    <w:p w14:paraId="57169B01" w14:textId="77777777" w:rsidR="00CC1907" w:rsidRPr="005E758A" w:rsidRDefault="00CC1907" w:rsidP="00CC1907">
      <w:pPr>
        <w:pStyle w:val="a0"/>
        <w:snapToGrid w:val="0"/>
        <w:spacing w:before="100" w:beforeAutospacing="1" w:after="100" w:afterAutospacing="1"/>
        <w:ind w:leftChars="0" w:left="0" w:firstLineChars="200" w:firstLine="560"/>
        <w:jc w:val="both"/>
        <w:rPr>
          <w:rFonts w:ascii="Times New Roman" w:eastAsia="標楷體" w:hAnsi="Times New Roman"/>
          <w:sz w:val="28"/>
          <w:szCs w:val="28"/>
        </w:rPr>
      </w:pPr>
      <w:r w:rsidRPr="005E758A">
        <w:rPr>
          <w:rFonts w:ascii="Times New Roman" w:eastAsia="標楷體" w:hAnsi="Times New Roman"/>
          <w:sz w:val="28"/>
          <w:szCs w:val="28"/>
        </w:rPr>
        <w:t>憲法法庭需決定以失業與否，作為決定受利益以照護身心障礙孩童之要件之合憲性。法院首先認為根據憲法第</w:t>
      </w:r>
      <w:r w:rsidRPr="005E758A">
        <w:rPr>
          <w:rFonts w:ascii="Times New Roman" w:eastAsia="標楷體" w:hAnsi="Times New Roman"/>
          <w:sz w:val="28"/>
          <w:szCs w:val="28"/>
        </w:rPr>
        <w:t>110</w:t>
      </w:r>
      <w:r w:rsidRPr="005E758A">
        <w:rPr>
          <w:rFonts w:ascii="Times New Roman" w:eastAsia="標楷體" w:hAnsi="Times New Roman"/>
          <w:sz w:val="28"/>
          <w:szCs w:val="28"/>
        </w:rPr>
        <w:t>章，國家有積極責</w:t>
      </w:r>
      <w:r w:rsidRPr="005E758A">
        <w:rPr>
          <w:rFonts w:ascii="Times New Roman" w:eastAsia="標楷體" w:hAnsi="Times New Roman"/>
          <w:sz w:val="28"/>
          <w:szCs w:val="28"/>
        </w:rPr>
        <w:lastRenderedPageBreak/>
        <w:t>任</w:t>
      </w:r>
      <w:proofErr w:type="gramStart"/>
      <w:r w:rsidRPr="005E758A">
        <w:rPr>
          <w:rFonts w:ascii="Times New Roman" w:eastAsia="標楷體" w:hAnsi="Times New Roman"/>
          <w:sz w:val="28"/>
          <w:szCs w:val="28"/>
        </w:rPr>
        <w:t>形塑並維持</w:t>
      </w:r>
      <w:proofErr w:type="gramEnd"/>
      <w:r w:rsidRPr="005E758A">
        <w:rPr>
          <w:rFonts w:ascii="Times New Roman" w:eastAsia="標楷體" w:hAnsi="Times New Roman"/>
          <w:sz w:val="28"/>
          <w:szCs w:val="28"/>
        </w:rPr>
        <w:t>一個系統以保護家庭之社會經濟發展。</w:t>
      </w:r>
      <w:proofErr w:type="gramStart"/>
      <w:r w:rsidRPr="005E758A">
        <w:rPr>
          <w:rFonts w:ascii="Times New Roman" w:eastAsia="標楷體" w:hAnsi="Times New Roman"/>
          <w:sz w:val="28"/>
          <w:szCs w:val="28"/>
        </w:rPr>
        <w:t>此外，</w:t>
      </w:r>
      <w:proofErr w:type="gramEnd"/>
      <w:r w:rsidRPr="005E758A">
        <w:rPr>
          <w:rFonts w:ascii="Times New Roman" w:eastAsia="標楷體" w:hAnsi="Times New Roman"/>
          <w:sz w:val="28"/>
          <w:szCs w:val="28"/>
        </w:rPr>
        <w:t>根據聯合國兒童權利公約第</w:t>
      </w:r>
      <w:r w:rsidRPr="005E758A">
        <w:rPr>
          <w:rFonts w:ascii="Times New Roman" w:eastAsia="標楷體" w:hAnsi="Times New Roman"/>
          <w:sz w:val="28"/>
          <w:szCs w:val="28"/>
        </w:rPr>
        <w:t>23</w:t>
      </w:r>
      <w:r w:rsidRPr="005E758A">
        <w:rPr>
          <w:rFonts w:ascii="Times New Roman" w:eastAsia="標楷體" w:hAnsi="Times New Roman"/>
          <w:sz w:val="28"/>
          <w:szCs w:val="28"/>
        </w:rPr>
        <w:t>條之規定，對於身心障礙孩童之特別保護及幫助是必須被保證的。雖然國際人權法僅提供</w:t>
      </w:r>
      <w:proofErr w:type="gramStart"/>
      <w:r w:rsidRPr="005E758A">
        <w:rPr>
          <w:rFonts w:ascii="Times New Roman" w:eastAsia="標楷體" w:hAnsi="Times New Roman"/>
          <w:sz w:val="28"/>
          <w:szCs w:val="28"/>
        </w:rPr>
        <w:t>一</w:t>
      </w:r>
      <w:proofErr w:type="gramEnd"/>
      <w:r w:rsidRPr="005E758A">
        <w:rPr>
          <w:rFonts w:ascii="Times New Roman" w:eastAsia="標楷體" w:hAnsi="Times New Roman"/>
          <w:sz w:val="28"/>
          <w:szCs w:val="28"/>
        </w:rPr>
        <w:t>總括性的國家承諾，且無論其發展程度如何，每一國家有較大之權力及裁量權決定如何履行，但國家仍然負有責任採取每一必須且合理之措施以提供其最低程度之社會權利與利益。因此，對於身心障礙兒童而言，此類提供津貼作為最低程度之社會權利及利益，更顯得重要。根據法院之意見，系爭法規並不存在</w:t>
      </w:r>
      <w:proofErr w:type="gramStart"/>
      <w:r w:rsidRPr="005E758A">
        <w:rPr>
          <w:rFonts w:ascii="Times New Roman" w:eastAsia="標楷體" w:hAnsi="Times New Roman"/>
          <w:sz w:val="28"/>
          <w:szCs w:val="28"/>
        </w:rPr>
        <w:t>一</w:t>
      </w:r>
      <w:proofErr w:type="gramEnd"/>
      <w:r w:rsidRPr="005E758A">
        <w:rPr>
          <w:rFonts w:ascii="Times New Roman" w:eastAsia="標楷體" w:hAnsi="Times New Roman"/>
          <w:sz w:val="28"/>
          <w:szCs w:val="28"/>
        </w:rPr>
        <w:t>合法利益以正當化妨礙憲法上關於身心障礙兒童受特別照護之權利。法院更進一步表示不接受拉脫維亞關於上述系爭情形，要求必須失業，犧牲收入以及專業能力等受益條件，因其將實質影響身心障礙兒童及其家庭之利益。</w:t>
      </w:r>
    </w:p>
    <w:p w14:paraId="1945641C" w14:textId="77777777" w:rsidR="00CC1907" w:rsidRPr="005E758A" w:rsidRDefault="00CC1907" w:rsidP="007119F4">
      <w:pPr>
        <w:pStyle w:val="3"/>
        <w:numPr>
          <w:ilvl w:val="0"/>
          <w:numId w:val="60"/>
        </w:numPr>
      </w:pPr>
      <w:r w:rsidRPr="005E758A">
        <w:t>2010</w:t>
      </w:r>
      <w:r w:rsidRPr="005E758A">
        <w:t>年南非高等法院西開普省分院請求教育案：</w:t>
      </w:r>
      <w:r w:rsidRPr="005E758A">
        <w:t>Western Cape Forum for Intellectual Disability v. Government of the Republic of South Africa &amp; Another</w:t>
      </w:r>
      <w:r w:rsidRPr="005E758A">
        <w:rPr>
          <w:rStyle w:val="af3"/>
        </w:rPr>
        <w:endnoteReference w:id="317"/>
      </w:r>
    </w:p>
    <w:p w14:paraId="161E4B7C" w14:textId="77777777" w:rsidR="00CC1907" w:rsidRPr="005E758A" w:rsidRDefault="00CC1907" w:rsidP="00CC1907">
      <w:pPr>
        <w:pStyle w:val="a0"/>
        <w:snapToGrid w:val="0"/>
        <w:spacing w:before="100" w:beforeAutospacing="1" w:after="100" w:afterAutospacing="1"/>
        <w:ind w:leftChars="0" w:left="0" w:firstLineChars="200" w:firstLine="560"/>
        <w:jc w:val="both"/>
        <w:rPr>
          <w:rFonts w:ascii="Times New Roman" w:eastAsia="標楷體" w:hAnsi="Times New Roman"/>
          <w:sz w:val="28"/>
          <w:szCs w:val="28"/>
        </w:rPr>
      </w:pPr>
      <w:r w:rsidRPr="005E758A">
        <w:rPr>
          <w:rFonts w:ascii="Times New Roman" w:eastAsia="標楷體" w:hAnsi="Times New Roman"/>
          <w:sz w:val="28"/>
          <w:szCs w:val="28"/>
        </w:rPr>
        <w:t>本案乃由一提供於西開普省之智力障礙兒童照護之聯合組織提出，主張西開普政府未提供智力障礙兒童合適之教育環境。於西開普省中，對於智力障礙兒童唯一得受教育之場所，乃由一非政府機構營運之特別照護中心。但該中心數量並不足夠，且未被接受該中心照護之兒童將無法受到其他照護。原告主張國家對於此類兒童之受教育保障乃少於其他兒童，且不適宜提供其教育需求，並且使其僅得</w:t>
      </w:r>
      <w:proofErr w:type="gramStart"/>
      <w:r w:rsidRPr="005E758A">
        <w:rPr>
          <w:rFonts w:ascii="Times New Roman" w:eastAsia="標楷體" w:hAnsi="Times New Roman"/>
          <w:sz w:val="28"/>
          <w:szCs w:val="28"/>
        </w:rPr>
        <w:t>透過該非政府</w:t>
      </w:r>
      <w:proofErr w:type="gramEnd"/>
      <w:r w:rsidRPr="005E758A">
        <w:rPr>
          <w:rFonts w:ascii="Times New Roman" w:eastAsia="標楷體" w:hAnsi="Times New Roman"/>
          <w:sz w:val="28"/>
          <w:szCs w:val="28"/>
        </w:rPr>
        <w:t>組織使得獲得教育。</w:t>
      </w:r>
    </w:p>
    <w:p w14:paraId="23428833" w14:textId="77777777" w:rsidR="00CC1907" w:rsidRPr="005E758A" w:rsidRDefault="00CC1907" w:rsidP="00CC1907">
      <w:pPr>
        <w:pStyle w:val="a0"/>
        <w:snapToGrid w:val="0"/>
        <w:spacing w:before="100" w:beforeAutospacing="1" w:after="100" w:afterAutospacing="1"/>
        <w:ind w:leftChars="0" w:left="0" w:firstLineChars="200" w:firstLine="560"/>
        <w:jc w:val="both"/>
        <w:rPr>
          <w:rFonts w:ascii="Times New Roman" w:eastAsia="標楷體" w:hAnsi="Times New Roman"/>
          <w:sz w:val="28"/>
          <w:szCs w:val="28"/>
        </w:rPr>
      </w:pPr>
      <w:r w:rsidRPr="005E758A">
        <w:rPr>
          <w:rFonts w:ascii="Times New Roman" w:eastAsia="標楷體" w:hAnsi="Times New Roman"/>
          <w:sz w:val="28"/>
          <w:szCs w:val="28"/>
        </w:rPr>
        <w:t>最高法院認為國家未針對智力障礙兒童教育，侵害其受教權、平等及人性尊嚴及免於被忽略及剝奪之權利。</w:t>
      </w:r>
    </w:p>
    <w:p w14:paraId="4A6FD030" w14:textId="77777777" w:rsidR="00CC1907" w:rsidRPr="005E758A" w:rsidRDefault="00CC1907" w:rsidP="00CC1907">
      <w:pPr>
        <w:pStyle w:val="a0"/>
        <w:snapToGrid w:val="0"/>
        <w:spacing w:before="100" w:beforeAutospacing="1" w:after="100" w:afterAutospacing="1"/>
        <w:ind w:leftChars="0" w:left="0" w:firstLineChars="200" w:firstLine="560"/>
        <w:jc w:val="both"/>
        <w:rPr>
          <w:rFonts w:ascii="Times New Roman" w:eastAsia="標楷體" w:hAnsi="Times New Roman"/>
          <w:sz w:val="28"/>
          <w:szCs w:val="28"/>
        </w:rPr>
      </w:pPr>
      <w:r w:rsidRPr="005E758A">
        <w:rPr>
          <w:rFonts w:ascii="Times New Roman" w:eastAsia="標楷體" w:hAnsi="Times New Roman"/>
          <w:sz w:val="28"/>
          <w:szCs w:val="28"/>
        </w:rPr>
        <w:t>法院要求國家必須提供以下合理措施已保障身障兒童之權利：</w:t>
      </w:r>
      <w:r w:rsidRPr="005E758A">
        <w:rPr>
          <w:rFonts w:ascii="Times New Roman" w:eastAsia="標楷體" w:hAnsi="Times New Roman"/>
          <w:sz w:val="28"/>
          <w:szCs w:val="28"/>
        </w:rPr>
        <w:t>(1)</w:t>
      </w:r>
      <w:r w:rsidRPr="005E758A">
        <w:rPr>
          <w:rFonts w:ascii="Times New Roman" w:eastAsia="標楷體" w:hAnsi="Times New Roman"/>
          <w:sz w:val="28"/>
          <w:szCs w:val="28"/>
        </w:rPr>
        <w:t>確保任何此身障兒童皆有可得支付起之受到合適品質之基本教育之權利。</w:t>
      </w:r>
      <w:r w:rsidRPr="005E758A">
        <w:rPr>
          <w:rFonts w:ascii="Times New Roman" w:eastAsia="標楷體" w:hAnsi="Times New Roman"/>
          <w:sz w:val="28"/>
          <w:szCs w:val="28"/>
        </w:rPr>
        <w:t>(2)</w:t>
      </w:r>
      <w:r w:rsidRPr="005E758A">
        <w:rPr>
          <w:rFonts w:ascii="Times New Roman" w:eastAsia="標楷體" w:hAnsi="Times New Roman"/>
          <w:sz w:val="28"/>
          <w:szCs w:val="28"/>
        </w:rPr>
        <w:t>提供</w:t>
      </w:r>
      <w:proofErr w:type="gramStart"/>
      <w:r w:rsidRPr="005E758A">
        <w:rPr>
          <w:rFonts w:ascii="Times New Roman" w:eastAsia="標楷體" w:hAnsi="Times New Roman"/>
          <w:sz w:val="28"/>
          <w:szCs w:val="28"/>
        </w:rPr>
        <w:t>一</w:t>
      </w:r>
      <w:proofErr w:type="gramEnd"/>
      <w:r w:rsidRPr="005E758A">
        <w:rPr>
          <w:rFonts w:ascii="Times New Roman" w:eastAsia="標楷體" w:hAnsi="Times New Roman"/>
          <w:sz w:val="28"/>
          <w:szCs w:val="28"/>
        </w:rPr>
        <w:t>合適之基金予提供此類兒童教育之組織。</w:t>
      </w:r>
      <w:r w:rsidRPr="005E758A">
        <w:rPr>
          <w:rFonts w:ascii="Times New Roman" w:eastAsia="標楷體" w:hAnsi="Times New Roman"/>
          <w:sz w:val="28"/>
          <w:szCs w:val="28"/>
        </w:rPr>
        <w:t>(3)</w:t>
      </w:r>
      <w:r w:rsidRPr="005E758A">
        <w:rPr>
          <w:rFonts w:ascii="Times New Roman" w:eastAsia="標楷體" w:hAnsi="Times New Roman"/>
          <w:sz w:val="28"/>
          <w:szCs w:val="28"/>
        </w:rPr>
        <w:t>提供此類兒童通勤上便利之措施。</w:t>
      </w:r>
      <w:r w:rsidRPr="005E758A">
        <w:rPr>
          <w:rFonts w:ascii="Times New Roman" w:eastAsia="標楷體" w:hAnsi="Times New Roman"/>
          <w:sz w:val="28"/>
          <w:szCs w:val="28"/>
        </w:rPr>
        <w:t>(4)</w:t>
      </w:r>
      <w:r w:rsidRPr="005E758A">
        <w:rPr>
          <w:rFonts w:ascii="Times New Roman" w:eastAsia="標楷體" w:hAnsi="Times New Roman"/>
          <w:sz w:val="28"/>
          <w:szCs w:val="28"/>
        </w:rPr>
        <w:t>確保中心的人員接受合適鑑定、訓練以及酬勞。</w:t>
      </w:r>
      <w:r w:rsidRPr="005E758A">
        <w:rPr>
          <w:rFonts w:ascii="Times New Roman" w:eastAsia="標楷體" w:hAnsi="Times New Roman"/>
          <w:sz w:val="28"/>
          <w:szCs w:val="28"/>
        </w:rPr>
        <w:t>(5)</w:t>
      </w:r>
      <w:r w:rsidRPr="005E758A">
        <w:rPr>
          <w:rFonts w:ascii="Times New Roman" w:eastAsia="標楷體" w:hAnsi="Times New Roman"/>
          <w:sz w:val="28"/>
          <w:szCs w:val="28"/>
        </w:rPr>
        <w:t>立法規範提供兒童教育之人員受到訓練。</w:t>
      </w:r>
    </w:p>
    <w:p w14:paraId="3E929C1A" w14:textId="77777777" w:rsidR="00CC1907" w:rsidRPr="005E758A" w:rsidRDefault="00CC1907" w:rsidP="00CC1907">
      <w:pPr>
        <w:pStyle w:val="a0"/>
        <w:snapToGrid w:val="0"/>
        <w:spacing w:before="100" w:beforeAutospacing="1" w:after="100" w:afterAutospacing="1"/>
        <w:ind w:leftChars="0" w:left="0" w:firstLineChars="200" w:firstLine="560"/>
        <w:jc w:val="both"/>
        <w:rPr>
          <w:rFonts w:ascii="Times New Roman" w:eastAsia="標楷體" w:hAnsi="Times New Roman"/>
          <w:sz w:val="28"/>
          <w:szCs w:val="28"/>
        </w:rPr>
      </w:pPr>
      <w:r w:rsidRPr="005E758A">
        <w:rPr>
          <w:rFonts w:ascii="Times New Roman" w:eastAsia="標楷體" w:hAnsi="Times New Roman"/>
          <w:sz w:val="28"/>
          <w:szCs w:val="28"/>
        </w:rPr>
        <w:t>法院認為國家因未提供此身障兒童基本教育且未許可其獲特殊或其他學校之機會，侵害了此類孩童之受基本教育權利以及平等權。政府並未有合理基礎使此類孩童限制其享有相同權利以及獲得與其他孩童相同資金之權利。因此，並未有任何合法化理由支持此種侵害之行為。</w:t>
      </w:r>
    </w:p>
    <w:p w14:paraId="197B630B" w14:textId="77777777" w:rsidR="00CC1907" w:rsidRPr="005E758A" w:rsidRDefault="00CC1907" w:rsidP="00CC1907">
      <w:pPr>
        <w:pStyle w:val="a0"/>
        <w:snapToGrid w:val="0"/>
        <w:spacing w:before="100" w:beforeAutospacing="1" w:after="100" w:afterAutospacing="1"/>
        <w:ind w:leftChars="0" w:left="0" w:firstLineChars="200" w:firstLine="560"/>
        <w:jc w:val="both"/>
        <w:rPr>
          <w:rFonts w:ascii="Times New Roman" w:eastAsia="標楷體" w:hAnsi="Times New Roman"/>
          <w:sz w:val="28"/>
          <w:szCs w:val="28"/>
        </w:rPr>
      </w:pPr>
      <w:proofErr w:type="gramStart"/>
      <w:r w:rsidRPr="005E758A">
        <w:rPr>
          <w:rFonts w:ascii="Times New Roman" w:eastAsia="標楷體" w:hAnsi="Times New Roman"/>
          <w:sz w:val="28"/>
          <w:szCs w:val="28"/>
        </w:rPr>
        <w:lastRenderedPageBreak/>
        <w:t>此外，</w:t>
      </w:r>
      <w:proofErr w:type="gramEnd"/>
      <w:r w:rsidRPr="005E758A">
        <w:rPr>
          <w:rFonts w:ascii="Times New Roman" w:eastAsia="標楷體" w:hAnsi="Times New Roman"/>
          <w:sz w:val="28"/>
          <w:szCs w:val="28"/>
        </w:rPr>
        <w:t>法院認為此身障兒童被邊緣化、忽略並受到污辱，因此其到人性尊嚴之侵害。未提供教育使其暴露於被忽略之風險；而受到一些非專業者提供之教育，將使此類兒童無法獲得發展之權利，屬於一種剝奪。基此，兒童之人性尊嚴及免於被忽略及剝奪之權利亦受到侵害。</w:t>
      </w:r>
    </w:p>
    <w:p w14:paraId="2D936F6B" w14:textId="77777777" w:rsidR="00CC1907" w:rsidRPr="005E758A" w:rsidRDefault="00CC1907" w:rsidP="00CC1907">
      <w:pPr>
        <w:pStyle w:val="2"/>
      </w:pPr>
      <w:r w:rsidRPr="005E758A">
        <w:t>綜合分析</w:t>
      </w:r>
    </w:p>
    <w:p w14:paraId="0C262E39" w14:textId="77777777" w:rsidR="00CC1907" w:rsidRPr="005E758A" w:rsidRDefault="00CC1907" w:rsidP="00CC1907">
      <w:pPr>
        <w:pStyle w:val="a0"/>
        <w:snapToGrid w:val="0"/>
        <w:spacing w:before="100" w:beforeAutospacing="1" w:after="100" w:afterAutospacing="1"/>
        <w:ind w:leftChars="0" w:left="0" w:firstLineChars="200" w:firstLine="560"/>
        <w:jc w:val="both"/>
        <w:rPr>
          <w:rFonts w:ascii="Times New Roman" w:eastAsia="標楷體" w:hAnsi="Times New Roman"/>
          <w:sz w:val="28"/>
          <w:szCs w:val="28"/>
        </w:rPr>
      </w:pPr>
      <w:r w:rsidRPr="005E758A">
        <w:rPr>
          <w:rFonts w:ascii="Times New Roman" w:eastAsia="標楷體" w:hAnsi="Times New Roman"/>
          <w:sz w:val="28"/>
          <w:szCs w:val="28"/>
        </w:rPr>
        <w:t>本條就締約國在開展防止和消除一切形式歧視</w:t>
      </w:r>
      <w:r w:rsidR="002C321D" w:rsidRPr="005E758A">
        <w:rPr>
          <w:rFonts w:ascii="Times New Roman" w:eastAsia="標楷體" w:hAnsi="Times New Roman"/>
          <w:sz w:val="28"/>
          <w:szCs w:val="28"/>
        </w:rPr>
        <w:t>身心障礙</w:t>
      </w:r>
      <w:r w:rsidRPr="005E758A">
        <w:rPr>
          <w:rFonts w:ascii="Times New Roman" w:eastAsia="標楷體" w:hAnsi="Times New Roman"/>
          <w:sz w:val="28"/>
          <w:szCs w:val="28"/>
        </w:rPr>
        <w:t>兒童的工作中，應當採取下述措施</w:t>
      </w:r>
      <w:r w:rsidRPr="005E758A">
        <w:rPr>
          <w:rStyle w:val="af3"/>
          <w:rFonts w:ascii="Times New Roman" w:eastAsia="標楷體" w:hAnsi="Times New Roman"/>
        </w:rPr>
        <w:endnoteReference w:id="318"/>
      </w:r>
      <w:r w:rsidRPr="005E758A">
        <w:rPr>
          <w:rFonts w:ascii="Times New Roman" w:eastAsia="標楷體" w:hAnsi="Times New Roman"/>
          <w:sz w:val="28"/>
          <w:szCs w:val="28"/>
        </w:rPr>
        <w:t>：</w:t>
      </w:r>
    </w:p>
    <w:p w14:paraId="2FC7E5B9" w14:textId="77777777" w:rsidR="00CC1907" w:rsidRPr="005E758A" w:rsidRDefault="00CC1907" w:rsidP="007119F4">
      <w:pPr>
        <w:pStyle w:val="a0"/>
        <w:numPr>
          <w:ilvl w:val="1"/>
          <w:numId w:val="53"/>
        </w:numPr>
        <w:snapToGrid w:val="0"/>
        <w:spacing w:before="100" w:beforeAutospacing="1" w:after="100" w:afterAutospacing="1"/>
        <w:ind w:leftChars="0"/>
        <w:rPr>
          <w:rFonts w:ascii="Times New Roman" w:eastAsia="標楷體" w:hAnsi="Times New Roman"/>
          <w:sz w:val="28"/>
          <w:szCs w:val="28"/>
        </w:rPr>
      </w:pPr>
      <w:r w:rsidRPr="005E758A">
        <w:rPr>
          <w:rFonts w:ascii="Times New Roman" w:eastAsia="標楷體" w:hAnsi="Times New Roman"/>
          <w:sz w:val="28"/>
          <w:szCs w:val="28"/>
        </w:rPr>
        <w:t>在關於不歧視的憲法規定中，明確禁止以</w:t>
      </w:r>
      <w:r w:rsidR="002C321D" w:rsidRPr="005E758A">
        <w:rPr>
          <w:rFonts w:ascii="Times New Roman" w:eastAsia="標楷體" w:hAnsi="Times New Roman"/>
          <w:sz w:val="28"/>
          <w:szCs w:val="28"/>
        </w:rPr>
        <w:t>身心障礙</w:t>
      </w:r>
      <w:r w:rsidRPr="005E758A">
        <w:rPr>
          <w:rFonts w:ascii="Times New Roman" w:eastAsia="標楷體" w:hAnsi="Times New Roman"/>
          <w:sz w:val="28"/>
          <w:szCs w:val="28"/>
        </w:rPr>
        <w:t>為由的歧視，和</w:t>
      </w:r>
      <w:r w:rsidRPr="005E758A">
        <w:rPr>
          <w:rFonts w:ascii="Times New Roman" w:eastAsia="標楷體" w:hAnsi="Times New Roman"/>
          <w:sz w:val="28"/>
          <w:szCs w:val="28"/>
        </w:rPr>
        <w:t>/</w:t>
      </w:r>
      <w:r w:rsidRPr="005E758A">
        <w:rPr>
          <w:rFonts w:ascii="Times New Roman" w:eastAsia="標楷體" w:hAnsi="Times New Roman"/>
          <w:sz w:val="28"/>
          <w:szCs w:val="28"/>
        </w:rPr>
        <w:t>或在禁止歧視的專門法律或法律規定中，具體禁止基於</w:t>
      </w:r>
      <w:r w:rsidR="002C321D" w:rsidRPr="005E758A">
        <w:rPr>
          <w:rFonts w:ascii="Times New Roman" w:eastAsia="標楷體" w:hAnsi="Times New Roman"/>
          <w:sz w:val="28"/>
          <w:szCs w:val="28"/>
        </w:rPr>
        <w:t>身心障礙</w:t>
      </w:r>
      <w:r w:rsidRPr="005E758A">
        <w:rPr>
          <w:rFonts w:ascii="Times New Roman" w:eastAsia="標楷體" w:hAnsi="Times New Roman"/>
          <w:sz w:val="28"/>
          <w:szCs w:val="28"/>
        </w:rPr>
        <w:t>的歧視。</w:t>
      </w:r>
    </w:p>
    <w:p w14:paraId="22C4B9B5" w14:textId="77777777" w:rsidR="00CC1907" w:rsidRPr="005E758A" w:rsidRDefault="00CC1907" w:rsidP="007119F4">
      <w:pPr>
        <w:pStyle w:val="a0"/>
        <w:numPr>
          <w:ilvl w:val="1"/>
          <w:numId w:val="53"/>
        </w:numPr>
        <w:snapToGrid w:val="0"/>
        <w:spacing w:before="100" w:beforeAutospacing="1" w:after="100" w:afterAutospacing="1"/>
        <w:ind w:leftChars="0"/>
        <w:rPr>
          <w:rFonts w:ascii="Times New Roman" w:eastAsia="標楷體" w:hAnsi="Times New Roman"/>
          <w:sz w:val="28"/>
          <w:szCs w:val="28"/>
        </w:rPr>
      </w:pPr>
      <w:r w:rsidRPr="005E758A">
        <w:rPr>
          <w:rFonts w:ascii="Times New Roman" w:eastAsia="標楷體" w:hAnsi="Times New Roman"/>
          <w:sz w:val="28"/>
          <w:szCs w:val="28"/>
        </w:rPr>
        <w:t>為</w:t>
      </w:r>
      <w:r w:rsidR="002C321D" w:rsidRPr="005E758A">
        <w:rPr>
          <w:rFonts w:ascii="Times New Roman" w:eastAsia="標楷體" w:hAnsi="Times New Roman"/>
          <w:sz w:val="28"/>
          <w:szCs w:val="28"/>
        </w:rPr>
        <w:t>身心障礙</w:t>
      </w:r>
      <w:r w:rsidRPr="005E758A">
        <w:rPr>
          <w:rFonts w:ascii="Times New Roman" w:eastAsia="標楷體" w:hAnsi="Times New Roman"/>
          <w:sz w:val="28"/>
          <w:szCs w:val="28"/>
        </w:rPr>
        <w:t>兒童權利受到侵犯的情況提供有效的補救辦法，並確保這些補救辦法易於</w:t>
      </w:r>
      <w:r w:rsidR="002C321D" w:rsidRPr="005E758A">
        <w:rPr>
          <w:rFonts w:ascii="Times New Roman" w:eastAsia="標楷體" w:hAnsi="Times New Roman"/>
          <w:sz w:val="28"/>
          <w:szCs w:val="28"/>
        </w:rPr>
        <w:t>身心障礙</w:t>
      </w:r>
      <w:r w:rsidRPr="005E758A">
        <w:rPr>
          <w:rFonts w:ascii="Times New Roman" w:eastAsia="標楷體" w:hAnsi="Times New Roman"/>
          <w:sz w:val="28"/>
          <w:szCs w:val="28"/>
        </w:rPr>
        <w:t>兒童及其家長和</w:t>
      </w:r>
      <w:r w:rsidRPr="005E758A">
        <w:rPr>
          <w:rFonts w:ascii="Times New Roman" w:eastAsia="標楷體" w:hAnsi="Times New Roman"/>
          <w:sz w:val="28"/>
          <w:szCs w:val="28"/>
        </w:rPr>
        <w:t>/</w:t>
      </w:r>
      <w:r w:rsidRPr="005E758A">
        <w:rPr>
          <w:rFonts w:ascii="Times New Roman" w:eastAsia="標楷體" w:hAnsi="Times New Roman"/>
          <w:sz w:val="28"/>
          <w:szCs w:val="28"/>
        </w:rPr>
        <w:t>或扶養</w:t>
      </w:r>
      <w:r w:rsidR="002C321D" w:rsidRPr="005E758A">
        <w:rPr>
          <w:rFonts w:ascii="Times New Roman" w:eastAsia="標楷體" w:hAnsi="Times New Roman"/>
          <w:sz w:val="28"/>
          <w:szCs w:val="28"/>
        </w:rPr>
        <w:t>身心障礙</w:t>
      </w:r>
      <w:r w:rsidRPr="005E758A">
        <w:rPr>
          <w:rFonts w:ascii="Times New Roman" w:eastAsia="標楷體" w:hAnsi="Times New Roman"/>
          <w:sz w:val="28"/>
          <w:szCs w:val="28"/>
        </w:rPr>
        <w:t>兒童的其他人使用。</w:t>
      </w:r>
    </w:p>
    <w:p w14:paraId="701523E0" w14:textId="77777777" w:rsidR="00CC1907" w:rsidRPr="005E758A" w:rsidRDefault="00CC1907" w:rsidP="007119F4">
      <w:pPr>
        <w:pStyle w:val="a0"/>
        <w:numPr>
          <w:ilvl w:val="1"/>
          <w:numId w:val="53"/>
        </w:numPr>
        <w:snapToGrid w:val="0"/>
        <w:spacing w:before="100" w:beforeAutospacing="1" w:after="100" w:afterAutospacing="1"/>
        <w:ind w:leftChars="0"/>
        <w:rPr>
          <w:rFonts w:ascii="Times New Roman" w:eastAsia="標楷體" w:hAnsi="Times New Roman"/>
          <w:sz w:val="28"/>
          <w:szCs w:val="28"/>
        </w:rPr>
      </w:pPr>
      <w:r w:rsidRPr="005E758A">
        <w:rPr>
          <w:rFonts w:ascii="Times New Roman" w:eastAsia="標楷體" w:hAnsi="Times New Roman"/>
          <w:sz w:val="28"/>
          <w:szCs w:val="28"/>
        </w:rPr>
        <w:t>針對所有公眾和具體的專業人員群體開展宣傳和教育活動，以防止和消除對</w:t>
      </w:r>
      <w:r w:rsidR="002C321D" w:rsidRPr="005E758A">
        <w:rPr>
          <w:rFonts w:ascii="Times New Roman" w:eastAsia="標楷體" w:hAnsi="Times New Roman"/>
          <w:sz w:val="28"/>
          <w:szCs w:val="28"/>
        </w:rPr>
        <w:t>身心障礙</w:t>
      </w:r>
      <w:r w:rsidRPr="005E758A">
        <w:rPr>
          <w:rFonts w:ascii="Times New Roman" w:eastAsia="標楷體" w:hAnsi="Times New Roman"/>
          <w:sz w:val="28"/>
          <w:szCs w:val="28"/>
        </w:rPr>
        <w:t>兒童事實上的歧視行為。</w:t>
      </w:r>
    </w:p>
    <w:p w14:paraId="760E4162" w14:textId="77777777" w:rsidR="00CC1907" w:rsidRPr="005E758A" w:rsidRDefault="00CC1907" w:rsidP="00CC1907">
      <w:pPr>
        <w:pStyle w:val="a0"/>
        <w:snapToGrid w:val="0"/>
        <w:spacing w:before="100" w:beforeAutospacing="1" w:after="100" w:afterAutospacing="1"/>
        <w:ind w:leftChars="0" w:left="0" w:firstLineChars="200" w:firstLine="560"/>
        <w:jc w:val="both"/>
        <w:rPr>
          <w:rFonts w:ascii="Times New Roman" w:eastAsia="標楷體" w:hAnsi="Times New Roman"/>
          <w:sz w:val="28"/>
          <w:szCs w:val="28"/>
        </w:rPr>
      </w:pPr>
      <w:r w:rsidRPr="005E758A">
        <w:rPr>
          <w:rFonts w:ascii="Times New Roman" w:eastAsia="標楷體" w:hAnsi="Times New Roman"/>
          <w:sz w:val="28"/>
          <w:szCs w:val="28"/>
        </w:rPr>
        <w:t>依據兒童權利委員會之說明，身心障礙兒童所面臨的阻礙並非來自於兒童本身的障礙，而是他們每天所面對的社會、文化、態度及環境整體所帶來的困難。因此確保身心障礙兒童權利的最佳策略即是</w:t>
      </w:r>
      <w:proofErr w:type="gramStart"/>
      <w:r w:rsidRPr="005E758A">
        <w:rPr>
          <w:rFonts w:ascii="Times New Roman" w:eastAsia="標楷體" w:hAnsi="Times New Roman"/>
          <w:sz w:val="28"/>
          <w:szCs w:val="28"/>
        </w:rPr>
        <w:t>採</w:t>
      </w:r>
      <w:proofErr w:type="gramEnd"/>
      <w:r w:rsidRPr="005E758A">
        <w:rPr>
          <w:rFonts w:ascii="Times New Roman" w:eastAsia="標楷體" w:hAnsi="Times New Roman"/>
          <w:sz w:val="28"/>
          <w:szCs w:val="28"/>
        </w:rPr>
        <w:t>行必要措施以排除前開困</w:t>
      </w:r>
      <w:proofErr w:type="gramStart"/>
      <w:r w:rsidRPr="005E758A">
        <w:rPr>
          <w:rFonts w:ascii="Times New Roman" w:eastAsia="標楷體" w:hAnsi="Times New Roman"/>
          <w:sz w:val="28"/>
          <w:szCs w:val="28"/>
        </w:rPr>
        <w:t>難</w:t>
      </w:r>
      <w:proofErr w:type="gramEnd"/>
      <w:r w:rsidRPr="005E758A">
        <w:rPr>
          <w:rStyle w:val="af3"/>
          <w:rFonts w:ascii="Times New Roman" w:eastAsia="標楷體" w:hAnsi="Times New Roman"/>
        </w:rPr>
        <w:endnoteReference w:id="319"/>
      </w:r>
      <w:r w:rsidRPr="005E758A">
        <w:rPr>
          <w:rFonts w:ascii="Times New Roman" w:eastAsia="標楷體" w:hAnsi="Times New Roman"/>
          <w:sz w:val="28"/>
          <w:szCs w:val="28"/>
        </w:rPr>
        <w:t>。</w:t>
      </w:r>
    </w:p>
    <w:p w14:paraId="1BEF33EE" w14:textId="77777777" w:rsidR="00CC1907" w:rsidRPr="005E758A" w:rsidRDefault="00CC1907" w:rsidP="00CC1907">
      <w:pPr>
        <w:pStyle w:val="a0"/>
        <w:snapToGrid w:val="0"/>
        <w:spacing w:before="100" w:beforeAutospacing="1" w:after="100" w:afterAutospacing="1"/>
        <w:ind w:leftChars="0" w:left="0" w:firstLineChars="200" w:firstLine="560"/>
        <w:jc w:val="both"/>
        <w:rPr>
          <w:rFonts w:ascii="Times New Roman" w:eastAsia="標楷體" w:hAnsi="Times New Roman"/>
          <w:sz w:val="28"/>
          <w:szCs w:val="28"/>
        </w:rPr>
      </w:pPr>
      <w:r w:rsidRPr="005E758A">
        <w:rPr>
          <w:rFonts w:ascii="Times New Roman" w:eastAsia="標楷體" w:hAnsi="Times New Roman"/>
          <w:sz w:val="28"/>
          <w:szCs w:val="28"/>
        </w:rPr>
        <w:t>兒童權利委員會曾於</w:t>
      </w:r>
      <w:r w:rsidRPr="005E758A">
        <w:rPr>
          <w:rFonts w:ascii="Times New Roman" w:eastAsia="標楷體" w:hAnsi="Times New Roman"/>
          <w:sz w:val="28"/>
          <w:szCs w:val="28"/>
        </w:rPr>
        <w:t>1997</w:t>
      </w:r>
      <w:r w:rsidRPr="005E758A">
        <w:rPr>
          <w:rFonts w:ascii="Times New Roman" w:eastAsia="標楷體" w:hAnsi="Times New Roman"/>
          <w:sz w:val="28"/>
          <w:szCs w:val="28"/>
        </w:rPr>
        <w:t>年就身心障礙兒童進行一般性一日討論，其中提到，「社會融入」的意涵在於廣泛地接納，而非要求所有人達成一個假設的「正常」標準，故而核心在於尊重身障兒童的人性尊嚴</w:t>
      </w:r>
      <w:r w:rsidRPr="005E758A">
        <w:rPr>
          <w:rStyle w:val="af3"/>
          <w:rFonts w:ascii="Times New Roman" w:eastAsia="標楷體" w:hAnsi="Times New Roman"/>
        </w:rPr>
        <w:endnoteReference w:id="320"/>
      </w:r>
      <w:r w:rsidRPr="005E758A">
        <w:rPr>
          <w:rFonts w:ascii="Times New Roman" w:eastAsia="標楷體" w:hAnsi="Times New Roman"/>
          <w:sz w:val="28"/>
          <w:szCs w:val="28"/>
        </w:rPr>
        <w:t>。</w:t>
      </w:r>
      <w:proofErr w:type="gramStart"/>
      <w:r w:rsidRPr="005E758A">
        <w:rPr>
          <w:rFonts w:ascii="Times New Roman" w:eastAsia="標楷體" w:hAnsi="Times New Roman"/>
          <w:sz w:val="28"/>
          <w:szCs w:val="28"/>
        </w:rPr>
        <w:t>此外，</w:t>
      </w:r>
      <w:proofErr w:type="gramEnd"/>
      <w:r w:rsidRPr="005E758A">
        <w:rPr>
          <w:rFonts w:ascii="Times New Roman" w:eastAsia="標楷體" w:hAnsi="Times New Roman"/>
          <w:sz w:val="28"/>
          <w:szCs w:val="28"/>
        </w:rPr>
        <w:t>該委員會於</w:t>
      </w:r>
      <w:r w:rsidRPr="005E758A">
        <w:rPr>
          <w:rFonts w:ascii="Times New Roman" w:eastAsia="標楷體" w:hAnsi="Times New Roman"/>
          <w:sz w:val="28"/>
          <w:szCs w:val="28"/>
        </w:rPr>
        <w:t>2013</w:t>
      </w:r>
      <w:r w:rsidRPr="005E758A">
        <w:rPr>
          <w:rFonts w:ascii="Times New Roman" w:eastAsia="標楷體" w:hAnsi="Times New Roman"/>
          <w:sz w:val="28"/>
          <w:szCs w:val="28"/>
        </w:rPr>
        <w:t>年</w:t>
      </w:r>
      <w:r w:rsidRPr="005E758A">
        <w:rPr>
          <w:rFonts w:ascii="Times New Roman" w:eastAsia="標楷體" w:hAnsi="Times New Roman"/>
          <w:sz w:val="28"/>
          <w:szCs w:val="28"/>
        </w:rPr>
        <w:t>5</w:t>
      </w:r>
      <w:r w:rsidRPr="005E758A">
        <w:rPr>
          <w:rFonts w:ascii="Times New Roman" w:eastAsia="標楷體" w:hAnsi="Times New Roman"/>
          <w:sz w:val="28"/>
          <w:szCs w:val="28"/>
        </w:rPr>
        <w:t>月公布第</w:t>
      </w:r>
      <w:r w:rsidRPr="005E758A">
        <w:rPr>
          <w:rFonts w:ascii="Times New Roman" w:eastAsia="標楷體" w:hAnsi="Times New Roman"/>
          <w:sz w:val="28"/>
          <w:szCs w:val="28"/>
        </w:rPr>
        <w:t>9</w:t>
      </w:r>
      <w:r w:rsidRPr="005E758A">
        <w:rPr>
          <w:rFonts w:ascii="Times New Roman" w:eastAsia="標楷體" w:hAnsi="Times New Roman"/>
          <w:sz w:val="28"/>
          <w:szCs w:val="28"/>
        </w:rPr>
        <w:t>號一般</w:t>
      </w:r>
      <w:r w:rsidR="00371A18" w:rsidRPr="005E758A">
        <w:rPr>
          <w:rFonts w:ascii="Times New Roman" w:eastAsia="標楷體" w:hAnsi="Times New Roman"/>
          <w:sz w:val="28"/>
          <w:szCs w:val="28"/>
        </w:rPr>
        <w:t>性意見</w:t>
      </w:r>
      <w:r w:rsidRPr="005E758A">
        <w:rPr>
          <w:rFonts w:ascii="Times New Roman" w:eastAsia="標楷體" w:hAnsi="Times New Roman"/>
          <w:sz w:val="28"/>
          <w:szCs w:val="28"/>
        </w:rPr>
        <w:t>，對本條及第</w:t>
      </w:r>
      <w:r w:rsidRPr="005E758A">
        <w:rPr>
          <w:rFonts w:ascii="Times New Roman" w:eastAsia="標楷體" w:hAnsi="Times New Roman"/>
          <w:sz w:val="28"/>
          <w:szCs w:val="28"/>
        </w:rPr>
        <w:t>2</w:t>
      </w:r>
      <w:r w:rsidRPr="005E758A">
        <w:rPr>
          <w:rFonts w:ascii="Times New Roman" w:eastAsia="標楷體" w:hAnsi="Times New Roman"/>
          <w:sz w:val="28"/>
          <w:szCs w:val="28"/>
        </w:rPr>
        <w:t>條</w:t>
      </w:r>
      <w:r w:rsidR="00371A18" w:rsidRPr="005E758A">
        <w:rPr>
          <w:rFonts w:ascii="Times New Roman" w:eastAsia="標楷體" w:hAnsi="Times New Roman"/>
          <w:sz w:val="28"/>
          <w:szCs w:val="28"/>
        </w:rPr>
        <w:t>（</w:t>
      </w:r>
      <w:r w:rsidRPr="005E758A">
        <w:rPr>
          <w:rFonts w:ascii="Times New Roman" w:eastAsia="標楷體" w:hAnsi="Times New Roman"/>
          <w:sz w:val="28"/>
          <w:szCs w:val="28"/>
        </w:rPr>
        <w:t>禁止歧視</w:t>
      </w:r>
      <w:r w:rsidR="00371A18" w:rsidRPr="005E758A">
        <w:rPr>
          <w:rFonts w:ascii="Times New Roman" w:eastAsia="標楷體" w:hAnsi="Times New Roman"/>
          <w:sz w:val="28"/>
          <w:szCs w:val="28"/>
        </w:rPr>
        <w:t>）</w:t>
      </w:r>
      <w:r w:rsidRPr="005E758A">
        <w:rPr>
          <w:rFonts w:ascii="Times New Roman" w:eastAsia="標楷體" w:hAnsi="Times New Roman"/>
          <w:sz w:val="28"/>
          <w:szCs w:val="28"/>
        </w:rPr>
        <w:t>全面性的落實提供進一步說明，而第</w:t>
      </w:r>
      <w:r w:rsidRPr="005E758A">
        <w:rPr>
          <w:rFonts w:ascii="Times New Roman" w:eastAsia="標楷體" w:hAnsi="Times New Roman"/>
          <w:sz w:val="28"/>
          <w:szCs w:val="28"/>
        </w:rPr>
        <w:t>7</w:t>
      </w:r>
      <w:r w:rsidRPr="005E758A">
        <w:rPr>
          <w:rFonts w:ascii="Times New Roman" w:eastAsia="標楷體" w:hAnsi="Times New Roman"/>
          <w:sz w:val="28"/>
          <w:szCs w:val="28"/>
        </w:rPr>
        <w:t>號一般性意見</w:t>
      </w:r>
      <w:r w:rsidR="00371A18" w:rsidRPr="005E758A">
        <w:rPr>
          <w:rFonts w:ascii="Times New Roman" w:eastAsia="標楷體" w:hAnsi="Times New Roman"/>
          <w:sz w:val="28"/>
          <w:szCs w:val="28"/>
        </w:rPr>
        <w:t>（</w:t>
      </w:r>
      <w:r w:rsidRPr="005E758A">
        <w:rPr>
          <w:rFonts w:ascii="Times New Roman" w:eastAsia="標楷體" w:hAnsi="Times New Roman"/>
          <w:sz w:val="28"/>
          <w:szCs w:val="28"/>
        </w:rPr>
        <w:t>兒童權利於幼兒時期之落實</w:t>
      </w:r>
      <w:r w:rsidR="00371A18" w:rsidRPr="005E758A">
        <w:rPr>
          <w:rFonts w:ascii="Times New Roman" w:eastAsia="標楷體" w:hAnsi="Times New Roman"/>
          <w:sz w:val="28"/>
          <w:szCs w:val="28"/>
        </w:rPr>
        <w:t>）</w:t>
      </w:r>
      <w:r w:rsidRPr="005E758A">
        <w:rPr>
          <w:rFonts w:ascii="Times New Roman" w:eastAsia="標楷體" w:hAnsi="Times New Roman"/>
          <w:sz w:val="28"/>
          <w:szCs w:val="28"/>
        </w:rPr>
        <w:t>與第</w:t>
      </w:r>
      <w:r w:rsidRPr="005E758A">
        <w:rPr>
          <w:rFonts w:ascii="Times New Roman" w:eastAsia="標楷體" w:hAnsi="Times New Roman"/>
          <w:sz w:val="28"/>
          <w:szCs w:val="28"/>
        </w:rPr>
        <w:t>4</w:t>
      </w:r>
      <w:r w:rsidRPr="005E758A">
        <w:rPr>
          <w:rFonts w:ascii="Times New Roman" w:eastAsia="標楷體" w:hAnsi="Times New Roman"/>
          <w:sz w:val="28"/>
          <w:szCs w:val="28"/>
        </w:rPr>
        <w:t>號一般性意見</w:t>
      </w:r>
      <w:r w:rsidR="00371A18" w:rsidRPr="005E758A">
        <w:rPr>
          <w:rFonts w:ascii="Times New Roman" w:eastAsia="標楷體" w:hAnsi="Times New Roman"/>
          <w:sz w:val="28"/>
          <w:szCs w:val="28"/>
        </w:rPr>
        <w:t>（</w:t>
      </w:r>
      <w:r w:rsidRPr="005E758A">
        <w:rPr>
          <w:rFonts w:ascii="Times New Roman" w:eastAsia="標楷體" w:hAnsi="Times New Roman"/>
          <w:sz w:val="28"/>
          <w:szCs w:val="28"/>
        </w:rPr>
        <w:t>少年健康</w:t>
      </w:r>
      <w:r w:rsidR="00371A18" w:rsidRPr="005E758A">
        <w:rPr>
          <w:rFonts w:ascii="Times New Roman" w:eastAsia="標楷體" w:hAnsi="Times New Roman"/>
          <w:sz w:val="28"/>
          <w:szCs w:val="28"/>
        </w:rPr>
        <w:t>與</w:t>
      </w:r>
      <w:r w:rsidRPr="005E758A">
        <w:rPr>
          <w:rFonts w:ascii="Times New Roman" w:eastAsia="標楷體" w:hAnsi="Times New Roman"/>
          <w:sz w:val="28"/>
          <w:szCs w:val="28"/>
        </w:rPr>
        <w:t>發展</w:t>
      </w:r>
      <w:r w:rsidR="00371A18" w:rsidRPr="005E758A">
        <w:rPr>
          <w:rFonts w:ascii="Times New Roman" w:eastAsia="標楷體" w:hAnsi="Times New Roman"/>
          <w:sz w:val="28"/>
          <w:szCs w:val="28"/>
        </w:rPr>
        <w:t>）</w:t>
      </w:r>
      <w:r w:rsidRPr="005E758A">
        <w:rPr>
          <w:rFonts w:ascii="Times New Roman" w:eastAsia="標楷體" w:hAnsi="Times New Roman"/>
          <w:sz w:val="28"/>
          <w:szCs w:val="28"/>
        </w:rPr>
        <w:t>亦有相關說明可供參考</w:t>
      </w:r>
      <w:r w:rsidRPr="005E758A">
        <w:rPr>
          <w:rStyle w:val="af3"/>
          <w:rFonts w:ascii="Times New Roman" w:eastAsia="標楷體" w:hAnsi="Times New Roman"/>
        </w:rPr>
        <w:endnoteReference w:id="321"/>
      </w:r>
      <w:r w:rsidRPr="005E758A">
        <w:rPr>
          <w:rFonts w:ascii="Times New Roman" w:eastAsia="標楷體" w:hAnsi="Times New Roman"/>
          <w:sz w:val="28"/>
          <w:szCs w:val="28"/>
        </w:rPr>
        <w:t>。</w:t>
      </w:r>
    </w:p>
    <w:p w14:paraId="42A7F785" w14:textId="77777777" w:rsidR="00CC1907" w:rsidRPr="005E758A" w:rsidRDefault="00CC1907" w:rsidP="00CC1907">
      <w:pPr>
        <w:pStyle w:val="2"/>
      </w:pPr>
      <w:r w:rsidRPr="005E758A">
        <w:t>參考資料</w:t>
      </w:r>
    </w:p>
    <w:p w14:paraId="40CF7CC9" w14:textId="77777777" w:rsidR="00CC1907" w:rsidRPr="005E758A" w:rsidRDefault="00CC1907" w:rsidP="007119F4">
      <w:pPr>
        <w:pStyle w:val="a0"/>
        <w:numPr>
          <w:ilvl w:val="0"/>
          <w:numId w:val="55"/>
        </w:numPr>
        <w:snapToGrid w:val="0"/>
        <w:spacing w:before="100" w:beforeAutospacing="1" w:after="100" w:afterAutospacing="1"/>
        <w:ind w:leftChars="0"/>
        <w:jc w:val="both"/>
        <w:rPr>
          <w:rFonts w:ascii="Times New Roman" w:eastAsia="標楷體" w:hAnsi="Times New Roman"/>
          <w:sz w:val="28"/>
          <w:szCs w:val="28"/>
        </w:rPr>
      </w:pPr>
      <w:r w:rsidRPr="005E758A">
        <w:rPr>
          <w:rFonts w:ascii="Times New Roman" w:eastAsia="標楷體" w:hAnsi="Times New Roman"/>
          <w:sz w:val="28"/>
          <w:szCs w:val="28"/>
        </w:rPr>
        <w:t>兒童權利委員會，第</w:t>
      </w:r>
      <w:r w:rsidRPr="005E758A">
        <w:rPr>
          <w:rFonts w:ascii="Times New Roman" w:eastAsia="標楷體" w:hAnsi="Times New Roman"/>
          <w:sz w:val="28"/>
          <w:szCs w:val="28"/>
        </w:rPr>
        <w:t>9</w:t>
      </w:r>
      <w:r w:rsidRPr="005E758A">
        <w:rPr>
          <w:rFonts w:ascii="Times New Roman" w:eastAsia="標楷體" w:hAnsi="Times New Roman"/>
          <w:sz w:val="28"/>
          <w:szCs w:val="28"/>
        </w:rPr>
        <w:t>號一般性意見「身心障礙兒童的權利」。</w:t>
      </w:r>
      <w:r w:rsidRPr="005E758A">
        <w:rPr>
          <w:rFonts w:ascii="Times New Roman" w:eastAsia="標楷體" w:hAnsi="Times New Roman"/>
          <w:sz w:val="28"/>
          <w:szCs w:val="28"/>
        </w:rPr>
        <w:t>(Committee on the Rights of the Child, General Comment No. 9: The Rights of Children with Disabilities, U.N. Doc. CRC/C/GC/9 (Feb. 27, 2007).)</w:t>
      </w:r>
    </w:p>
    <w:p w14:paraId="72F31231" w14:textId="77777777" w:rsidR="00CC1907" w:rsidRPr="005E758A" w:rsidRDefault="00CC1907" w:rsidP="007119F4">
      <w:pPr>
        <w:pStyle w:val="a0"/>
        <w:numPr>
          <w:ilvl w:val="0"/>
          <w:numId w:val="55"/>
        </w:numPr>
        <w:snapToGrid w:val="0"/>
        <w:spacing w:before="100" w:beforeAutospacing="1" w:after="100" w:afterAutospacing="1"/>
        <w:ind w:leftChars="0" w:left="448" w:hanging="448"/>
        <w:jc w:val="both"/>
        <w:rPr>
          <w:rFonts w:ascii="Times New Roman" w:eastAsia="標楷體" w:hAnsi="Times New Roman"/>
          <w:sz w:val="28"/>
          <w:szCs w:val="28"/>
        </w:rPr>
      </w:pPr>
      <w:r w:rsidRPr="005E758A">
        <w:rPr>
          <w:rFonts w:ascii="Times New Roman" w:eastAsia="標楷體" w:hAnsi="Times New Roman"/>
          <w:sz w:val="28"/>
          <w:szCs w:val="28"/>
        </w:rPr>
        <w:t>林沛君，兒少人權向前行，臺北市，台灣展翅協會，</w:t>
      </w:r>
      <w:r w:rsidRPr="005E758A">
        <w:rPr>
          <w:rFonts w:ascii="Times New Roman" w:eastAsia="標楷體" w:hAnsi="Times New Roman"/>
          <w:sz w:val="28"/>
          <w:szCs w:val="28"/>
        </w:rPr>
        <w:t>2015</w:t>
      </w:r>
      <w:r w:rsidRPr="005E758A">
        <w:rPr>
          <w:rFonts w:ascii="Times New Roman" w:eastAsia="標楷體" w:hAnsi="Times New Roman"/>
          <w:sz w:val="28"/>
          <w:szCs w:val="28"/>
        </w:rPr>
        <w:t>年</w:t>
      </w:r>
      <w:r w:rsidRPr="005E758A">
        <w:rPr>
          <w:rFonts w:ascii="Times New Roman" w:eastAsia="標楷體" w:hAnsi="Times New Roman"/>
          <w:sz w:val="28"/>
          <w:szCs w:val="28"/>
        </w:rPr>
        <w:t>4</w:t>
      </w:r>
      <w:r w:rsidRPr="005E758A">
        <w:rPr>
          <w:rFonts w:ascii="Times New Roman" w:eastAsia="標楷體" w:hAnsi="Times New Roman"/>
          <w:sz w:val="28"/>
          <w:szCs w:val="28"/>
        </w:rPr>
        <w:t>月。</w:t>
      </w:r>
    </w:p>
    <w:p w14:paraId="720DE692" w14:textId="77777777" w:rsidR="00CC1907" w:rsidRPr="005E758A" w:rsidRDefault="00CC1907" w:rsidP="00CC1907">
      <w:pPr>
        <w:snapToGrid w:val="0"/>
        <w:spacing w:before="100" w:beforeAutospacing="1" w:after="100" w:afterAutospacing="1"/>
        <w:rPr>
          <w:sz w:val="28"/>
          <w:szCs w:val="28"/>
        </w:rPr>
      </w:pPr>
    </w:p>
    <w:p w14:paraId="1A536A26" w14:textId="77777777" w:rsidR="00CC1907" w:rsidRPr="005E758A" w:rsidRDefault="00CC1907" w:rsidP="00CC1907">
      <w:pPr>
        <w:snapToGrid w:val="0"/>
        <w:spacing w:before="100" w:beforeAutospacing="1" w:after="100" w:afterAutospacing="1"/>
        <w:rPr>
          <w:sz w:val="28"/>
          <w:szCs w:val="28"/>
        </w:rPr>
        <w:sectPr w:rsidR="00CC1907" w:rsidRPr="005E758A">
          <w:endnotePr>
            <w:numFmt w:val="decimal"/>
            <w:numRestart w:val="eachSect"/>
          </w:endnotePr>
          <w:pgSz w:w="11906" w:h="16838"/>
          <w:pgMar w:top="1440" w:right="1800" w:bottom="1440" w:left="1800" w:header="851" w:footer="992" w:gutter="0"/>
          <w:cols w:space="425"/>
          <w:docGrid w:type="lines" w:linePitch="360"/>
        </w:sectPr>
      </w:pPr>
      <w:r w:rsidRPr="005E758A">
        <w:rPr>
          <w:sz w:val="28"/>
          <w:szCs w:val="28"/>
        </w:rPr>
        <w:t>關鍵詞：身心障礙、特別照顧、參與社會、健康照顧、融入社會</w:t>
      </w:r>
    </w:p>
    <w:p w14:paraId="0D1BF811" w14:textId="77777777" w:rsidR="0067212E" w:rsidRDefault="0067212E" w:rsidP="0067212E">
      <w:pPr>
        <w:pStyle w:val="1"/>
        <w:rPr>
          <w:sz w:val="28"/>
        </w:rPr>
      </w:pPr>
      <w:bookmarkStart w:id="72" w:name="_Toc431072740"/>
      <w:r w:rsidRPr="005E758A">
        <w:lastRenderedPageBreak/>
        <w:t>第</w:t>
      </w:r>
      <w:r w:rsidRPr="005E758A">
        <w:t>24</w:t>
      </w:r>
      <w:r w:rsidRPr="005E758A">
        <w:t>條</w:t>
      </w:r>
      <w:r>
        <w:rPr>
          <w:rFonts w:hint="eastAsia"/>
        </w:rPr>
        <w:t xml:space="preserve">　健康照護</w:t>
      </w:r>
      <w:bookmarkEnd w:id="72"/>
    </w:p>
    <w:tbl>
      <w:tblPr>
        <w:tblW w:w="82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8220"/>
      </w:tblGrid>
      <w:tr w:rsidR="0067212E" w:rsidRPr="005E758A" w14:paraId="7A283FE6" w14:textId="77777777" w:rsidTr="0067212E">
        <w:trPr>
          <w:jc w:val="center"/>
        </w:trPr>
        <w:tc>
          <w:tcPr>
            <w:tcW w:w="8220" w:type="dxa"/>
          </w:tcPr>
          <w:p w14:paraId="050869DD" w14:textId="77777777" w:rsidR="0067212E" w:rsidRPr="005E758A" w:rsidRDefault="0067212E" w:rsidP="002B035C">
            <w:pPr>
              <w:pStyle w:val="a0"/>
              <w:numPr>
                <w:ilvl w:val="3"/>
                <w:numId w:val="1"/>
              </w:numPr>
              <w:snapToGrid w:val="0"/>
              <w:spacing w:before="100" w:beforeAutospacing="1" w:after="100" w:afterAutospacing="1"/>
              <w:ind w:leftChars="0" w:left="357" w:hanging="357"/>
              <w:jc w:val="both"/>
              <w:rPr>
                <w:rFonts w:ascii="Times New Roman" w:eastAsia="標楷體" w:hAnsi="Times New Roman"/>
                <w:sz w:val="28"/>
                <w:szCs w:val="28"/>
              </w:rPr>
            </w:pPr>
            <w:r w:rsidRPr="005E758A">
              <w:rPr>
                <w:rFonts w:ascii="Times New Roman" w:eastAsia="標楷體" w:hAnsi="Times New Roman"/>
                <w:sz w:val="28"/>
                <w:szCs w:val="28"/>
              </w:rPr>
              <w:t>締約國確認兒童有權享有最高可達水準之健康與促進疾病治療以及恢復健康之權利。締約國應努力確保所有兒童享有健康照護服務之權利不遭受剝奪。</w:t>
            </w:r>
          </w:p>
          <w:p w14:paraId="2ED1F3EA" w14:textId="77777777" w:rsidR="0067212E" w:rsidRPr="005E758A" w:rsidRDefault="0067212E" w:rsidP="002B035C">
            <w:pPr>
              <w:pStyle w:val="a0"/>
              <w:numPr>
                <w:ilvl w:val="3"/>
                <w:numId w:val="1"/>
              </w:numPr>
              <w:snapToGrid w:val="0"/>
              <w:spacing w:before="100" w:beforeAutospacing="1" w:after="100" w:afterAutospacing="1"/>
              <w:ind w:leftChars="0" w:left="357" w:hanging="357"/>
              <w:jc w:val="both"/>
              <w:rPr>
                <w:rFonts w:ascii="Times New Roman" w:eastAsia="標楷體" w:hAnsi="Times New Roman"/>
                <w:sz w:val="28"/>
                <w:szCs w:val="28"/>
              </w:rPr>
            </w:pPr>
            <w:r w:rsidRPr="005E758A">
              <w:rPr>
                <w:rFonts w:ascii="Times New Roman" w:eastAsia="標楷體" w:hAnsi="Times New Roman"/>
                <w:sz w:val="28"/>
                <w:szCs w:val="28"/>
              </w:rPr>
              <w:t>締約國應致力於充分執行此權利，並應特別針對下列事項採取適當之措施：</w:t>
            </w:r>
          </w:p>
          <w:p w14:paraId="47872D6D" w14:textId="77777777" w:rsidR="0067212E" w:rsidRPr="005E758A" w:rsidRDefault="0067212E" w:rsidP="002B035C">
            <w:pPr>
              <w:pStyle w:val="a0"/>
              <w:numPr>
                <w:ilvl w:val="5"/>
                <w:numId w:val="1"/>
              </w:numPr>
              <w:snapToGrid w:val="0"/>
              <w:spacing w:before="100" w:beforeAutospacing="1" w:after="100" w:afterAutospacing="1"/>
              <w:ind w:leftChars="0" w:left="780"/>
              <w:jc w:val="both"/>
              <w:rPr>
                <w:rFonts w:ascii="Times New Roman" w:eastAsia="標楷體" w:hAnsi="Times New Roman"/>
                <w:sz w:val="28"/>
                <w:szCs w:val="28"/>
              </w:rPr>
            </w:pPr>
            <w:r w:rsidRPr="005E758A">
              <w:rPr>
                <w:rFonts w:ascii="Times New Roman" w:eastAsia="標楷體" w:hAnsi="Times New Roman"/>
                <w:sz w:val="28"/>
                <w:szCs w:val="28"/>
              </w:rPr>
              <w:t>降低嬰幼兒之死亡率；</w:t>
            </w:r>
          </w:p>
          <w:p w14:paraId="27E68B23" w14:textId="77777777" w:rsidR="0067212E" w:rsidRPr="005E758A" w:rsidRDefault="0067212E" w:rsidP="002B035C">
            <w:pPr>
              <w:pStyle w:val="a0"/>
              <w:numPr>
                <w:ilvl w:val="5"/>
                <w:numId w:val="1"/>
              </w:numPr>
              <w:snapToGrid w:val="0"/>
              <w:spacing w:before="100" w:beforeAutospacing="1" w:after="100" w:afterAutospacing="1"/>
              <w:ind w:leftChars="0" w:left="780"/>
              <w:jc w:val="both"/>
              <w:rPr>
                <w:rFonts w:ascii="Times New Roman" w:eastAsia="標楷體" w:hAnsi="Times New Roman"/>
                <w:sz w:val="28"/>
                <w:szCs w:val="28"/>
              </w:rPr>
            </w:pPr>
            <w:r w:rsidRPr="005E758A">
              <w:rPr>
                <w:rFonts w:ascii="Times New Roman" w:eastAsia="標楷體" w:hAnsi="Times New Roman"/>
                <w:sz w:val="28"/>
                <w:szCs w:val="28"/>
              </w:rPr>
              <w:t>確保提供所有兒童必須之醫療協助及健康照顧，並強調基礎健康照顧之發展；</w:t>
            </w:r>
          </w:p>
          <w:p w14:paraId="52747DB4" w14:textId="77777777" w:rsidR="0067212E" w:rsidRPr="005E758A" w:rsidRDefault="0067212E" w:rsidP="002B035C">
            <w:pPr>
              <w:pStyle w:val="a0"/>
              <w:numPr>
                <w:ilvl w:val="5"/>
                <w:numId w:val="1"/>
              </w:numPr>
              <w:snapToGrid w:val="0"/>
              <w:spacing w:before="100" w:beforeAutospacing="1" w:after="100" w:afterAutospacing="1"/>
              <w:ind w:leftChars="0" w:left="780"/>
              <w:jc w:val="both"/>
              <w:rPr>
                <w:rFonts w:ascii="Times New Roman" w:eastAsia="標楷體" w:hAnsi="Times New Roman"/>
                <w:sz w:val="28"/>
                <w:szCs w:val="28"/>
              </w:rPr>
            </w:pPr>
            <w:r w:rsidRPr="005E758A">
              <w:rPr>
                <w:rFonts w:ascii="Times New Roman" w:eastAsia="標楷體" w:hAnsi="Times New Roman"/>
                <w:sz w:val="28"/>
                <w:szCs w:val="28"/>
              </w:rPr>
              <w:t>消除疾病與營養不良的現象，包括在基礎健康照顧之架構下運用現行技術，以及透過提供適當營養食物及清潔之飲用水，並應考量環境污染之危險與風險；</w:t>
            </w:r>
          </w:p>
          <w:p w14:paraId="5A0740E0" w14:textId="77777777" w:rsidR="0067212E" w:rsidRPr="005E758A" w:rsidRDefault="0067212E" w:rsidP="002B035C">
            <w:pPr>
              <w:pStyle w:val="a0"/>
              <w:numPr>
                <w:ilvl w:val="5"/>
                <w:numId w:val="1"/>
              </w:numPr>
              <w:snapToGrid w:val="0"/>
              <w:spacing w:before="100" w:beforeAutospacing="1" w:after="100" w:afterAutospacing="1"/>
              <w:ind w:leftChars="0" w:left="780"/>
              <w:jc w:val="both"/>
              <w:rPr>
                <w:rFonts w:ascii="Times New Roman" w:eastAsia="標楷體" w:hAnsi="Times New Roman"/>
                <w:sz w:val="28"/>
                <w:szCs w:val="28"/>
              </w:rPr>
            </w:pPr>
            <w:r w:rsidRPr="005E758A">
              <w:rPr>
                <w:rFonts w:ascii="Times New Roman" w:eastAsia="標楷體" w:hAnsi="Times New Roman"/>
                <w:sz w:val="28"/>
                <w:szCs w:val="28"/>
              </w:rPr>
              <w:t>確保母親得到適當的產前及產後健康照顧；</w:t>
            </w:r>
          </w:p>
          <w:p w14:paraId="6350AD16" w14:textId="77777777" w:rsidR="0067212E" w:rsidRPr="005E758A" w:rsidRDefault="0067212E" w:rsidP="002B035C">
            <w:pPr>
              <w:pStyle w:val="a0"/>
              <w:numPr>
                <w:ilvl w:val="5"/>
                <w:numId w:val="1"/>
              </w:numPr>
              <w:snapToGrid w:val="0"/>
              <w:spacing w:before="100" w:beforeAutospacing="1" w:after="100" w:afterAutospacing="1"/>
              <w:ind w:leftChars="0" w:left="780"/>
              <w:jc w:val="both"/>
              <w:rPr>
                <w:rFonts w:ascii="Times New Roman" w:eastAsia="標楷體" w:hAnsi="Times New Roman"/>
                <w:sz w:val="28"/>
                <w:szCs w:val="28"/>
              </w:rPr>
            </w:pPr>
            <w:r w:rsidRPr="005E758A">
              <w:rPr>
                <w:rFonts w:ascii="Times New Roman" w:eastAsia="標楷體" w:hAnsi="Times New Roman"/>
                <w:sz w:val="28"/>
                <w:szCs w:val="28"/>
              </w:rPr>
              <w:t>確保社會各階層，尤其是父母及兒童，獲得有關兒童健康與營養、母乳育嬰之優點、個人與環境衛生以及防止意外事故之基本知識之教育並協助該等知識之運用；</w:t>
            </w:r>
          </w:p>
          <w:p w14:paraId="290D0B6C" w14:textId="77777777" w:rsidR="0067212E" w:rsidRPr="005E758A" w:rsidRDefault="0067212E" w:rsidP="002B035C">
            <w:pPr>
              <w:pStyle w:val="a0"/>
              <w:numPr>
                <w:ilvl w:val="5"/>
                <w:numId w:val="1"/>
              </w:numPr>
              <w:snapToGrid w:val="0"/>
              <w:spacing w:before="100" w:beforeAutospacing="1" w:after="100" w:afterAutospacing="1"/>
              <w:ind w:leftChars="0" w:left="780"/>
              <w:jc w:val="both"/>
              <w:rPr>
                <w:rFonts w:ascii="Times New Roman" w:eastAsia="標楷體" w:hAnsi="Times New Roman"/>
                <w:sz w:val="28"/>
                <w:szCs w:val="28"/>
              </w:rPr>
            </w:pPr>
            <w:r w:rsidRPr="005E758A">
              <w:rPr>
                <w:rFonts w:ascii="Times New Roman" w:eastAsia="標楷體" w:hAnsi="Times New Roman"/>
                <w:sz w:val="28"/>
                <w:szCs w:val="28"/>
              </w:rPr>
              <w:t>發展預防健康照顧、針對父母與家庭計畫教育及服務之指導方針。</w:t>
            </w:r>
          </w:p>
          <w:p w14:paraId="747BED52" w14:textId="77777777" w:rsidR="0067212E" w:rsidRPr="005E758A" w:rsidRDefault="0067212E" w:rsidP="002B035C">
            <w:pPr>
              <w:pStyle w:val="a0"/>
              <w:numPr>
                <w:ilvl w:val="3"/>
                <w:numId w:val="1"/>
              </w:numPr>
              <w:snapToGrid w:val="0"/>
              <w:spacing w:before="100" w:beforeAutospacing="1" w:after="100" w:afterAutospacing="1"/>
              <w:ind w:leftChars="0" w:left="357" w:hanging="357"/>
              <w:jc w:val="both"/>
              <w:rPr>
                <w:rFonts w:ascii="Times New Roman" w:eastAsia="標楷體" w:hAnsi="Times New Roman"/>
                <w:sz w:val="28"/>
                <w:szCs w:val="28"/>
              </w:rPr>
            </w:pPr>
            <w:r w:rsidRPr="005E758A">
              <w:rPr>
                <w:rFonts w:ascii="Times New Roman" w:eastAsia="標楷體" w:hAnsi="Times New Roman"/>
                <w:sz w:val="28"/>
                <w:szCs w:val="28"/>
              </w:rPr>
              <w:t>締約國應致力採取所有有效及適當之措施，以革除對兒童健康有害之傳統習俗。</w:t>
            </w:r>
          </w:p>
          <w:p w14:paraId="514C60BE" w14:textId="77777777" w:rsidR="0067212E" w:rsidRPr="005E758A" w:rsidRDefault="0067212E" w:rsidP="002B035C">
            <w:pPr>
              <w:pStyle w:val="a0"/>
              <w:numPr>
                <w:ilvl w:val="3"/>
                <w:numId w:val="1"/>
              </w:numPr>
              <w:snapToGrid w:val="0"/>
              <w:spacing w:before="100" w:beforeAutospacing="1" w:after="100" w:afterAutospacing="1"/>
              <w:ind w:leftChars="0" w:left="357" w:hanging="357"/>
              <w:jc w:val="both"/>
              <w:rPr>
                <w:rFonts w:ascii="Times New Roman" w:eastAsia="標楷體" w:hAnsi="Times New Roman"/>
                <w:i/>
                <w:sz w:val="28"/>
                <w:szCs w:val="28"/>
              </w:rPr>
            </w:pPr>
            <w:r w:rsidRPr="005E758A">
              <w:rPr>
                <w:rFonts w:ascii="Times New Roman" w:eastAsia="標楷體" w:hAnsi="Times New Roman"/>
                <w:sz w:val="28"/>
                <w:szCs w:val="28"/>
              </w:rPr>
              <w:t>締約國承諾促進並鼓勵國際合作，以期逐步完全實現本條之權利。就此，尤應特別考慮發展中國家之需要。</w:t>
            </w:r>
          </w:p>
        </w:tc>
      </w:tr>
    </w:tbl>
    <w:p w14:paraId="75284374" w14:textId="77777777" w:rsidR="0067212E" w:rsidRPr="0067212E" w:rsidRDefault="0067212E" w:rsidP="0067212E">
      <w:pPr>
        <w:snapToGrid w:val="0"/>
        <w:spacing w:before="100" w:beforeAutospacing="1" w:after="100" w:afterAutospacing="1"/>
        <w:jc w:val="both"/>
        <w:rPr>
          <w:sz w:val="28"/>
        </w:rPr>
      </w:pPr>
    </w:p>
    <w:p w14:paraId="24B09E5F" w14:textId="77777777" w:rsidR="00CC1907" w:rsidRPr="005E758A" w:rsidRDefault="00CC1907" w:rsidP="007119F4">
      <w:pPr>
        <w:pStyle w:val="2"/>
        <w:numPr>
          <w:ilvl w:val="0"/>
          <w:numId w:val="61"/>
        </w:numPr>
      </w:pPr>
      <w:r w:rsidRPr="005E758A">
        <w:t>規範宗旨</w:t>
      </w:r>
    </w:p>
    <w:p w14:paraId="26B86546" w14:textId="77777777" w:rsidR="00CC1907" w:rsidRPr="005E758A" w:rsidRDefault="00CC1907" w:rsidP="00CC1907">
      <w:pPr>
        <w:pStyle w:val="a0"/>
        <w:snapToGrid w:val="0"/>
        <w:spacing w:before="100" w:beforeAutospacing="1" w:after="100" w:afterAutospacing="1"/>
        <w:ind w:leftChars="0" w:left="0" w:firstLineChars="200" w:firstLine="560"/>
        <w:jc w:val="both"/>
        <w:rPr>
          <w:rFonts w:ascii="Times New Roman" w:eastAsia="標楷體" w:hAnsi="Times New Roman"/>
          <w:sz w:val="28"/>
          <w:szCs w:val="28"/>
        </w:rPr>
      </w:pPr>
      <w:r w:rsidRPr="005E758A">
        <w:rPr>
          <w:rFonts w:ascii="Times New Roman" w:eastAsia="標楷體" w:hAnsi="Times New Roman"/>
          <w:sz w:val="28"/>
          <w:szCs w:val="28"/>
        </w:rPr>
        <w:t>本條為國家應如何落實兒童健康權益提供了</w:t>
      </w:r>
      <w:proofErr w:type="gramStart"/>
      <w:r w:rsidRPr="005E758A">
        <w:rPr>
          <w:rFonts w:ascii="Times New Roman" w:eastAsia="標楷體" w:hAnsi="Times New Roman"/>
          <w:sz w:val="28"/>
          <w:szCs w:val="28"/>
        </w:rPr>
        <w:t>一</w:t>
      </w:r>
      <w:proofErr w:type="gramEnd"/>
      <w:r w:rsidRPr="005E758A">
        <w:rPr>
          <w:rFonts w:ascii="Times New Roman" w:eastAsia="標楷體" w:hAnsi="Times New Roman"/>
          <w:sz w:val="28"/>
          <w:szCs w:val="28"/>
        </w:rPr>
        <w:t>規範基準，締約國有義務確保兒童健康不因受歧視而遭到破壞</w:t>
      </w:r>
      <w:bookmarkStart w:id="73" w:name="_Ref429396282"/>
      <w:r w:rsidRPr="005E758A">
        <w:rPr>
          <w:rStyle w:val="af3"/>
          <w:rFonts w:ascii="Times New Roman" w:eastAsia="標楷體" w:hAnsi="Times New Roman"/>
        </w:rPr>
        <w:endnoteReference w:id="322"/>
      </w:r>
      <w:bookmarkEnd w:id="73"/>
      <w:r w:rsidRPr="005E758A">
        <w:rPr>
          <w:rFonts w:ascii="Times New Roman" w:eastAsia="標楷體" w:hAnsi="Times New Roman"/>
          <w:sz w:val="28"/>
          <w:szCs w:val="28"/>
        </w:rPr>
        <w:t>。本條所列各種權利多屬於經濟社會權利之範疇，故與其他經濟社會權利一樣，國家得視其資源「逐步完全實現本條之權利」</w:t>
      </w:r>
      <w:r w:rsidRPr="005E758A">
        <w:rPr>
          <w:rStyle w:val="af3"/>
          <w:rFonts w:ascii="Times New Roman" w:eastAsia="標楷體" w:hAnsi="Times New Roman"/>
        </w:rPr>
        <w:endnoteReference w:id="323"/>
      </w:r>
      <w:r w:rsidRPr="005E758A">
        <w:rPr>
          <w:rFonts w:ascii="Times New Roman" w:eastAsia="標楷體" w:hAnsi="Times New Roman"/>
          <w:sz w:val="28"/>
          <w:szCs w:val="28"/>
        </w:rPr>
        <w:t>。</w:t>
      </w:r>
    </w:p>
    <w:p w14:paraId="0B120234" w14:textId="77777777" w:rsidR="00CC1907" w:rsidRPr="005E758A" w:rsidRDefault="00CC1907" w:rsidP="00CC1907">
      <w:pPr>
        <w:pStyle w:val="2"/>
      </w:pPr>
      <w:r w:rsidRPr="005E758A">
        <w:t>條文要義</w:t>
      </w:r>
    </w:p>
    <w:p w14:paraId="4CEB3B37" w14:textId="77777777" w:rsidR="00CC1907" w:rsidRPr="005E758A" w:rsidRDefault="00CC1907" w:rsidP="007119F4">
      <w:pPr>
        <w:pStyle w:val="3"/>
        <w:numPr>
          <w:ilvl w:val="0"/>
          <w:numId w:val="62"/>
        </w:numPr>
      </w:pPr>
      <w:r w:rsidRPr="005E758A">
        <w:t>第</w:t>
      </w:r>
      <w:r w:rsidRPr="005E758A">
        <w:t>24</w:t>
      </w:r>
      <w:r w:rsidRPr="005E758A">
        <w:t>條第</w:t>
      </w:r>
      <w:r w:rsidRPr="005E758A">
        <w:t>1</w:t>
      </w:r>
      <w:r w:rsidRPr="005E758A">
        <w:t>項</w:t>
      </w:r>
    </w:p>
    <w:p w14:paraId="774B7AE7" w14:textId="77777777" w:rsidR="00CC1907" w:rsidRPr="005E758A" w:rsidRDefault="00CC1907" w:rsidP="00CC1907">
      <w:pPr>
        <w:pStyle w:val="4"/>
        <w:numPr>
          <w:ilvl w:val="2"/>
          <w:numId w:val="5"/>
        </w:numPr>
        <w:ind w:left="714" w:hanging="357"/>
      </w:pPr>
      <w:r w:rsidRPr="005E758A">
        <w:t>「最高可達水準之健康」</w:t>
      </w:r>
    </w:p>
    <w:p w14:paraId="25B6EC87" w14:textId="77777777" w:rsidR="00CC1907" w:rsidRPr="005E758A" w:rsidRDefault="00CC1907" w:rsidP="00CC1907">
      <w:pPr>
        <w:pStyle w:val="a0"/>
        <w:snapToGrid w:val="0"/>
        <w:spacing w:before="100" w:beforeAutospacing="1" w:after="100" w:afterAutospacing="1"/>
        <w:ind w:leftChars="0" w:left="0" w:firstLineChars="200" w:firstLine="560"/>
        <w:jc w:val="both"/>
        <w:rPr>
          <w:rFonts w:ascii="Times New Roman" w:eastAsia="標楷體" w:hAnsi="Times New Roman"/>
          <w:sz w:val="28"/>
          <w:szCs w:val="28"/>
        </w:rPr>
      </w:pPr>
      <w:r w:rsidRPr="005E758A">
        <w:rPr>
          <w:rFonts w:ascii="Times New Roman" w:eastAsia="標楷體" w:hAnsi="Times New Roman"/>
          <w:sz w:val="28"/>
          <w:szCs w:val="28"/>
        </w:rPr>
        <w:t>本條所要求的標準為國家應於可達成範圍內確保兒童最高水準</w:t>
      </w:r>
      <w:r w:rsidRPr="005E758A">
        <w:rPr>
          <w:rFonts w:ascii="Times New Roman" w:eastAsia="標楷體" w:hAnsi="Times New Roman"/>
          <w:sz w:val="28"/>
          <w:szCs w:val="28"/>
        </w:rPr>
        <w:lastRenderedPageBreak/>
        <w:t>之健康。依據兒童權利委員會於</w:t>
      </w:r>
      <w:r w:rsidRPr="005E758A">
        <w:rPr>
          <w:rFonts w:ascii="Times New Roman" w:eastAsia="標楷體" w:hAnsi="Times New Roman"/>
          <w:sz w:val="28"/>
          <w:szCs w:val="28"/>
        </w:rPr>
        <w:t>2013</w:t>
      </w:r>
      <w:r w:rsidRPr="005E758A">
        <w:rPr>
          <w:rFonts w:ascii="Times New Roman" w:eastAsia="標楷體" w:hAnsi="Times New Roman"/>
          <w:sz w:val="28"/>
          <w:szCs w:val="28"/>
        </w:rPr>
        <w:t>年公布第</w:t>
      </w:r>
      <w:r w:rsidRPr="005E758A">
        <w:rPr>
          <w:rFonts w:ascii="Times New Roman" w:eastAsia="標楷體" w:hAnsi="Times New Roman"/>
          <w:sz w:val="28"/>
          <w:szCs w:val="28"/>
        </w:rPr>
        <w:t>15</w:t>
      </w:r>
      <w:r w:rsidRPr="005E758A">
        <w:rPr>
          <w:rFonts w:ascii="Times New Roman" w:eastAsia="標楷體" w:hAnsi="Times New Roman"/>
          <w:sz w:val="28"/>
          <w:szCs w:val="28"/>
        </w:rPr>
        <w:t>號一般性意見之說明，此部分係指於考量兒童生理遺傳，社會、文化與經濟等前提，以及國家資源、民間組織與國際社會可提供之補助等綜合因素後，可達成之健康水準</w:t>
      </w:r>
      <w:r w:rsidRPr="005E758A">
        <w:rPr>
          <w:rStyle w:val="af3"/>
          <w:rFonts w:ascii="Times New Roman" w:eastAsia="標楷體" w:hAnsi="Times New Roman"/>
        </w:rPr>
        <w:endnoteReference w:id="324"/>
      </w:r>
      <w:r w:rsidRPr="005E758A">
        <w:rPr>
          <w:rFonts w:ascii="Times New Roman" w:eastAsia="標楷體" w:hAnsi="Times New Roman"/>
          <w:sz w:val="28"/>
          <w:szCs w:val="28"/>
        </w:rPr>
        <w:t>。</w:t>
      </w:r>
    </w:p>
    <w:p w14:paraId="759CAD37" w14:textId="77777777" w:rsidR="00CC1907" w:rsidRPr="005E758A" w:rsidRDefault="00CC1907" w:rsidP="00CC1907">
      <w:pPr>
        <w:pStyle w:val="a0"/>
        <w:snapToGrid w:val="0"/>
        <w:spacing w:before="100" w:beforeAutospacing="1" w:after="100" w:afterAutospacing="1"/>
        <w:ind w:leftChars="0" w:left="0" w:firstLineChars="200" w:firstLine="560"/>
        <w:jc w:val="both"/>
        <w:rPr>
          <w:rFonts w:ascii="Times New Roman" w:eastAsia="標楷體" w:hAnsi="Times New Roman"/>
          <w:sz w:val="28"/>
          <w:szCs w:val="28"/>
        </w:rPr>
      </w:pPr>
      <w:r w:rsidRPr="005E758A">
        <w:rPr>
          <w:rFonts w:ascii="Times New Roman" w:eastAsia="標楷體" w:hAnsi="Times New Roman"/>
          <w:sz w:val="28"/>
          <w:szCs w:val="28"/>
        </w:rPr>
        <w:t>兒童的健康權包含一套自由和權利。自由隨著能力和成熟度的提高而越來越重要，其中包括掌握自己健康及身體的權利，包括性和生殖上作出負責任選擇的自由。權利包括獲得一系列設施、商品、服務及條件，為每</w:t>
      </w:r>
      <w:proofErr w:type="gramStart"/>
      <w:r w:rsidRPr="005E758A">
        <w:rPr>
          <w:rFonts w:ascii="Times New Roman" w:eastAsia="標楷體" w:hAnsi="Times New Roman"/>
          <w:sz w:val="28"/>
          <w:szCs w:val="28"/>
        </w:rPr>
        <w:t>個</w:t>
      </w:r>
      <w:proofErr w:type="gramEnd"/>
      <w:r w:rsidRPr="005E758A">
        <w:rPr>
          <w:rFonts w:ascii="Times New Roman" w:eastAsia="標楷體" w:hAnsi="Times New Roman"/>
          <w:sz w:val="28"/>
          <w:szCs w:val="28"/>
        </w:rPr>
        <w:t>兒童提供平等享有可能達到的最高標準健康的機會。</w:t>
      </w:r>
      <w:r w:rsidRPr="005E758A">
        <w:rPr>
          <w:rStyle w:val="af3"/>
          <w:rFonts w:ascii="Times New Roman" w:eastAsia="標楷體" w:hAnsi="Times New Roman"/>
        </w:rPr>
        <w:endnoteReference w:id="325"/>
      </w:r>
      <w:r w:rsidRPr="005E758A">
        <w:rPr>
          <w:rFonts w:ascii="Times New Roman" w:eastAsia="標楷體" w:hAnsi="Times New Roman"/>
          <w:sz w:val="28"/>
          <w:szCs w:val="28"/>
        </w:rPr>
        <w:t>。</w:t>
      </w:r>
    </w:p>
    <w:p w14:paraId="16ADFD56" w14:textId="77777777" w:rsidR="00464EA6" w:rsidRPr="005E758A" w:rsidRDefault="00464EA6" w:rsidP="00CC1907">
      <w:pPr>
        <w:pStyle w:val="a0"/>
        <w:snapToGrid w:val="0"/>
        <w:spacing w:before="100" w:beforeAutospacing="1" w:after="100" w:afterAutospacing="1"/>
        <w:ind w:leftChars="0" w:left="0" w:firstLineChars="200" w:firstLine="560"/>
        <w:jc w:val="both"/>
        <w:rPr>
          <w:rFonts w:ascii="Times New Roman" w:eastAsia="標楷體" w:hAnsi="Times New Roman"/>
          <w:sz w:val="28"/>
          <w:szCs w:val="28"/>
        </w:rPr>
      </w:pPr>
      <w:r w:rsidRPr="005E758A">
        <w:rPr>
          <w:rFonts w:ascii="Times New Roman" w:eastAsia="標楷體" w:hAnsi="Times New Roman"/>
          <w:sz w:val="28"/>
          <w:szCs w:val="28"/>
        </w:rPr>
        <w:t>「確認兒童有權享有最高可達</w:t>
      </w:r>
      <w:r w:rsidR="0026568D" w:rsidRPr="005E758A">
        <w:rPr>
          <w:rFonts w:ascii="Times New Roman" w:eastAsia="標楷體" w:hAnsi="Times New Roman"/>
          <w:sz w:val="28"/>
          <w:szCs w:val="28"/>
        </w:rPr>
        <w:t>水準之健康」</w:t>
      </w:r>
      <w:proofErr w:type="gramStart"/>
      <w:r w:rsidR="0026568D" w:rsidRPr="005E758A">
        <w:rPr>
          <w:rFonts w:ascii="Times New Roman" w:eastAsia="標楷體" w:hAnsi="Times New Roman"/>
          <w:sz w:val="28"/>
          <w:szCs w:val="28"/>
        </w:rPr>
        <w:t>一</w:t>
      </w:r>
      <w:proofErr w:type="gramEnd"/>
      <w:r w:rsidR="0026568D" w:rsidRPr="005E758A">
        <w:rPr>
          <w:rFonts w:ascii="Times New Roman" w:eastAsia="標楷體" w:hAnsi="Times New Roman"/>
          <w:sz w:val="28"/>
          <w:szCs w:val="28"/>
        </w:rPr>
        <w:t>語出現在</w:t>
      </w:r>
      <w:r w:rsidR="0026568D" w:rsidRPr="005E758A">
        <w:rPr>
          <w:rFonts w:ascii="Times New Roman" w:eastAsia="標楷體" w:hAnsi="Times New Roman"/>
          <w:sz w:val="28"/>
          <w:szCs w:val="28"/>
        </w:rPr>
        <w:t>2003</w:t>
      </w:r>
      <w:r w:rsidR="0026568D" w:rsidRPr="005E758A">
        <w:rPr>
          <w:rFonts w:ascii="Times New Roman" w:eastAsia="標楷體" w:hAnsi="Times New Roman"/>
          <w:sz w:val="28"/>
          <w:szCs w:val="28"/>
        </w:rPr>
        <w:t>年的世界衛生組織菸草控制框架公約</w:t>
      </w:r>
      <w:r w:rsidR="0026568D" w:rsidRPr="005E758A">
        <w:rPr>
          <w:rFonts w:ascii="Times New Roman" w:eastAsia="標楷體" w:hAnsi="Times New Roman"/>
          <w:sz w:val="28"/>
          <w:szCs w:val="28"/>
        </w:rPr>
        <w:t>(WHO Framework Convention on Tobacco Control</w:t>
      </w:r>
      <w:r w:rsidR="0067212E">
        <w:rPr>
          <w:rFonts w:ascii="Times New Roman" w:eastAsia="標楷體" w:hAnsi="Times New Roman" w:hint="eastAsia"/>
          <w:sz w:val="28"/>
          <w:szCs w:val="28"/>
        </w:rPr>
        <w:t>,</w:t>
      </w:r>
      <w:r w:rsidR="0067212E">
        <w:rPr>
          <w:rFonts w:ascii="Times New Roman" w:eastAsia="標楷體" w:hAnsi="Times New Roman"/>
          <w:sz w:val="28"/>
          <w:szCs w:val="28"/>
        </w:rPr>
        <w:t xml:space="preserve"> </w:t>
      </w:r>
      <w:r w:rsidR="0026568D" w:rsidRPr="005E758A">
        <w:rPr>
          <w:rFonts w:ascii="Times New Roman" w:eastAsia="標楷體" w:hAnsi="Times New Roman"/>
          <w:sz w:val="28"/>
          <w:szCs w:val="28"/>
        </w:rPr>
        <w:t>FCTC)</w:t>
      </w:r>
      <w:r w:rsidR="0026568D" w:rsidRPr="005E758A">
        <w:rPr>
          <w:rFonts w:ascii="Times New Roman" w:eastAsia="標楷體" w:hAnsi="Times New Roman"/>
          <w:sz w:val="28"/>
          <w:szCs w:val="28"/>
        </w:rPr>
        <w:t>的前言之中，作為公約制定的理由之</w:t>
      </w:r>
      <w:proofErr w:type="gramStart"/>
      <w:r w:rsidR="0026568D" w:rsidRPr="005E758A">
        <w:rPr>
          <w:rFonts w:ascii="Times New Roman" w:eastAsia="標楷體" w:hAnsi="Times New Roman"/>
          <w:sz w:val="28"/>
          <w:szCs w:val="28"/>
        </w:rPr>
        <w:t>一</w:t>
      </w:r>
      <w:proofErr w:type="gramEnd"/>
      <w:r w:rsidR="0026568D" w:rsidRPr="005E758A">
        <w:rPr>
          <w:rFonts w:ascii="Times New Roman" w:eastAsia="標楷體" w:hAnsi="Times New Roman"/>
          <w:sz w:val="28"/>
          <w:szCs w:val="28"/>
        </w:rPr>
        <w:t>。</w:t>
      </w:r>
      <w:r w:rsidR="0026568D" w:rsidRPr="005E758A">
        <w:rPr>
          <w:rFonts w:ascii="Times New Roman" w:eastAsia="標楷體" w:hAnsi="Times New Roman"/>
          <w:sz w:val="28"/>
          <w:szCs w:val="28"/>
        </w:rPr>
        <w:t>FCTC</w:t>
      </w:r>
      <w:r w:rsidR="0026568D" w:rsidRPr="005E758A">
        <w:rPr>
          <w:rFonts w:ascii="Times New Roman" w:eastAsia="標楷體" w:hAnsi="Times New Roman"/>
          <w:sz w:val="28"/>
          <w:szCs w:val="28"/>
        </w:rPr>
        <w:t>前言最後一段：「進一步憶及聯合國大會</w:t>
      </w:r>
      <w:r w:rsidR="0026568D" w:rsidRPr="005E758A">
        <w:rPr>
          <w:rFonts w:ascii="Times New Roman" w:eastAsia="標楷體" w:hAnsi="Times New Roman"/>
          <w:sz w:val="28"/>
          <w:szCs w:val="28"/>
        </w:rPr>
        <w:t>1989</w:t>
      </w:r>
      <w:r w:rsidR="0026568D" w:rsidRPr="005E758A">
        <w:rPr>
          <w:rFonts w:ascii="Times New Roman" w:eastAsia="標楷體" w:hAnsi="Times New Roman"/>
          <w:sz w:val="28"/>
          <w:szCs w:val="28"/>
        </w:rPr>
        <w:t>年</w:t>
      </w:r>
      <w:r w:rsidR="0026568D" w:rsidRPr="005E758A">
        <w:rPr>
          <w:rFonts w:ascii="Times New Roman" w:eastAsia="標楷體" w:hAnsi="Times New Roman"/>
          <w:sz w:val="28"/>
          <w:szCs w:val="28"/>
        </w:rPr>
        <w:t>11</w:t>
      </w:r>
      <w:r w:rsidR="0026568D" w:rsidRPr="005E758A">
        <w:rPr>
          <w:rFonts w:ascii="Times New Roman" w:eastAsia="標楷體" w:hAnsi="Times New Roman"/>
          <w:sz w:val="28"/>
          <w:szCs w:val="28"/>
        </w:rPr>
        <w:t>月</w:t>
      </w:r>
      <w:r w:rsidR="0026568D" w:rsidRPr="005E758A">
        <w:rPr>
          <w:rFonts w:ascii="Times New Roman" w:eastAsia="標楷體" w:hAnsi="Times New Roman"/>
          <w:sz w:val="28"/>
          <w:szCs w:val="28"/>
        </w:rPr>
        <w:t>20</w:t>
      </w:r>
      <w:r w:rsidR="0026568D" w:rsidRPr="005E758A">
        <w:rPr>
          <w:rFonts w:ascii="Times New Roman" w:eastAsia="標楷體" w:hAnsi="Times New Roman"/>
          <w:sz w:val="28"/>
          <w:szCs w:val="28"/>
        </w:rPr>
        <w:t>日通過的兒童權利公約規定，該公約各締約國確認兒童有權享有可達到的最高標準</w:t>
      </w:r>
      <w:r w:rsidR="004525DF" w:rsidRPr="005E758A">
        <w:rPr>
          <w:rFonts w:ascii="Times New Roman" w:eastAsia="標楷體" w:hAnsi="Times New Roman"/>
          <w:sz w:val="28"/>
          <w:szCs w:val="28"/>
        </w:rPr>
        <w:t>的</w:t>
      </w:r>
      <w:r w:rsidR="0026568D" w:rsidRPr="005E758A">
        <w:rPr>
          <w:rFonts w:ascii="Times New Roman" w:eastAsia="標楷體" w:hAnsi="Times New Roman"/>
          <w:sz w:val="28"/>
          <w:szCs w:val="28"/>
        </w:rPr>
        <w:t>健康。」</w:t>
      </w:r>
    </w:p>
    <w:p w14:paraId="2BDC8484" w14:textId="77777777" w:rsidR="00CC1907" w:rsidRPr="005E758A" w:rsidRDefault="00CC1907" w:rsidP="00CC1907">
      <w:pPr>
        <w:pStyle w:val="4"/>
        <w:numPr>
          <w:ilvl w:val="2"/>
          <w:numId w:val="5"/>
        </w:numPr>
        <w:ind w:left="714" w:hanging="357"/>
        <w:rPr>
          <w:szCs w:val="28"/>
        </w:rPr>
      </w:pPr>
      <w:r w:rsidRPr="005E758A">
        <w:rPr>
          <w:szCs w:val="28"/>
        </w:rPr>
        <w:t>「兒童促進疾病治療以及恢復健康之權利」</w:t>
      </w:r>
    </w:p>
    <w:p w14:paraId="45D47F3D" w14:textId="77777777" w:rsidR="00CC1907" w:rsidRPr="005E758A" w:rsidRDefault="00CC1907" w:rsidP="00CC1907">
      <w:pPr>
        <w:pStyle w:val="a0"/>
        <w:snapToGrid w:val="0"/>
        <w:spacing w:before="100" w:beforeAutospacing="1" w:after="100" w:afterAutospacing="1"/>
        <w:ind w:leftChars="0" w:left="0" w:firstLineChars="200" w:firstLine="560"/>
        <w:jc w:val="both"/>
        <w:rPr>
          <w:rFonts w:ascii="Times New Roman" w:eastAsia="標楷體" w:hAnsi="Times New Roman"/>
          <w:sz w:val="28"/>
          <w:szCs w:val="28"/>
        </w:rPr>
      </w:pPr>
      <w:r w:rsidRPr="005E758A">
        <w:rPr>
          <w:rFonts w:ascii="Times New Roman" w:eastAsia="標楷體" w:hAnsi="Times New Roman"/>
          <w:sz w:val="28"/>
          <w:szCs w:val="28"/>
        </w:rPr>
        <w:t>此部分涉及的問題包括兒童是否可於不須父母同意的情況下，獲得保密之醫療諮詢。換言之，此須視兒童的發展與成熟度而論，當醫療人員評估前述保密醫療諮詢符合兒童最佳利益時，國家應考量並評估協助兒童取得該等醫療服務之可行性</w:t>
      </w:r>
      <w:r w:rsidRPr="005E758A">
        <w:rPr>
          <w:rStyle w:val="af3"/>
          <w:rFonts w:ascii="Times New Roman" w:eastAsia="標楷體" w:hAnsi="Times New Roman"/>
        </w:rPr>
        <w:endnoteReference w:id="326"/>
      </w:r>
      <w:r w:rsidRPr="005E758A">
        <w:rPr>
          <w:rFonts w:ascii="Times New Roman" w:eastAsia="標楷體" w:hAnsi="Times New Roman"/>
          <w:sz w:val="28"/>
          <w:szCs w:val="28"/>
        </w:rPr>
        <w:t>。</w:t>
      </w:r>
    </w:p>
    <w:p w14:paraId="04222559" w14:textId="77777777" w:rsidR="00CC1907" w:rsidRPr="005E758A" w:rsidRDefault="00CC1907" w:rsidP="00CC1907">
      <w:pPr>
        <w:pStyle w:val="3"/>
      </w:pPr>
      <w:r w:rsidRPr="005E758A">
        <w:t>第</w:t>
      </w:r>
      <w:r w:rsidRPr="005E758A">
        <w:t>24</w:t>
      </w:r>
      <w:r w:rsidRPr="005E758A">
        <w:t>條第</w:t>
      </w:r>
      <w:r w:rsidRPr="005E758A">
        <w:t>2</w:t>
      </w:r>
      <w:r w:rsidRPr="005E758A">
        <w:t>項</w:t>
      </w:r>
    </w:p>
    <w:p w14:paraId="2CFF872C" w14:textId="77777777" w:rsidR="00CC1907" w:rsidRPr="005E758A" w:rsidRDefault="00D75392" w:rsidP="00CC1907">
      <w:pPr>
        <w:pStyle w:val="a0"/>
        <w:snapToGrid w:val="0"/>
        <w:spacing w:before="100" w:beforeAutospacing="1" w:after="100" w:afterAutospacing="1"/>
        <w:ind w:leftChars="0" w:left="0" w:firstLineChars="200" w:firstLine="560"/>
        <w:jc w:val="both"/>
        <w:rPr>
          <w:rFonts w:ascii="Times New Roman" w:eastAsia="標楷體" w:hAnsi="Times New Roman"/>
          <w:sz w:val="28"/>
          <w:szCs w:val="28"/>
        </w:rPr>
      </w:pPr>
      <w:r w:rsidRPr="005E758A">
        <w:rPr>
          <w:rFonts w:ascii="Times New Roman" w:eastAsia="標楷體" w:hAnsi="Times New Roman"/>
          <w:sz w:val="28"/>
          <w:szCs w:val="28"/>
        </w:rPr>
        <w:t>本項共</w:t>
      </w:r>
      <w:proofErr w:type="gramStart"/>
      <w:r w:rsidRPr="005E758A">
        <w:rPr>
          <w:rFonts w:ascii="Times New Roman" w:eastAsia="標楷體" w:hAnsi="Times New Roman"/>
          <w:sz w:val="28"/>
          <w:szCs w:val="28"/>
        </w:rPr>
        <w:t>臚</w:t>
      </w:r>
      <w:proofErr w:type="gramEnd"/>
      <w:r w:rsidR="00CC1907" w:rsidRPr="005E758A">
        <w:rPr>
          <w:rFonts w:ascii="Times New Roman" w:eastAsia="標楷體" w:hAnsi="Times New Roman"/>
          <w:sz w:val="28"/>
          <w:szCs w:val="28"/>
        </w:rPr>
        <w:t>列六款國家為保障兒童健康應特別採取之措施，除直接以兒童為對象之保護措施外，也包括提供父母的服務、指導方針及家庭計畫。兒童權利委員會同時強調兒童健康教育的重要性，以及透過親職教育、公共宣導等多樣化方式，使得兒童的照顧者</w:t>
      </w:r>
      <w:r w:rsidR="0067212E">
        <w:rPr>
          <w:rFonts w:ascii="Times New Roman" w:eastAsia="標楷體" w:hAnsi="Times New Roman" w:hint="eastAsia"/>
          <w:sz w:val="28"/>
          <w:szCs w:val="28"/>
        </w:rPr>
        <w:t>（</w:t>
      </w:r>
      <w:r w:rsidR="00CC1907" w:rsidRPr="005E758A">
        <w:rPr>
          <w:rFonts w:ascii="Times New Roman" w:eastAsia="標楷體" w:hAnsi="Times New Roman"/>
          <w:sz w:val="28"/>
          <w:szCs w:val="28"/>
        </w:rPr>
        <w:t>包括父母</w:t>
      </w:r>
      <w:r w:rsidR="0067212E">
        <w:rPr>
          <w:rFonts w:ascii="Times New Roman" w:eastAsia="標楷體" w:hAnsi="Times New Roman" w:hint="eastAsia"/>
          <w:sz w:val="28"/>
          <w:szCs w:val="28"/>
        </w:rPr>
        <w:t>）</w:t>
      </w:r>
      <w:r w:rsidR="00CC1907" w:rsidRPr="005E758A">
        <w:rPr>
          <w:rFonts w:ascii="Times New Roman" w:eastAsia="標楷體" w:hAnsi="Times New Roman"/>
          <w:sz w:val="28"/>
          <w:szCs w:val="28"/>
        </w:rPr>
        <w:t>能夠吸取與兒童健康相關的資訊</w:t>
      </w:r>
      <w:r w:rsidR="00CC1907" w:rsidRPr="005E758A">
        <w:rPr>
          <w:rStyle w:val="af3"/>
          <w:rFonts w:ascii="Times New Roman" w:eastAsia="標楷體" w:hAnsi="Times New Roman"/>
        </w:rPr>
        <w:endnoteReference w:id="327"/>
      </w:r>
      <w:r w:rsidR="00CC1907" w:rsidRPr="005E758A">
        <w:rPr>
          <w:rFonts w:ascii="Times New Roman" w:eastAsia="標楷體" w:hAnsi="Times New Roman"/>
          <w:sz w:val="28"/>
          <w:szCs w:val="28"/>
        </w:rPr>
        <w:t>。</w:t>
      </w:r>
    </w:p>
    <w:p w14:paraId="61F17388" w14:textId="77777777" w:rsidR="00CC1907" w:rsidRPr="005E758A" w:rsidRDefault="00CC1907" w:rsidP="00CC1907">
      <w:pPr>
        <w:pStyle w:val="a0"/>
        <w:snapToGrid w:val="0"/>
        <w:spacing w:before="100" w:beforeAutospacing="1" w:after="100" w:afterAutospacing="1"/>
        <w:ind w:leftChars="0" w:left="0" w:firstLineChars="200" w:firstLine="560"/>
        <w:jc w:val="both"/>
        <w:rPr>
          <w:rFonts w:ascii="Times New Roman" w:eastAsia="標楷體" w:hAnsi="Times New Roman"/>
          <w:sz w:val="28"/>
          <w:szCs w:val="28"/>
        </w:rPr>
      </w:pPr>
      <w:r w:rsidRPr="005E758A">
        <w:rPr>
          <w:rFonts w:ascii="Times New Roman" w:eastAsia="標楷體" w:hAnsi="Times New Roman"/>
          <w:sz w:val="28"/>
          <w:szCs w:val="28"/>
        </w:rPr>
        <w:t>其中關於確保母親得</w:t>
      </w:r>
      <w:r w:rsidR="00D75392" w:rsidRPr="005E758A">
        <w:rPr>
          <w:rFonts w:ascii="Times New Roman" w:eastAsia="標楷體" w:hAnsi="Times New Roman"/>
          <w:sz w:val="28"/>
          <w:szCs w:val="28"/>
        </w:rPr>
        <w:t>到適當的產前及產後健康照顧，參酌消除對婦女一切形式歧視公約</w:t>
      </w:r>
      <w:r w:rsidRPr="005E758A">
        <w:rPr>
          <w:rFonts w:ascii="Times New Roman" w:eastAsia="標楷體" w:hAnsi="Times New Roman"/>
          <w:sz w:val="28"/>
          <w:szCs w:val="28"/>
        </w:rPr>
        <w:t>，各締約國應在必要時提供免費服務，以確保婦女在懷孕、分娩和產後的安全。許多婦女在產前、分娩和產後因沒有錢取得必須的服務，面臨懷孕所造成死亡或身心障礙的危險。締約國有義務確保婦女</w:t>
      </w:r>
      <w:proofErr w:type="gramStart"/>
      <w:r w:rsidRPr="005E758A">
        <w:rPr>
          <w:rFonts w:ascii="Times New Roman" w:eastAsia="標楷體" w:hAnsi="Times New Roman"/>
          <w:sz w:val="28"/>
          <w:szCs w:val="28"/>
        </w:rPr>
        <w:t>安全孕產</w:t>
      </w:r>
      <w:proofErr w:type="gramEnd"/>
      <w:r w:rsidRPr="005E758A">
        <w:rPr>
          <w:rFonts w:ascii="Times New Roman" w:eastAsia="標楷體" w:hAnsi="Times New Roman"/>
          <w:sz w:val="28"/>
          <w:szCs w:val="28"/>
        </w:rPr>
        <w:t>和獲得緊急產科服務的權利。締約國應為此類服務</w:t>
      </w:r>
      <w:proofErr w:type="gramStart"/>
      <w:r w:rsidRPr="005E758A">
        <w:rPr>
          <w:rFonts w:ascii="Times New Roman" w:eastAsia="標楷體" w:hAnsi="Times New Roman"/>
          <w:sz w:val="28"/>
          <w:szCs w:val="28"/>
        </w:rPr>
        <w:t>挹</w:t>
      </w:r>
      <w:proofErr w:type="gramEnd"/>
      <w:r w:rsidRPr="005E758A">
        <w:rPr>
          <w:rFonts w:ascii="Times New Roman" w:eastAsia="標楷體" w:hAnsi="Times New Roman"/>
          <w:sz w:val="28"/>
          <w:szCs w:val="28"/>
        </w:rPr>
        <w:t>注最大程度的資金</w:t>
      </w:r>
      <w:r w:rsidRPr="005E758A">
        <w:rPr>
          <w:rStyle w:val="af3"/>
          <w:rFonts w:ascii="Times New Roman" w:eastAsia="標楷體" w:hAnsi="Times New Roman"/>
        </w:rPr>
        <w:endnoteReference w:id="328"/>
      </w:r>
      <w:r w:rsidRPr="005E758A">
        <w:rPr>
          <w:rFonts w:ascii="Times New Roman" w:eastAsia="標楷體" w:hAnsi="Times New Roman"/>
          <w:sz w:val="28"/>
          <w:szCs w:val="28"/>
        </w:rPr>
        <w:t>。</w:t>
      </w:r>
    </w:p>
    <w:p w14:paraId="06EA0C5D" w14:textId="77777777" w:rsidR="00CC1907" w:rsidRPr="005E758A" w:rsidRDefault="00CC1907" w:rsidP="00CC1907">
      <w:pPr>
        <w:pStyle w:val="2"/>
      </w:pPr>
      <w:r w:rsidRPr="005E758A">
        <w:lastRenderedPageBreak/>
        <w:t>案例介紹</w:t>
      </w:r>
    </w:p>
    <w:p w14:paraId="5BE90B19" w14:textId="77777777" w:rsidR="00CC1907" w:rsidRPr="005E758A" w:rsidRDefault="00CC1907" w:rsidP="007119F4">
      <w:pPr>
        <w:pStyle w:val="3"/>
        <w:numPr>
          <w:ilvl w:val="0"/>
          <w:numId w:val="63"/>
        </w:numPr>
      </w:pPr>
      <w:r w:rsidRPr="005E758A">
        <w:t>2012</w:t>
      </w:r>
      <w:r w:rsidRPr="005E758A">
        <w:t>年德國科隆地方法院男童</w:t>
      </w:r>
      <w:proofErr w:type="gramStart"/>
      <w:r w:rsidRPr="005E758A">
        <w:t>割禮案</w:t>
      </w:r>
      <w:proofErr w:type="gramEnd"/>
      <w:r w:rsidRPr="005E758A">
        <w:t>：</w:t>
      </w:r>
      <w:r w:rsidRPr="005E758A">
        <w:t>151 Ns 169/11</w:t>
      </w:r>
      <w:r w:rsidRPr="005E758A">
        <w:rPr>
          <w:rStyle w:val="af3"/>
        </w:rPr>
        <w:endnoteReference w:id="329"/>
      </w:r>
    </w:p>
    <w:p w14:paraId="165BAA95" w14:textId="77777777" w:rsidR="00CC1907" w:rsidRPr="005E758A" w:rsidRDefault="00CC1907" w:rsidP="00CC1907">
      <w:pPr>
        <w:pStyle w:val="a0"/>
        <w:snapToGrid w:val="0"/>
        <w:spacing w:before="100" w:beforeAutospacing="1" w:after="100" w:afterAutospacing="1"/>
        <w:ind w:leftChars="0" w:left="0" w:firstLineChars="200" w:firstLine="560"/>
        <w:jc w:val="both"/>
        <w:rPr>
          <w:rFonts w:ascii="Times New Roman" w:eastAsia="標楷體" w:hAnsi="Times New Roman"/>
          <w:sz w:val="28"/>
          <w:szCs w:val="28"/>
        </w:rPr>
      </w:pPr>
      <w:r w:rsidRPr="005E758A">
        <w:rPr>
          <w:rFonts w:ascii="Times New Roman" w:eastAsia="標楷體" w:hAnsi="Times New Roman"/>
          <w:sz w:val="28"/>
          <w:szCs w:val="28"/>
        </w:rPr>
        <w:t>在無任何醫學上必要之前提下，</w:t>
      </w:r>
      <w:r w:rsidRPr="005E758A">
        <w:rPr>
          <w:rFonts w:ascii="Times New Roman" w:eastAsia="標楷體" w:hAnsi="Times New Roman"/>
          <w:sz w:val="28"/>
          <w:szCs w:val="28"/>
        </w:rPr>
        <w:t>K</w:t>
      </w:r>
      <w:r w:rsidRPr="005E758A">
        <w:rPr>
          <w:rFonts w:ascii="Times New Roman" w:eastAsia="標楷體" w:hAnsi="Times New Roman"/>
          <w:sz w:val="28"/>
          <w:szCs w:val="28"/>
        </w:rPr>
        <w:t>醫生於</w:t>
      </w:r>
      <w:r w:rsidRPr="005E758A">
        <w:rPr>
          <w:rFonts w:ascii="Times New Roman" w:eastAsia="標楷體" w:hAnsi="Times New Roman"/>
          <w:sz w:val="28"/>
          <w:szCs w:val="28"/>
        </w:rPr>
        <w:t>4</w:t>
      </w:r>
      <w:r w:rsidRPr="005E758A">
        <w:rPr>
          <w:rFonts w:ascii="Times New Roman" w:eastAsia="標楷體" w:hAnsi="Times New Roman"/>
          <w:sz w:val="28"/>
          <w:szCs w:val="28"/>
        </w:rPr>
        <w:t>歲</w:t>
      </w:r>
      <w:r w:rsidRPr="005E758A">
        <w:rPr>
          <w:rFonts w:ascii="Times New Roman" w:eastAsia="標楷體" w:hAnsi="Times New Roman"/>
          <w:sz w:val="28"/>
          <w:szCs w:val="28"/>
        </w:rPr>
        <w:t>J</w:t>
      </w:r>
      <w:r w:rsidRPr="005E758A">
        <w:rPr>
          <w:rFonts w:ascii="Times New Roman" w:eastAsia="標楷體" w:hAnsi="Times New Roman"/>
          <w:sz w:val="28"/>
          <w:szCs w:val="28"/>
        </w:rPr>
        <w:t>男童穆斯林雙親的同意下</w:t>
      </w:r>
      <w:proofErr w:type="gramStart"/>
      <w:r w:rsidRPr="005E758A">
        <w:rPr>
          <w:rFonts w:ascii="Times New Roman" w:eastAsia="標楷體" w:hAnsi="Times New Roman"/>
          <w:sz w:val="28"/>
          <w:szCs w:val="28"/>
        </w:rPr>
        <w:t>執行割禮</w:t>
      </w:r>
      <w:proofErr w:type="gramEnd"/>
      <w:r w:rsidRPr="005E758A">
        <w:rPr>
          <w:rFonts w:ascii="Times New Roman" w:eastAsia="標楷體" w:hAnsi="Times New Roman"/>
          <w:sz w:val="28"/>
          <w:szCs w:val="28"/>
        </w:rPr>
        <w:t>。兩天後，</w:t>
      </w:r>
      <w:r w:rsidRPr="005E758A">
        <w:rPr>
          <w:rFonts w:ascii="Times New Roman" w:eastAsia="標楷體" w:hAnsi="Times New Roman"/>
          <w:sz w:val="28"/>
          <w:szCs w:val="28"/>
        </w:rPr>
        <w:t>J</w:t>
      </w:r>
      <w:r w:rsidRPr="005E758A">
        <w:rPr>
          <w:rFonts w:ascii="Times New Roman" w:eastAsia="標楷體" w:hAnsi="Times New Roman"/>
          <w:sz w:val="28"/>
          <w:szCs w:val="28"/>
        </w:rPr>
        <w:t>因</w:t>
      </w:r>
      <w:r w:rsidR="00D75392" w:rsidRPr="005E758A">
        <w:rPr>
          <w:rFonts w:ascii="Times New Roman" w:eastAsia="標楷體" w:hAnsi="Times New Roman"/>
          <w:sz w:val="28"/>
          <w:szCs w:val="28"/>
        </w:rPr>
        <w:t>手</w:t>
      </w:r>
      <w:r w:rsidRPr="005E758A">
        <w:rPr>
          <w:rFonts w:ascii="Times New Roman" w:eastAsia="標楷體" w:hAnsi="Times New Roman"/>
          <w:sz w:val="28"/>
          <w:szCs w:val="28"/>
        </w:rPr>
        <w:t>術後一直流血而被送進醫院。醫院通知警局且展開調查。</w:t>
      </w:r>
      <w:r w:rsidRPr="005E758A">
        <w:rPr>
          <w:rFonts w:ascii="Times New Roman" w:eastAsia="標楷體" w:hAnsi="Times New Roman"/>
          <w:sz w:val="28"/>
          <w:szCs w:val="28"/>
        </w:rPr>
        <w:t>K</w:t>
      </w:r>
      <w:r w:rsidRPr="005E758A">
        <w:rPr>
          <w:rFonts w:ascii="Times New Roman" w:eastAsia="標楷體" w:hAnsi="Times New Roman"/>
          <w:sz w:val="28"/>
          <w:szCs w:val="28"/>
        </w:rPr>
        <w:t>醫生</w:t>
      </w:r>
      <w:proofErr w:type="gramStart"/>
      <w:r w:rsidRPr="005E758A">
        <w:rPr>
          <w:rFonts w:ascii="Times New Roman" w:eastAsia="標楷體" w:hAnsi="Times New Roman"/>
          <w:sz w:val="28"/>
          <w:szCs w:val="28"/>
        </w:rPr>
        <w:t>被控因使用</w:t>
      </w:r>
      <w:proofErr w:type="gramEnd"/>
      <w:r w:rsidRPr="005E758A">
        <w:rPr>
          <w:rFonts w:ascii="Times New Roman" w:eastAsia="標楷體" w:hAnsi="Times New Roman"/>
          <w:sz w:val="28"/>
          <w:szCs w:val="28"/>
        </w:rPr>
        <w:t>危險醫療器具造成他人身體健康之侵害以及其醫療過失行為</w:t>
      </w:r>
      <w:r w:rsidRPr="005E758A">
        <w:rPr>
          <w:rFonts w:ascii="Times New Roman" w:eastAsia="標楷體" w:hAnsi="Times New Roman"/>
          <w:sz w:val="28"/>
          <w:szCs w:val="28"/>
        </w:rPr>
        <w:t>(</w:t>
      </w:r>
      <w:r w:rsidRPr="005E758A">
        <w:rPr>
          <w:rFonts w:ascii="Times New Roman" w:eastAsia="標楷體" w:hAnsi="Times New Roman"/>
          <w:sz w:val="28"/>
          <w:szCs w:val="28"/>
        </w:rPr>
        <w:t>德國刑法第</w:t>
      </w:r>
      <w:r w:rsidRPr="005E758A">
        <w:rPr>
          <w:rFonts w:ascii="Times New Roman" w:eastAsia="標楷體" w:hAnsi="Times New Roman"/>
          <w:sz w:val="28"/>
          <w:szCs w:val="28"/>
        </w:rPr>
        <w:t>s 223 (1), 224 (1)</w:t>
      </w:r>
      <w:r w:rsidRPr="005E758A">
        <w:rPr>
          <w:rFonts w:ascii="Times New Roman" w:eastAsia="標楷體" w:hAnsi="Times New Roman"/>
          <w:sz w:val="28"/>
          <w:szCs w:val="28"/>
        </w:rPr>
        <w:t>條</w:t>
      </w:r>
      <w:r w:rsidRPr="005E758A">
        <w:rPr>
          <w:rFonts w:ascii="Times New Roman" w:eastAsia="標楷體" w:hAnsi="Times New Roman"/>
          <w:sz w:val="28"/>
          <w:szCs w:val="28"/>
        </w:rPr>
        <w:t>)</w:t>
      </w:r>
      <w:r w:rsidRPr="005E758A">
        <w:rPr>
          <w:rFonts w:ascii="Times New Roman" w:eastAsia="標楷體" w:hAnsi="Times New Roman"/>
          <w:sz w:val="28"/>
          <w:szCs w:val="28"/>
        </w:rPr>
        <w:t>。法院第一次判決醫生</w:t>
      </w:r>
      <w:r w:rsidRPr="005E758A">
        <w:rPr>
          <w:rFonts w:ascii="Times New Roman" w:eastAsia="標楷體" w:hAnsi="Times New Roman"/>
          <w:sz w:val="28"/>
          <w:szCs w:val="28"/>
        </w:rPr>
        <w:t>K</w:t>
      </w:r>
      <w:r w:rsidRPr="005E758A">
        <w:rPr>
          <w:rFonts w:ascii="Times New Roman" w:eastAsia="標楷體" w:hAnsi="Times New Roman"/>
          <w:sz w:val="28"/>
          <w:szCs w:val="28"/>
        </w:rPr>
        <w:t>無罪，檢察官對本案提起上訴。</w:t>
      </w:r>
    </w:p>
    <w:p w14:paraId="55ABCA34" w14:textId="77777777" w:rsidR="00CC1907" w:rsidRPr="005E758A" w:rsidRDefault="00CC1907" w:rsidP="00CC1907">
      <w:pPr>
        <w:pStyle w:val="a0"/>
        <w:snapToGrid w:val="0"/>
        <w:spacing w:before="100" w:beforeAutospacing="1" w:after="100" w:afterAutospacing="1"/>
        <w:ind w:leftChars="0" w:left="0" w:firstLineChars="200" w:firstLine="560"/>
        <w:jc w:val="both"/>
        <w:rPr>
          <w:rFonts w:ascii="Times New Roman" w:eastAsia="標楷體" w:hAnsi="Times New Roman"/>
          <w:sz w:val="28"/>
          <w:szCs w:val="28"/>
        </w:rPr>
      </w:pPr>
      <w:r w:rsidRPr="005E758A">
        <w:rPr>
          <w:rFonts w:ascii="Times New Roman" w:eastAsia="標楷體" w:hAnsi="Times New Roman"/>
          <w:sz w:val="28"/>
          <w:szCs w:val="28"/>
        </w:rPr>
        <w:t>法院認為因宗教因素而對男童執行之</w:t>
      </w:r>
      <w:proofErr w:type="gramStart"/>
      <w:r w:rsidRPr="005E758A">
        <w:rPr>
          <w:rFonts w:ascii="Times New Roman" w:eastAsia="標楷體" w:hAnsi="Times New Roman"/>
          <w:sz w:val="28"/>
          <w:szCs w:val="28"/>
        </w:rPr>
        <w:t>割禮乃</w:t>
      </w:r>
      <w:proofErr w:type="gramEnd"/>
      <w:r w:rsidRPr="005E758A">
        <w:rPr>
          <w:rFonts w:ascii="Times New Roman" w:eastAsia="標楷體" w:hAnsi="Times New Roman"/>
          <w:sz w:val="28"/>
          <w:szCs w:val="28"/>
        </w:rPr>
        <w:t>對身體的侵害，應被禁止，且該男童身體完整之權利優於對宗教權及親權之行使。法院權衡以下</w:t>
      </w:r>
      <w:r w:rsidRPr="005E758A">
        <w:rPr>
          <w:rFonts w:ascii="Times New Roman" w:eastAsia="標楷體" w:hAnsi="Times New Roman"/>
          <w:sz w:val="28"/>
          <w:szCs w:val="28"/>
        </w:rPr>
        <w:t>3</w:t>
      </w:r>
      <w:r w:rsidRPr="005E758A">
        <w:rPr>
          <w:rFonts w:ascii="Times New Roman" w:eastAsia="標楷體" w:hAnsi="Times New Roman"/>
          <w:sz w:val="28"/>
          <w:szCs w:val="28"/>
        </w:rPr>
        <w:t>項德國基本法規範：親權、宗教自由以及兒童對於身體完整之權利。法院結論認為：</w:t>
      </w:r>
      <w:proofErr w:type="gramStart"/>
      <w:r w:rsidRPr="005E758A">
        <w:rPr>
          <w:rFonts w:ascii="Times New Roman" w:eastAsia="標楷體" w:hAnsi="Times New Roman"/>
          <w:sz w:val="28"/>
          <w:szCs w:val="28"/>
        </w:rPr>
        <w:t>該割禮</w:t>
      </w:r>
      <w:proofErr w:type="gramEnd"/>
      <w:r w:rsidRPr="005E758A">
        <w:rPr>
          <w:rFonts w:ascii="Times New Roman" w:eastAsia="標楷體" w:hAnsi="Times New Roman"/>
          <w:sz w:val="28"/>
          <w:szCs w:val="28"/>
        </w:rPr>
        <w:t>的過程並非根據男童之利益著想，並否定了</w:t>
      </w:r>
      <w:proofErr w:type="gramStart"/>
      <w:r w:rsidRPr="005E758A">
        <w:rPr>
          <w:rFonts w:ascii="Times New Roman" w:eastAsia="標楷體" w:hAnsi="Times New Roman"/>
          <w:sz w:val="28"/>
          <w:szCs w:val="28"/>
        </w:rPr>
        <w:t>關於割禮於</w:t>
      </w:r>
      <w:proofErr w:type="gramEnd"/>
      <w:r w:rsidRPr="005E758A">
        <w:rPr>
          <w:rFonts w:ascii="Times New Roman" w:eastAsia="標楷體" w:hAnsi="Times New Roman"/>
          <w:sz w:val="28"/>
          <w:szCs w:val="28"/>
        </w:rPr>
        <w:t>許多文化中如美國，乃基於衛生觀念之主張。</w:t>
      </w:r>
    </w:p>
    <w:p w14:paraId="3A790FF2" w14:textId="77777777" w:rsidR="00CC1907" w:rsidRPr="005E758A" w:rsidRDefault="00D75392" w:rsidP="00CC1907">
      <w:pPr>
        <w:pStyle w:val="a0"/>
        <w:snapToGrid w:val="0"/>
        <w:spacing w:before="100" w:beforeAutospacing="1" w:after="100" w:afterAutospacing="1"/>
        <w:ind w:leftChars="0" w:left="0" w:firstLineChars="200" w:firstLine="560"/>
        <w:jc w:val="both"/>
        <w:rPr>
          <w:rFonts w:ascii="Times New Roman" w:eastAsia="標楷體" w:hAnsi="Times New Roman"/>
          <w:sz w:val="28"/>
          <w:szCs w:val="28"/>
        </w:rPr>
      </w:pPr>
      <w:r w:rsidRPr="005E758A">
        <w:rPr>
          <w:rFonts w:ascii="Times New Roman" w:eastAsia="標楷體" w:hAnsi="Times New Roman"/>
          <w:sz w:val="28"/>
          <w:szCs w:val="28"/>
        </w:rPr>
        <w:t>法院認為，</w:t>
      </w:r>
      <w:r w:rsidR="00CC1907" w:rsidRPr="005E758A">
        <w:rPr>
          <w:rFonts w:ascii="Times New Roman" w:eastAsia="標楷體" w:hAnsi="Times New Roman"/>
          <w:sz w:val="28"/>
          <w:szCs w:val="28"/>
        </w:rPr>
        <w:t>即使</w:t>
      </w:r>
      <w:proofErr w:type="gramStart"/>
      <w:r w:rsidR="00CC1907" w:rsidRPr="005E758A">
        <w:rPr>
          <w:rFonts w:ascii="Times New Roman" w:eastAsia="標楷體" w:hAnsi="Times New Roman"/>
          <w:sz w:val="28"/>
          <w:szCs w:val="28"/>
        </w:rPr>
        <w:t>割禮係</w:t>
      </w:r>
      <w:proofErr w:type="gramEnd"/>
      <w:r w:rsidR="00CC1907" w:rsidRPr="005E758A">
        <w:rPr>
          <w:rFonts w:ascii="Times New Roman" w:eastAsia="標楷體" w:hAnsi="Times New Roman"/>
          <w:sz w:val="28"/>
          <w:szCs w:val="28"/>
        </w:rPr>
        <w:t>於雙親之同意下且由醫生完善地執行，仍係在男童無法表示同意之情形下進行，且該過程乃對於身體之侵害，會造成該男童永久且不可回復之傷害，並且侵害爾後男童自由追求宗教之自由。</w:t>
      </w:r>
      <w:proofErr w:type="gramStart"/>
      <w:r w:rsidR="00CC1907" w:rsidRPr="005E758A">
        <w:rPr>
          <w:rFonts w:ascii="Times New Roman" w:eastAsia="標楷體" w:hAnsi="Times New Roman"/>
          <w:sz w:val="28"/>
          <w:szCs w:val="28"/>
        </w:rPr>
        <w:t>惟</w:t>
      </w:r>
      <w:proofErr w:type="gramEnd"/>
      <w:r w:rsidR="00CC1907" w:rsidRPr="005E758A">
        <w:rPr>
          <w:rFonts w:ascii="Times New Roman" w:eastAsia="標楷體" w:hAnsi="Times New Roman"/>
          <w:sz w:val="28"/>
          <w:szCs w:val="28"/>
        </w:rPr>
        <w:t>法院依然因醫生</w:t>
      </w:r>
      <w:r w:rsidR="00CC1907" w:rsidRPr="005E758A">
        <w:rPr>
          <w:rFonts w:ascii="Times New Roman" w:eastAsia="標楷體" w:hAnsi="Times New Roman"/>
          <w:sz w:val="28"/>
          <w:szCs w:val="28"/>
        </w:rPr>
        <w:t>K</w:t>
      </w:r>
      <w:r w:rsidR="00CC1907" w:rsidRPr="005E758A">
        <w:rPr>
          <w:rFonts w:ascii="Times New Roman" w:eastAsia="標楷體" w:hAnsi="Times New Roman"/>
          <w:sz w:val="28"/>
          <w:szCs w:val="28"/>
        </w:rPr>
        <w:t>執行</w:t>
      </w:r>
      <w:proofErr w:type="gramStart"/>
      <w:r w:rsidR="00CC1907" w:rsidRPr="005E758A">
        <w:rPr>
          <w:rFonts w:ascii="Times New Roman" w:eastAsia="標楷體" w:hAnsi="Times New Roman"/>
          <w:sz w:val="28"/>
          <w:szCs w:val="28"/>
        </w:rPr>
        <w:t>割禮時乃</w:t>
      </w:r>
      <w:proofErr w:type="gramEnd"/>
      <w:r w:rsidR="00CC1907" w:rsidRPr="005E758A">
        <w:rPr>
          <w:rFonts w:ascii="Times New Roman" w:eastAsia="標楷體" w:hAnsi="Times New Roman"/>
          <w:sz w:val="28"/>
          <w:szCs w:val="28"/>
        </w:rPr>
        <w:t>清楚明瞭並且當時並非違法之行為</w:t>
      </w:r>
      <w:proofErr w:type="gramStart"/>
      <w:r w:rsidR="00CC1907" w:rsidRPr="005E758A">
        <w:rPr>
          <w:rFonts w:ascii="Times New Roman" w:eastAsia="標楷體" w:hAnsi="Times New Roman"/>
          <w:sz w:val="28"/>
          <w:szCs w:val="28"/>
        </w:rPr>
        <w:t>而判其無罪</w:t>
      </w:r>
      <w:proofErr w:type="gramEnd"/>
      <w:r w:rsidR="00CC1907" w:rsidRPr="005E758A">
        <w:rPr>
          <w:rFonts w:ascii="Times New Roman" w:eastAsia="標楷體" w:hAnsi="Times New Roman"/>
          <w:sz w:val="28"/>
          <w:szCs w:val="28"/>
        </w:rPr>
        <w:t>。法院認為未來此種行為應立法予以處罰。</w:t>
      </w:r>
    </w:p>
    <w:p w14:paraId="516595B3" w14:textId="77777777" w:rsidR="00CC1907" w:rsidRPr="005E758A" w:rsidRDefault="00CC1907" w:rsidP="007119F4">
      <w:pPr>
        <w:pStyle w:val="3"/>
        <w:numPr>
          <w:ilvl w:val="0"/>
          <w:numId w:val="63"/>
        </w:numPr>
      </w:pPr>
      <w:r w:rsidRPr="005E758A">
        <w:t>2012</w:t>
      </w:r>
      <w:r w:rsidRPr="005E758A">
        <w:t>年聯合國大會關於女</w:t>
      </w:r>
      <w:proofErr w:type="gramStart"/>
      <w:r w:rsidRPr="005E758A">
        <w:t>童割禮</w:t>
      </w:r>
      <w:proofErr w:type="gramEnd"/>
      <w:r w:rsidRPr="005E758A">
        <w:t>之決議：</w:t>
      </w:r>
      <w:r w:rsidRPr="005E758A">
        <w:t>67/146. Intensifying global efforts for the elimination of female genital mutilations</w:t>
      </w:r>
      <w:r w:rsidRPr="005E758A">
        <w:rPr>
          <w:rStyle w:val="af3"/>
        </w:rPr>
        <w:endnoteReference w:id="330"/>
      </w:r>
    </w:p>
    <w:p w14:paraId="412CC540" w14:textId="77777777" w:rsidR="00CC1907" w:rsidRPr="005E758A" w:rsidRDefault="00CC1907" w:rsidP="00CC1907">
      <w:pPr>
        <w:pStyle w:val="a0"/>
        <w:snapToGrid w:val="0"/>
        <w:spacing w:before="100" w:beforeAutospacing="1" w:after="100" w:afterAutospacing="1"/>
        <w:ind w:leftChars="0" w:left="0" w:firstLineChars="200" w:firstLine="560"/>
        <w:jc w:val="both"/>
        <w:rPr>
          <w:rFonts w:ascii="Times New Roman" w:eastAsia="標楷體" w:hAnsi="Times New Roman"/>
          <w:sz w:val="28"/>
          <w:szCs w:val="28"/>
        </w:rPr>
      </w:pPr>
      <w:r w:rsidRPr="005E758A">
        <w:rPr>
          <w:rFonts w:ascii="Times New Roman" w:eastAsia="標楷體" w:hAnsi="Times New Roman"/>
          <w:sz w:val="28"/>
          <w:szCs w:val="28"/>
        </w:rPr>
        <w:t>在非洲許多國家</w:t>
      </w:r>
      <w:r w:rsidR="0067212E">
        <w:rPr>
          <w:rFonts w:ascii="Times New Roman" w:eastAsia="標楷體" w:hAnsi="Times New Roman" w:hint="eastAsia"/>
          <w:sz w:val="28"/>
          <w:szCs w:val="28"/>
        </w:rPr>
        <w:t>（</w:t>
      </w:r>
      <w:proofErr w:type="gramStart"/>
      <w:r w:rsidRPr="005E758A">
        <w:rPr>
          <w:rFonts w:ascii="Times New Roman" w:eastAsia="標楷體" w:hAnsi="Times New Roman"/>
          <w:sz w:val="28"/>
          <w:szCs w:val="28"/>
        </w:rPr>
        <w:t>主要集中主要集中</w:t>
      </w:r>
      <w:proofErr w:type="gramEnd"/>
      <w:r w:rsidRPr="005E758A">
        <w:rPr>
          <w:rFonts w:ascii="Times New Roman" w:eastAsia="標楷體" w:hAnsi="Times New Roman"/>
          <w:sz w:val="28"/>
          <w:szCs w:val="28"/>
        </w:rPr>
        <w:t>在</w:t>
      </w:r>
      <w:r w:rsidRPr="005E758A">
        <w:rPr>
          <w:rFonts w:ascii="Times New Roman" w:eastAsia="標楷體" w:hAnsi="Times New Roman"/>
          <w:sz w:val="28"/>
          <w:szCs w:val="28"/>
        </w:rPr>
        <w:t>27</w:t>
      </w:r>
      <w:r w:rsidRPr="005E758A">
        <w:rPr>
          <w:rFonts w:ascii="Times New Roman" w:eastAsia="標楷體" w:hAnsi="Times New Roman"/>
          <w:sz w:val="28"/>
          <w:szCs w:val="28"/>
        </w:rPr>
        <w:t>個非洲國家，葉門和伊拉克庫爾德地區，以及亞洲，中東其他地區</w:t>
      </w:r>
      <w:r w:rsidR="0067212E">
        <w:rPr>
          <w:rFonts w:ascii="Times New Roman" w:eastAsia="標楷體" w:hAnsi="Times New Roman" w:hint="eastAsia"/>
          <w:sz w:val="28"/>
          <w:szCs w:val="28"/>
        </w:rPr>
        <w:t>）</w:t>
      </w:r>
      <w:r w:rsidRPr="005E758A">
        <w:rPr>
          <w:rFonts w:ascii="Times New Roman" w:eastAsia="標楷體" w:hAnsi="Times New Roman"/>
          <w:sz w:val="28"/>
          <w:szCs w:val="28"/>
        </w:rPr>
        <w:t>仍然保有女</w:t>
      </w:r>
      <w:proofErr w:type="gramStart"/>
      <w:r w:rsidRPr="005E758A">
        <w:rPr>
          <w:rFonts w:ascii="Times New Roman" w:eastAsia="標楷體" w:hAnsi="Times New Roman"/>
          <w:sz w:val="28"/>
          <w:szCs w:val="28"/>
        </w:rPr>
        <w:t>童割禮</w:t>
      </w:r>
      <w:proofErr w:type="gramEnd"/>
      <w:r w:rsidRPr="005E758A">
        <w:rPr>
          <w:rFonts w:ascii="Times New Roman" w:eastAsia="標楷體" w:hAnsi="Times New Roman"/>
          <w:sz w:val="28"/>
          <w:szCs w:val="28"/>
        </w:rPr>
        <w:t>之傳統習俗。</w:t>
      </w:r>
      <w:proofErr w:type="gramStart"/>
      <w:r w:rsidRPr="005E758A">
        <w:rPr>
          <w:rFonts w:ascii="Times New Roman" w:eastAsia="標楷體" w:hAnsi="Times New Roman"/>
          <w:sz w:val="28"/>
          <w:szCs w:val="28"/>
        </w:rPr>
        <w:t>於女童</w:t>
      </w:r>
      <w:proofErr w:type="gramEnd"/>
      <w:r w:rsidRPr="005E758A">
        <w:rPr>
          <w:rFonts w:ascii="Times New Roman" w:eastAsia="標楷體" w:hAnsi="Times New Roman"/>
          <w:sz w:val="28"/>
          <w:szCs w:val="28"/>
        </w:rPr>
        <w:t>四到七歲</w:t>
      </w:r>
      <w:proofErr w:type="gramStart"/>
      <w:r w:rsidRPr="005E758A">
        <w:rPr>
          <w:rFonts w:ascii="Times New Roman" w:eastAsia="標楷體" w:hAnsi="Times New Roman"/>
          <w:sz w:val="28"/>
          <w:szCs w:val="28"/>
        </w:rPr>
        <w:t>之間，</w:t>
      </w:r>
      <w:proofErr w:type="gramEnd"/>
      <w:r w:rsidRPr="005E758A">
        <w:rPr>
          <w:rFonts w:ascii="Times New Roman" w:eastAsia="標楷體" w:hAnsi="Times New Roman"/>
          <w:sz w:val="28"/>
          <w:szCs w:val="28"/>
        </w:rPr>
        <w:t>以簡陋的手術方式</w:t>
      </w:r>
      <w:r w:rsidR="0067212E">
        <w:rPr>
          <w:rFonts w:ascii="Times New Roman" w:eastAsia="標楷體" w:hAnsi="Times New Roman" w:hint="eastAsia"/>
          <w:sz w:val="28"/>
          <w:szCs w:val="28"/>
        </w:rPr>
        <w:t>（</w:t>
      </w:r>
      <w:r w:rsidR="00D75392" w:rsidRPr="005E758A">
        <w:rPr>
          <w:rFonts w:ascii="Times New Roman" w:eastAsia="標楷體" w:hAnsi="Times New Roman"/>
          <w:sz w:val="28"/>
          <w:szCs w:val="28"/>
        </w:rPr>
        <w:t>通常係一般的</w:t>
      </w:r>
      <w:r w:rsidRPr="005E758A">
        <w:rPr>
          <w:rFonts w:ascii="Times New Roman" w:eastAsia="標楷體" w:hAnsi="Times New Roman"/>
          <w:sz w:val="28"/>
          <w:szCs w:val="28"/>
        </w:rPr>
        <w:t>刀片</w:t>
      </w:r>
      <w:r w:rsidR="0067212E">
        <w:rPr>
          <w:rFonts w:ascii="Times New Roman" w:eastAsia="標楷體" w:hAnsi="Times New Roman" w:hint="eastAsia"/>
          <w:sz w:val="28"/>
          <w:szCs w:val="28"/>
        </w:rPr>
        <w:t>）</w:t>
      </w:r>
      <w:r w:rsidRPr="005E758A">
        <w:rPr>
          <w:rFonts w:ascii="Times New Roman" w:eastAsia="標楷體" w:hAnsi="Times New Roman"/>
          <w:sz w:val="28"/>
          <w:szCs w:val="28"/>
        </w:rPr>
        <w:t>，切除女性外生殖器的一部分或全部，使其性</w:t>
      </w:r>
      <w:proofErr w:type="gramStart"/>
      <w:r w:rsidRPr="005E758A">
        <w:rPr>
          <w:rFonts w:ascii="Times New Roman" w:eastAsia="標楷體" w:hAnsi="Times New Roman"/>
          <w:sz w:val="28"/>
          <w:szCs w:val="28"/>
        </w:rPr>
        <w:t>慾</w:t>
      </w:r>
      <w:proofErr w:type="gramEnd"/>
      <w:r w:rsidRPr="005E758A">
        <w:rPr>
          <w:rFonts w:ascii="Times New Roman" w:eastAsia="標楷體" w:hAnsi="Times New Roman"/>
          <w:sz w:val="28"/>
          <w:szCs w:val="28"/>
        </w:rPr>
        <w:t>降低，</w:t>
      </w:r>
      <w:r w:rsidR="00D75392" w:rsidRPr="005E758A">
        <w:rPr>
          <w:rFonts w:ascii="Times New Roman" w:eastAsia="標楷體" w:hAnsi="Times New Roman"/>
          <w:sz w:val="28"/>
          <w:szCs w:val="28"/>
        </w:rPr>
        <w:t>以象徵女性之純潔。</w:t>
      </w:r>
      <w:r w:rsidRPr="005E758A">
        <w:rPr>
          <w:rFonts w:ascii="Times New Roman" w:eastAsia="標楷體" w:hAnsi="Times New Roman"/>
          <w:sz w:val="28"/>
          <w:szCs w:val="28"/>
        </w:rPr>
        <w:t>直至今日，即使埃及、肯亞等國家已立法禁止對女</w:t>
      </w:r>
      <w:proofErr w:type="gramStart"/>
      <w:r w:rsidRPr="005E758A">
        <w:rPr>
          <w:rFonts w:ascii="Times New Roman" w:eastAsia="標楷體" w:hAnsi="Times New Roman"/>
          <w:sz w:val="28"/>
          <w:szCs w:val="28"/>
        </w:rPr>
        <w:t>童進行割禮</w:t>
      </w:r>
      <w:proofErr w:type="gramEnd"/>
      <w:r w:rsidRPr="005E758A">
        <w:rPr>
          <w:rFonts w:ascii="Times New Roman" w:eastAsia="標楷體" w:hAnsi="Times New Roman"/>
          <w:sz w:val="28"/>
          <w:szCs w:val="28"/>
        </w:rPr>
        <w:t>，此一陋習仍難以撼動</w:t>
      </w:r>
      <w:r w:rsidRPr="005E758A">
        <w:rPr>
          <w:rStyle w:val="af3"/>
          <w:rFonts w:ascii="Times New Roman" w:eastAsia="標楷體" w:hAnsi="Times New Roman"/>
        </w:rPr>
        <w:endnoteReference w:id="331"/>
      </w:r>
      <w:r w:rsidRPr="005E758A">
        <w:rPr>
          <w:rFonts w:ascii="Times New Roman" w:eastAsia="標楷體" w:hAnsi="Times New Roman"/>
          <w:sz w:val="28"/>
          <w:szCs w:val="28"/>
        </w:rPr>
        <w:t>。</w:t>
      </w:r>
    </w:p>
    <w:p w14:paraId="6D97FE31" w14:textId="77777777" w:rsidR="00CC1907" w:rsidRPr="005E758A" w:rsidRDefault="00CC1907" w:rsidP="0095798C">
      <w:pPr>
        <w:pStyle w:val="a0"/>
        <w:snapToGrid w:val="0"/>
        <w:spacing w:before="100" w:beforeAutospacing="1" w:after="100" w:afterAutospacing="1"/>
        <w:ind w:leftChars="0" w:left="0" w:firstLineChars="200" w:firstLine="560"/>
        <w:jc w:val="both"/>
        <w:rPr>
          <w:rFonts w:ascii="Times New Roman" w:eastAsia="標楷體" w:hAnsi="Times New Roman"/>
          <w:sz w:val="28"/>
          <w:szCs w:val="28"/>
        </w:rPr>
      </w:pPr>
      <w:r w:rsidRPr="005E758A">
        <w:rPr>
          <w:rFonts w:ascii="Times New Roman" w:eastAsia="標楷體" w:hAnsi="Times New Roman"/>
          <w:sz w:val="28"/>
          <w:szCs w:val="28"/>
        </w:rPr>
        <w:t>2012</w:t>
      </w:r>
      <w:r w:rsidR="00D75392" w:rsidRPr="005E758A">
        <w:rPr>
          <w:rFonts w:ascii="Times New Roman" w:eastAsia="標楷體" w:hAnsi="Times New Roman"/>
          <w:sz w:val="28"/>
          <w:szCs w:val="28"/>
        </w:rPr>
        <w:t>年聯合國大會決議，</w:t>
      </w:r>
      <w:r w:rsidRPr="005E758A">
        <w:rPr>
          <w:rFonts w:ascii="Times New Roman" w:eastAsia="標楷體" w:hAnsi="Times New Roman"/>
          <w:sz w:val="28"/>
          <w:szCs w:val="28"/>
        </w:rPr>
        <w:t>所有醫療院所內外執行的女</w:t>
      </w:r>
      <w:proofErr w:type="gramStart"/>
      <w:r w:rsidRPr="005E758A">
        <w:rPr>
          <w:rFonts w:ascii="Times New Roman" w:eastAsia="標楷體" w:hAnsi="Times New Roman"/>
          <w:sz w:val="28"/>
          <w:szCs w:val="28"/>
        </w:rPr>
        <w:t>童割禮</w:t>
      </w:r>
      <w:proofErr w:type="gramEnd"/>
      <w:r w:rsidRPr="005E758A">
        <w:rPr>
          <w:rFonts w:ascii="Times New Roman" w:eastAsia="標楷體" w:hAnsi="Times New Roman"/>
          <w:sz w:val="28"/>
          <w:szCs w:val="28"/>
        </w:rPr>
        <w:t>行為，</w:t>
      </w:r>
      <w:r w:rsidR="00D75392" w:rsidRPr="005E758A">
        <w:rPr>
          <w:rFonts w:ascii="Times New Roman" w:eastAsia="標楷體" w:hAnsi="Times New Roman"/>
          <w:sz w:val="28"/>
          <w:szCs w:val="28"/>
        </w:rPr>
        <w:t>均</w:t>
      </w:r>
      <w:r w:rsidRPr="005E758A">
        <w:rPr>
          <w:rFonts w:ascii="Times New Roman" w:eastAsia="標楷體" w:hAnsi="Times New Roman"/>
          <w:sz w:val="28"/>
          <w:szCs w:val="28"/>
        </w:rPr>
        <w:t>屬於嚴重侵犯人權的違法行為，</w:t>
      </w:r>
      <w:r w:rsidR="00D75392" w:rsidRPr="005E758A">
        <w:rPr>
          <w:rFonts w:ascii="Times New Roman" w:eastAsia="標楷體" w:hAnsi="Times New Roman"/>
          <w:sz w:val="28"/>
          <w:szCs w:val="28"/>
        </w:rPr>
        <w:t>並應杜絕</w:t>
      </w:r>
      <w:r w:rsidRPr="005E758A">
        <w:rPr>
          <w:rFonts w:ascii="Times New Roman" w:eastAsia="標楷體" w:hAnsi="Times New Roman"/>
          <w:sz w:val="28"/>
          <w:szCs w:val="28"/>
        </w:rPr>
        <w:t>此種歧視和暴力</w:t>
      </w:r>
      <w:r w:rsidR="00D75392" w:rsidRPr="005E758A">
        <w:rPr>
          <w:rFonts w:ascii="Times New Roman" w:eastAsia="標楷體" w:hAnsi="Times New Roman"/>
          <w:sz w:val="28"/>
          <w:szCs w:val="28"/>
        </w:rPr>
        <w:t>。</w:t>
      </w:r>
      <w:r w:rsidR="004D7FDA" w:rsidRPr="005E758A">
        <w:rPr>
          <w:rFonts w:ascii="Times New Roman" w:eastAsia="標楷體" w:hAnsi="Times New Roman"/>
          <w:sz w:val="28"/>
          <w:szCs w:val="28"/>
        </w:rPr>
        <w:t>各國應立法嚴懲此種犯罪，並呼籲各國</w:t>
      </w:r>
      <w:r w:rsidRPr="005E758A">
        <w:rPr>
          <w:rFonts w:ascii="Times New Roman" w:eastAsia="標楷體" w:hAnsi="Times New Roman"/>
          <w:sz w:val="28"/>
          <w:szCs w:val="28"/>
        </w:rPr>
        <w:t>推廣宣傳、提升相關認</w:t>
      </w:r>
      <w:r w:rsidR="004D7FDA" w:rsidRPr="005E758A">
        <w:rPr>
          <w:rFonts w:ascii="Times New Roman" w:eastAsia="標楷體" w:hAnsi="Times New Roman"/>
          <w:sz w:val="28"/>
          <w:szCs w:val="28"/>
        </w:rPr>
        <w:t>知並加強正規和非正規教育及培訓工作，</w:t>
      </w:r>
      <w:r w:rsidRPr="005E758A">
        <w:rPr>
          <w:rFonts w:ascii="Times New Roman" w:eastAsia="標楷體" w:hAnsi="Times New Roman"/>
          <w:sz w:val="28"/>
          <w:szCs w:val="28"/>
        </w:rPr>
        <w:t>教育建立社會和心理協助服務之照護，達到改善女性之身體健康，包括性健康和生殖健康之目的。</w:t>
      </w:r>
    </w:p>
    <w:p w14:paraId="7AFF84C0" w14:textId="77777777" w:rsidR="00CC1907" w:rsidRPr="005E758A" w:rsidRDefault="00CC1907" w:rsidP="00CC1907">
      <w:pPr>
        <w:pStyle w:val="2"/>
      </w:pPr>
      <w:r w:rsidRPr="005E758A">
        <w:t>綜合分析</w:t>
      </w:r>
    </w:p>
    <w:p w14:paraId="3794A9C5" w14:textId="77777777" w:rsidR="00CC1907" w:rsidRPr="005E758A" w:rsidRDefault="00CC1907" w:rsidP="0095798C">
      <w:pPr>
        <w:pStyle w:val="a0"/>
        <w:snapToGrid w:val="0"/>
        <w:spacing w:before="100" w:beforeAutospacing="1" w:after="100" w:afterAutospacing="1"/>
        <w:ind w:leftChars="0" w:left="0" w:firstLineChars="200" w:firstLine="560"/>
        <w:jc w:val="both"/>
        <w:rPr>
          <w:rFonts w:ascii="Times New Roman" w:eastAsia="標楷體" w:hAnsi="Times New Roman"/>
          <w:sz w:val="28"/>
          <w:szCs w:val="28"/>
        </w:rPr>
      </w:pPr>
      <w:r w:rsidRPr="005E758A">
        <w:rPr>
          <w:rFonts w:ascii="Times New Roman" w:eastAsia="標楷體" w:hAnsi="Times New Roman"/>
          <w:sz w:val="28"/>
          <w:szCs w:val="28"/>
        </w:rPr>
        <w:lastRenderedPageBreak/>
        <w:t>兒童健康權為一種包容性權利，不僅指預防、健康促進、治療、康復，而且亦指兒童有權利盡可能充分地成長和發展，其有權享有一定的生活條件，使其健康能夠在實施各種解決保持健康的根本決定因素的方案之後達到最高標準</w:t>
      </w:r>
      <w:r w:rsidRPr="005E758A">
        <w:rPr>
          <w:rStyle w:val="af3"/>
          <w:rFonts w:ascii="Times New Roman" w:eastAsia="標楷體" w:hAnsi="Times New Roman"/>
        </w:rPr>
        <w:endnoteReference w:id="332"/>
      </w:r>
      <w:r w:rsidRPr="005E758A">
        <w:rPr>
          <w:rFonts w:ascii="Times New Roman" w:eastAsia="標楷體" w:hAnsi="Times New Roman"/>
          <w:sz w:val="28"/>
          <w:szCs w:val="28"/>
        </w:rPr>
        <w:t>。</w:t>
      </w:r>
    </w:p>
    <w:p w14:paraId="5D41B352" w14:textId="77777777" w:rsidR="00CC1907" w:rsidRPr="005E758A" w:rsidRDefault="00CC1907" w:rsidP="0095798C">
      <w:pPr>
        <w:pStyle w:val="a0"/>
        <w:snapToGrid w:val="0"/>
        <w:spacing w:before="100" w:beforeAutospacing="1" w:after="100" w:afterAutospacing="1"/>
        <w:ind w:leftChars="0" w:left="0" w:firstLineChars="200" w:firstLine="560"/>
        <w:jc w:val="both"/>
        <w:rPr>
          <w:rFonts w:ascii="Times New Roman" w:eastAsia="標楷體" w:hAnsi="Times New Roman"/>
          <w:sz w:val="28"/>
          <w:szCs w:val="28"/>
        </w:rPr>
      </w:pPr>
      <w:r w:rsidRPr="005E758A">
        <w:rPr>
          <w:rFonts w:ascii="Times New Roman" w:eastAsia="標楷體" w:hAnsi="Times New Roman"/>
          <w:sz w:val="28"/>
          <w:szCs w:val="28"/>
        </w:rPr>
        <w:t>由本條第</w:t>
      </w:r>
      <w:r w:rsidRPr="005E758A">
        <w:rPr>
          <w:rFonts w:ascii="Times New Roman" w:eastAsia="標楷體" w:hAnsi="Times New Roman"/>
          <w:sz w:val="28"/>
          <w:szCs w:val="28"/>
        </w:rPr>
        <w:t>1</w:t>
      </w:r>
      <w:r w:rsidRPr="005E758A">
        <w:rPr>
          <w:rFonts w:ascii="Times New Roman" w:eastAsia="標楷體" w:hAnsi="Times New Roman"/>
          <w:sz w:val="28"/>
          <w:szCs w:val="28"/>
        </w:rPr>
        <w:t>項之內容可知，國家的作為義務不在於確保每位兒童之健康，而是考量兒童遺傳與生理等風險因素，促使兒童享有「最高可達水準之健康」。第</w:t>
      </w:r>
      <w:r w:rsidRPr="005E758A">
        <w:rPr>
          <w:rFonts w:ascii="Times New Roman" w:eastAsia="標楷體" w:hAnsi="Times New Roman"/>
          <w:sz w:val="28"/>
          <w:szCs w:val="28"/>
        </w:rPr>
        <w:t>2</w:t>
      </w:r>
      <w:r w:rsidRPr="005E758A">
        <w:rPr>
          <w:rFonts w:ascii="Times New Roman" w:eastAsia="標楷體" w:hAnsi="Times New Roman"/>
          <w:sz w:val="28"/>
          <w:szCs w:val="28"/>
        </w:rPr>
        <w:t>項主要是</w:t>
      </w:r>
      <w:proofErr w:type="gramStart"/>
      <w:r w:rsidRPr="005E758A">
        <w:rPr>
          <w:rFonts w:ascii="Times New Roman" w:eastAsia="標楷體" w:hAnsi="Times New Roman"/>
          <w:sz w:val="28"/>
          <w:szCs w:val="28"/>
        </w:rPr>
        <w:t>臚</w:t>
      </w:r>
      <w:proofErr w:type="gramEnd"/>
      <w:r w:rsidRPr="005E758A">
        <w:rPr>
          <w:rFonts w:ascii="Times New Roman" w:eastAsia="標楷體" w:hAnsi="Times New Roman"/>
          <w:sz w:val="28"/>
          <w:szCs w:val="28"/>
        </w:rPr>
        <w:t>列國家應採取之作為，各國於本條應負之義務不限於該項各款之措施；然因規範之文字相當廣泛，故為具體理解其</w:t>
      </w:r>
      <w:proofErr w:type="gramStart"/>
      <w:r w:rsidRPr="005E758A">
        <w:rPr>
          <w:rFonts w:ascii="Times New Roman" w:eastAsia="標楷體" w:hAnsi="Times New Roman"/>
          <w:sz w:val="28"/>
          <w:szCs w:val="28"/>
        </w:rPr>
        <w:t>中意涵</w:t>
      </w:r>
      <w:proofErr w:type="gramEnd"/>
      <w:r w:rsidRPr="005E758A">
        <w:rPr>
          <w:rFonts w:ascii="Times New Roman" w:eastAsia="標楷體" w:hAnsi="Times New Roman"/>
          <w:sz w:val="28"/>
          <w:szCs w:val="28"/>
        </w:rPr>
        <w:t>應參考兒童權利委員會之相關說明。</w:t>
      </w:r>
    </w:p>
    <w:p w14:paraId="3C8938F1" w14:textId="77777777" w:rsidR="00CC1907" w:rsidRPr="005E758A" w:rsidRDefault="00371A18" w:rsidP="00CC1907">
      <w:pPr>
        <w:pStyle w:val="2"/>
      </w:pPr>
      <w:r w:rsidRPr="005E758A">
        <w:t>參考資料</w:t>
      </w:r>
    </w:p>
    <w:p w14:paraId="775A3B75" w14:textId="77777777" w:rsidR="00CC1907" w:rsidRPr="005E758A" w:rsidRDefault="00CC1907" w:rsidP="007119F4">
      <w:pPr>
        <w:pStyle w:val="a0"/>
        <w:numPr>
          <w:ilvl w:val="0"/>
          <w:numId w:val="56"/>
        </w:numPr>
        <w:snapToGrid w:val="0"/>
        <w:spacing w:before="100" w:beforeAutospacing="1" w:after="100" w:afterAutospacing="1"/>
        <w:ind w:leftChars="0"/>
        <w:jc w:val="both"/>
        <w:rPr>
          <w:rFonts w:ascii="Times New Roman" w:eastAsia="標楷體" w:hAnsi="Times New Roman"/>
          <w:sz w:val="28"/>
          <w:szCs w:val="28"/>
        </w:rPr>
      </w:pPr>
      <w:r w:rsidRPr="005E758A">
        <w:rPr>
          <w:rFonts w:ascii="Times New Roman" w:eastAsia="標楷體" w:hAnsi="Times New Roman"/>
          <w:sz w:val="28"/>
          <w:szCs w:val="28"/>
        </w:rPr>
        <w:t>兒童權利委員會，第</w:t>
      </w:r>
      <w:r w:rsidRPr="005E758A">
        <w:rPr>
          <w:rFonts w:ascii="Times New Roman" w:eastAsia="標楷體" w:hAnsi="Times New Roman"/>
          <w:sz w:val="28"/>
          <w:szCs w:val="28"/>
        </w:rPr>
        <w:t>15</w:t>
      </w:r>
      <w:r w:rsidRPr="005E758A">
        <w:rPr>
          <w:rFonts w:ascii="Times New Roman" w:eastAsia="標楷體" w:hAnsi="Times New Roman"/>
          <w:sz w:val="28"/>
          <w:szCs w:val="28"/>
        </w:rPr>
        <w:t>號一般性意見「關於兒童享有可達到的最高標準健康的權利問題」。</w:t>
      </w:r>
      <w:r w:rsidRPr="005E758A">
        <w:rPr>
          <w:rFonts w:ascii="Times New Roman" w:eastAsia="標楷體" w:hAnsi="Times New Roman"/>
          <w:sz w:val="28"/>
          <w:szCs w:val="28"/>
        </w:rPr>
        <w:t>(Committee on the Rights of the Child, General Comment No.15 on the Right of the Child to the Enjoyment of the Highest Attainable Standard of Health (Art. 24), U.N. Doc. CRC/C/GC/15 (Apr. 17, 2013).)</w:t>
      </w:r>
    </w:p>
    <w:p w14:paraId="5BA7E366" w14:textId="77777777" w:rsidR="00041AD0" w:rsidRPr="005E758A" w:rsidRDefault="00041AD0" w:rsidP="00041AD0">
      <w:pPr>
        <w:pStyle w:val="a0"/>
        <w:numPr>
          <w:ilvl w:val="0"/>
          <w:numId w:val="56"/>
        </w:numPr>
        <w:snapToGrid w:val="0"/>
        <w:spacing w:before="100" w:beforeAutospacing="1" w:after="100" w:afterAutospacing="1"/>
        <w:ind w:leftChars="0"/>
        <w:jc w:val="both"/>
        <w:rPr>
          <w:rFonts w:ascii="Times New Roman" w:eastAsia="標楷體" w:hAnsi="Times New Roman"/>
          <w:sz w:val="28"/>
          <w:szCs w:val="28"/>
        </w:rPr>
      </w:pPr>
      <w:r w:rsidRPr="005E758A">
        <w:rPr>
          <w:rFonts w:ascii="Times New Roman" w:eastAsia="標楷體" w:hAnsi="Times New Roman"/>
          <w:sz w:val="28"/>
          <w:szCs w:val="28"/>
        </w:rPr>
        <w:t>林沛君，兒少人權向前行，臺北市，台灣展翅協會，</w:t>
      </w:r>
      <w:r w:rsidRPr="005E758A">
        <w:rPr>
          <w:rFonts w:ascii="Times New Roman" w:eastAsia="標楷體" w:hAnsi="Times New Roman"/>
          <w:sz w:val="28"/>
          <w:szCs w:val="28"/>
        </w:rPr>
        <w:t>2015</w:t>
      </w:r>
      <w:r w:rsidRPr="005E758A">
        <w:rPr>
          <w:rFonts w:ascii="Times New Roman" w:eastAsia="標楷體" w:hAnsi="Times New Roman"/>
          <w:sz w:val="28"/>
          <w:szCs w:val="28"/>
        </w:rPr>
        <w:t>年</w:t>
      </w:r>
      <w:r w:rsidRPr="005E758A">
        <w:rPr>
          <w:rFonts w:ascii="Times New Roman" w:eastAsia="標楷體" w:hAnsi="Times New Roman"/>
          <w:sz w:val="28"/>
          <w:szCs w:val="28"/>
        </w:rPr>
        <w:t>4</w:t>
      </w:r>
      <w:r w:rsidRPr="005E758A">
        <w:rPr>
          <w:rFonts w:ascii="Times New Roman" w:eastAsia="標楷體" w:hAnsi="Times New Roman"/>
          <w:sz w:val="28"/>
          <w:szCs w:val="28"/>
        </w:rPr>
        <w:t>月。</w:t>
      </w:r>
    </w:p>
    <w:p w14:paraId="52CBAF79" w14:textId="77777777" w:rsidR="00CC1907" w:rsidRPr="005E758A" w:rsidRDefault="00CC1907" w:rsidP="007119F4">
      <w:pPr>
        <w:pStyle w:val="a0"/>
        <w:numPr>
          <w:ilvl w:val="0"/>
          <w:numId w:val="56"/>
        </w:numPr>
        <w:snapToGrid w:val="0"/>
        <w:spacing w:before="100" w:beforeAutospacing="1" w:after="100" w:afterAutospacing="1"/>
        <w:ind w:leftChars="0"/>
        <w:jc w:val="both"/>
        <w:rPr>
          <w:rFonts w:ascii="Times New Roman" w:eastAsia="標楷體" w:hAnsi="Times New Roman"/>
          <w:sz w:val="28"/>
          <w:szCs w:val="28"/>
        </w:rPr>
      </w:pPr>
      <w:r w:rsidRPr="005E758A">
        <w:rPr>
          <w:rFonts w:ascii="Times New Roman" w:eastAsia="標楷體" w:hAnsi="Times New Roman"/>
          <w:sz w:val="28"/>
          <w:szCs w:val="28"/>
        </w:rPr>
        <w:t>消除對婦女歧視委員會，第</w:t>
      </w:r>
      <w:r w:rsidRPr="005E758A">
        <w:rPr>
          <w:rFonts w:ascii="Times New Roman" w:eastAsia="標楷體" w:hAnsi="Times New Roman"/>
          <w:sz w:val="28"/>
          <w:szCs w:val="28"/>
        </w:rPr>
        <w:t>24</w:t>
      </w:r>
      <w:r w:rsidRPr="005E758A">
        <w:rPr>
          <w:rFonts w:ascii="Times New Roman" w:eastAsia="標楷體" w:hAnsi="Times New Roman"/>
          <w:sz w:val="28"/>
          <w:szCs w:val="28"/>
        </w:rPr>
        <w:t>號一般性意見：公約第</w:t>
      </w:r>
      <w:r w:rsidRPr="005E758A">
        <w:rPr>
          <w:rFonts w:ascii="Times New Roman" w:eastAsia="標楷體" w:hAnsi="Times New Roman"/>
          <w:sz w:val="28"/>
          <w:szCs w:val="28"/>
        </w:rPr>
        <w:t>12</w:t>
      </w:r>
      <w:r w:rsidRPr="005E758A">
        <w:rPr>
          <w:rFonts w:ascii="Times New Roman" w:eastAsia="標楷體" w:hAnsi="Times New Roman"/>
          <w:sz w:val="28"/>
          <w:szCs w:val="28"/>
        </w:rPr>
        <w:t>條（婦女和保健）。</w:t>
      </w:r>
      <w:r w:rsidRPr="005E758A">
        <w:rPr>
          <w:rFonts w:ascii="Times New Roman" w:eastAsia="標楷體" w:hAnsi="Times New Roman"/>
          <w:sz w:val="28"/>
          <w:szCs w:val="28"/>
        </w:rPr>
        <w:t>(Committee on the Elimination of Discrimination against Women, General Recommendation No. 24: Article 12 of the Convention (Women and Health), U.N. Doc. HRI/GEN/1/Rev.9 (Vol. II), at 358 (May 27, 2008).)</w:t>
      </w:r>
    </w:p>
    <w:p w14:paraId="6B17929D" w14:textId="77777777" w:rsidR="00105B7E" w:rsidRPr="005E758A" w:rsidRDefault="00105B7E" w:rsidP="00CC1907">
      <w:pPr>
        <w:snapToGrid w:val="0"/>
        <w:spacing w:before="100" w:beforeAutospacing="1" w:after="100" w:afterAutospacing="1"/>
        <w:rPr>
          <w:sz w:val="28"/>
          <w:szCs w:val="28"/>
        </w:rPr>
      </w:pPr>
    </w:p>
    <w:p w14:paraId="02609331" w14:textId="77777777" w:rsidR="00CC1907" w:rsidRPr="005E758A" w:rsidRDefault="00CC1907" w:rsidP="00CC1907">
      <w:pPr>
        <w:snapToGrid w:val="0"/>
        <w:spacing w:before="100" w:beforeAutospacing="1" w:after="100" w:afterAutospacing="1"/>
        <w:rPr>
          <w:sz w:val="28"/>
          <w:szCs w:val="28"/>
        </w:rPr>
      </w:pPr>
      <w:r w:rsidRPr="005E758A">
        <w:rPr>
          <w:sz w:val="28"/>
          <w:szCs w:val="28"/>
        </w:rPr>
        <w:t>關鍵詞：最高可達水準、疾病治療、恢復健康、傳統習俗、健康照顧</w:t>
      </w:r>
    </w:p>
    <w:p w14:paraId="4DFB5F8B" w14:textId="77777777" w:rsidR="00CC1907" w:rsidRPr="005E758A" w:rsidRDefault="00CC1907" w:rsidP="00CC1907">
      <w:pPr>
        <w:snapToGrid w:val="0"/>
        <w:spacing w:before="100" w:beforeAutospacing="1" w:after="100" w:afterAutospacing="1"/>
        <w:rPr>
          <w:sz w:val="28"/>
          <w:szCs w:val="28"/>
        </w:rPr>
        <w:sectPr w:rsidR="00CC1907" w:rsidRPr="005E758A">
          <w:endnotePr>
            <w:numFmt w:val="decimal"/>
            <w:numRestart w:val="eachSect"/>
          </w:endnotePr>
          <w:pgSz w:w="11906" w:h="16838"/>
          <w:pgMar w:top="1440" w:right="1800" w:bottom="1440" w:left="1800" w:header="851" w:footer="992" w:gutter="0"/>
          <w:cols w:space="425"/>
          <w:docGrid w:type="lines" w:linePitch="360"/>
        </w:sectPr>
      </w:pPr>
    </w:p>
    <w:p w14:paraId="3F8D3FCD" w14:textId="77777777" w:rsidR="0067212E" w:rsidRPr="0067212E" w:rsidRDefault="0067212E" w:rsidP="0067212E">
      <w:pPr>
        <w:pStyle w:val="1"/>
      </w:pPr>
      <w:bookmarkStart w:id="74" w:name="_Toc431072741"/>
      <w:r w:rsidRPr="005E758A">
        <w:lastRenderedPageBreak/>
        <w:t>第</w:t>
      </w:r>
      <w:r w:rsidRPr="005E758A">
        <w:t>25</w:t>
      </w:r>
      <w:r w:rsidRPr="005E758A">
        <w:t>條</w:t>
      </w:r>
      <w:r>
        <w:rPr>
          <w:rFonts w:hint="eastAsia"/>
        </w:rPr>
        <w:t xml:space="preserve">　安置之定期評估</w:t>
      </w:r>
      <w:bookmarkEnd w:id="74"/>
    </w:p>
    <w:tbl>
      <w:tblPr>
        <w:tblW w:w="0" w:type="auto"/>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8175"/>
      </w:tblGrid>
      <w:tr w:rsidR="0067212E" w:rsidRPr="005E758A" w14:paraId="1CCF1498" w14:textId="77777777" w:rsidTr="0067212E">
        <w:tc>
          <w:tcPr>
            <w:tcW w:w="8175" w:type="dxa"/>
          </w:tcPr>
          <w:p w14:paraId="28D55FF5" w14:textId="77777777" w:rsidR="0067212E" w:rsidRPr="005E758A" w:rsidRDefault="0067212E" w:rsidP="002B035C">
            <w:pPr>
              <w:snapToGrid w:val="0"/>
              <w:spacing w:before="100" w:beforeAutospacing="1" w:after="100" w:afterAutospacing="1"/>
              <w:ind w:left="14" w:hangingChars="5" w:hanging="14"/>
              <w:jc w:val="both"/>
            </w:pPr>
            <w:r w:rsidRPr="005E758A">
              <w:rPr>
                <w:kern w:val="0"/>
                <w:sz w:val="28"/>
              </w:rPr>
              <w:t>締約國體認為照顧、保護或治療兒童身體或心理健康之目的，而由權責單位安置之兒童，有權對於其所受之待遇，以及所受安置有關之其他一切情況，要求定期評估。</w:t>
            </w:r>
          </w:p>
        </w:tc>
      </w:tr>
    </w:tbl>
    <w:p w14:paraId="4F55D5D9" w14:textId="77777777" w:rsidR="0067212E" w:rsidRPr="0067212E" w:rsidRDefault="0067212E" w:rsidP="0067212E">
      <w:pPr>
        <w:snapToGrid w:val="0"/>
        <w:spacing w:before="100" w:beforeAutospacing="1" w:after="100" w:afterAutospacing="1"/>
        <w:jc w:val="both"/>
        <w:rPr>
          <w:sz w:val="28"/>
        </w:rPr>
      </w:pPr>
    </w:p>
    <w:p w14:paraId="2AF9BC60" w14:textId="77777777" w:rsidR="00CC1907" w:rsidRPr="005E758A" w:rsidRDefault="00CC1907" w:rsidP="007119F4">
      <w:pPr>
        <w:pStyle w:val="2"/>
        <w:numPr>
          <w:ilvl w:val="0"/>
          <w:numId w:val="64"/>
        </w:numPr>
      </w:pPr>
      <w:r w:rsidRPr="005E758A">
        <w:t>規範宗旨</w:t>
      </w:r>
    </w:p>
    <w:p w14:paraId="49BC80D9" w14:textId="77777777" w:rsidR="00CC1907" w:rsidRPr="005E758A" w:rsidRDefault="00CC1907" w:rsidP="00637DF5">
      <w:pPr>
        <w:pStyle w:val="a0"/>
        <w:snapToGrid w:val="0"/>
        <w:spacing w:before="100" w:beforeAutospacing="1" w:after="100" w:afterAutospacing="1"/>
        <w:ind w:leftChars="0" w:left="0" w:firstLineChars="200" w:firstLine="560"/>
        <w:jc w:val="both"/>
        <w:rPr>
          <w:rFonts w:ascii="Times New Roman" w:eastAsia="標楷體" w:hAnsi="Times New Roman"/>
          <w:sz w:val="28"/>
          <w:szCs w:val="28"/>
        </w:rPr>
      </w:pPr>
      <w:r w:rsidRPr="005E758A">
        <w:rPr>
          <w:rFonts w:ascii="Times New Roman" w:eastAsia="標楷體" w:hAnsi="Times New Roman"/>
          <w:sz w:val="28"/>
          <w:szCs w:val="28"/>
        </w:rPr>
        <w:t>本條之保護對象為國家基於照顧目的而對其採取安置、保護或治療的兒童。該等兒童對其所受之待遇有權要求定期評估</w:t>
      </w:r>
      <w:r w:rsidRPr="005E758A">
        <w:rPr>
          <w:rStyle w:val="af3"/>
          <w:rFonts w:ascii="Times New Roman" w:eastAsia="標楷體" w:hAnsi="Times New Roman"/>
        </w:rPr>
        <w:endnoteReference w:id="333"/>
      </w:r>
      <w:r w:rsidRPr="005E758A">
        <w:rPr>
          <w:rFonts w:ascii="Times New Roman" w:eastAsia="標楷體" w:hAnsi="Times New Roman"/>
          <w:sz w:val="28"/>
          <w:szCs w:val="28"/>
        </w:rPr>
        <w:t>。本條與公約第</w:t>
      </w:r>
      <w:r w:rsidRPr="005E758A">
        <w:rPr>
          <w:rFonts w:ascii="Times New Roman" w:eastAsia="標楷體" w:hAnsi="Times New Roman"/>
          <w:sz w:val="28"/>
          <w:szCs w:val="28"/>
        </w:rPr>
        <w:t>3</w:t>
      </w:r>
      <w:r w:rsidRPr="005E758A">
        <w:rPr>
          <w:rFonts w:ascii="Times New Roman" w:eastAsia="標楷體" w:hAnsi="Times New Roman"/>
          <w:sz w:val="28"/>
          <w:szCs w:val="28"/>
        </w:rPr>
        <w:t>條第</w:t>
      </w:r>
      <w:r w:rsidRPr="005E758A">
        <w:rPr>
          <w:rFonts w:ascii="Times New Roman" w:eastAsia="標楷體" w:hAnsi="Times New Roman"/>
          <w:sz w:val="28"/>
          <w:szCs w:val="28"/>
        </w:rPr>
        <w:t>3</w:t>
      </w:r>
      <w:r w:rsidRPr="005E758A">
        <w:rPr>
          <w:rFonts w:ascii="Times New Roman" w:eastAsia="標楷體" w:hAnsi="Times New Roman"/>
          <w:sz w:val="28"/>
          <w:szCs w:val="28"/>
        </w:rPr>
        <w:t>項同樣涉及安置之監督，但本條評估的重點在於兒童受安置或治療的過程；而第</w:t>
      </w:r>
      <w:r w:rsidRPr="005E758A">
        <w:rPr>
          <w:rFonts w:ascii="Times New Roman" w:eastAsia="標楷體" w:hAnsi="Times New Roman"/>
          <w:sz w:val="28"/>
          <w:szCs w:val="28"/>
        </w:rPr>
        <w:t>3</w:t>
      </w:r>
      <w:r w:rsidRPr="005E758A">
        <w:rPr>
          <w:rFonts w:ascii="Times New Roman" w:eastAsia="標楷體" w:hAnsi="Times New Roman"/>
          <w:sz w:val="28"/>
          <w:szCs w:val="28"/>
        </w:rPr>
        <w:t>條第</w:t>
      </w:r>
      <w:r w:rsidRPr="005E758A">
        <w:rPr>
          <w:rFonts w:ascii="Times New Roman" w:eastAsia="標楷體" w:hAnsi="Times New Roman"/>
          <w:sz w:val="28"/>
          <w:szCs w:val="28"/>
        </w:rPr>
        <w:t>3</w:t>
      </w:r>
      <w:r w:rsidRPr="005E758A">
        <w:rPr>
          <w:rFonts w:ascii="Times New Roman" w:eastAsia="標楷體" w:hAnsi="Times New Roman"/>
          <w:sz w:val="28"/>
          <w:szCs w:val="28"/>
        </w:rPr>
        <w:t>項則是對機構及相關人員所進行的監督</w:t>
      </w:r>
      <w:bookmarkStart w:id="75" w:name="_Ref427444670"/>
      <w:r w:rsidRPr="005E758A">
        <w:rPr>
          <w:rStyle w:val="af3"/>
          <w:rFonts w:ascii="Times New Roman" w:eastAsia="標楷體" w:hAnsi="Times New Roman"/>
        </w:rPr>
        <w:endnoteReference w:id="334"/>
      </w:r>
      <w:bookmarkEnd w:id="75"/>
      <w:r w:rsidRPr="005E758A">
        <w:rPr>
          <w:rFonts w:ascii="Times New Roman" w:eastAsia="標楷體" w:hAnsi="Times New Roman"/>
          <w:sz w:val="28"/>
          <w:szCs w:val="28"/>
        </w:rPr>
        <w:t>，二者規範目的不同。</w:t>
      </w:r>
    </w:p>
    <w:p w14:paraId="5FA7D3BB" w14:textId="77777777" w:rsidR="00CC1907" w:rsidRPr="005E758A" w:rsidRDefault="00CC1907" w:rsidP="00CC1907">
      <w:pPr>
        <w:pStyle w:val="2"/>
      </w:pPr>
      <w:r w:rsidRPr="005E758A">
        <w:t>條文要義</w:t>
      </w:r>
    </w:p>
    <w:p w14:paraId="4472910A" w14:textId="77777777" w:rsidR="00CC1907" w:rsidRPr="005E758A" w:rsidRDefault="00CC1907" w:rsidP="007119F4">
      <w:pPr>
        <w:pStyle w:val="3"/>
        <w:numPr>
          <w:ilvl w:val="0"/>
          <w:numId w:val="65"/>
        </w:numPr>
      </w:pPr>
      <w:r w:rsidRPr="005E758A">
        <w:t>「為照顧、保護或治療兒童身體或心理健康之目的，而由權責單位安置之兒童」</w:t>
      </w:r>
    </w:p>
    <w:p w14:paraId="7A32F9E1" w14:textId="77777777" w:rsidR="00CC1907" w:rsidRPr="005E758A" w:rsidRDefault="00CC1907" w:rsidP="00CC1907">
      <w:pPr>
        <w:pStyle w:val="a0"/>
        <w:snapToGrid w:val="0"/>
        <w:spacing w:before="100" w:beforeAutospacing="1" w:after="100" w:afterAutospacing="1"/>
        <w:ind w:leftChars="0" w:left="0" w:firstLineChars="200" w:firstLine="560"/>
        <w:jc w:val="both"/>
        <w:rPr>
          <w:rFonts w:ascii="Times New Roman" w:eastAsia="標楷體" w:hAnsi="Times New Roman"/>
          <w:sz w:val="28"/>
          <w:szCs w:val="28"/>
        </w:rPr>
      </w:pPr>
      <w:r w:rsidRPr="005E758A">
        <w:rPr>
          <w:rFonts w:ascii="Times New Roman" w:eastAsia="標楷體" w:hAnsi="Times New Roman"/>
          <w:sz w:val="28"/>
          <w:szCs w:val="28"/>
        </w:rPr>
        <w:t>首先，依據聯合國基金會之說明，儘管本條的適用範圍涵蓋安置於私人機構之兒童，但由父母自行安排之安置則似乎不受本條規範</w:t>
      </w:r>
      <w:r w:rsidRPr="005E758A">
        <w:rPr>
          <w:rStyle w:val="af3"/>
          <w:rFonts w:ascii="Times New Roman" w:eastAsia="標楷體" w:hAnsi="Times New Roman"/>
        </w:rPr>
        <w:endnoteReference w:id="335"/>
      </w:r>
      <w:r w:rsidRPr="005E758A">
        <w:rPr>
          <w:rFonts w:ascii="Times New Roman" w:eastAsia="標楷體" w:hAnsi="Times New Roman"/>
          <w:sz w:val="28"/>
          <w:szCs w:val="28"/>
        </w:rPr>
        <w:t>。至於本條所稱之安置的型態則包括家庭式安置、兒童之家、機構式安置、難民而童收容中心、其他兒童收容中心、住宿型學校、醫院等</w:t>
      </w:r>
      <w:r w:rsidRPr="005E758A">
        <w:rPr>
          <w:rStyle w:val="af3"/>
          <w:rFonts w:ascii="Times New Roman" w:eastAsia="標楷體" w:hAnsi="Times New Roman"/>
        </w:rPr>
        <w:endnoteReference w:id="336"/>
      </w:r>
      <w:r w:rsidRPr="005E758A">
        <w:rPr>
          <w:rFonts w:ascii="Times New Roman" w:eastAsia="標楷體" w:hAnsi="Times New Roman"/>
          <w:sz w:val="28"/>
          <w:szCs w:val="28"/>
        </w:rPr>
        <w:t>。</w:t>
      </w:r>
    </w:p>
    <w:p w14:paraId="10A9375C" w14:textId="77777777" w:rsidR="00CC1907" w:rsidRPr="005E758A" w:rsidRDefault="00CC1907" w:rsidP="007119F4">
      <w:pPr>
        <w:pStyle w:val="3"/>
        <w:numPr>
          <w:ilvl w:val="0"/>
          <w:numId w:val="65"/>
        </w:numPr>
      </w:pPr>
      <w:r w:rsidRPr="005E758A">
        <w:t xml:space="preserve"> </w:t>
      </w:r>
      <w:r w:rsidRPr="005E758A">
        <w:t>有關「所受之待遇，以及所受安置有關之其他一切狀況」之「定期評估」</w:t>
      </w:r>
    </w:p>
    <w:p w14:paraId="46BD7965" w14:textId="77777777" w:rsidR="00CC1907" w:rsidRPr="005E758A" w:rsidRDefault="00CC1907" w:rsidP="00CC1907">
      <w:pPr>
        <w:pStyle w:val="a0"/>
        <w:snapToGrid w:val="0"/>
        <w:spacing w:before="100" w:beforeAutospacing="1" w:after="100" w:afterAutospacing="1"/>
        <w:ind w:leftChars="0" w:left="0" w:firstLineChars="200" w:firstLine="560"/>
        <w:jc w:val="both"/>
        <w:rPr>
          <w:rFonts w:ascii="Times New Roman" w:eastAsia="標楷體" w:hAnsi="Times New Roman"/>
          <w:sz w:val="28"/>
          <w:szCs w:val="28"/>
        </w:rPr>
      </w:pPr>
      <w:r w:rsidRPr="005E758A">
        <w:rPr>
          <w:rFonts w:ascii="Times New Roman" w:eastAsia="標楷體" w:hAnsi="Times New Roman"/>
          <w:sz w:val="28"/>
          <w:szCs w:val="28"/>
        </w:rPr>
        <w:t>兒童權利委員會強調在安置決策過程中傾聽兒童意見的重要性，並認為不論是「安置決策前、安置期間或安置後」皆應聽取兒童的想法。為此，兒童權利委員會建議締約國應設置</w:t>
      </w:r>
      <w:proofErr w:type="gramStart"/>
      <w:r w:rsidRPr="005E758A">
        <w:rPr>
          <w:rFonts w:ascii="Times New Roman" w:eastAsia="標楷體" w:hAnsi="Times New Roman"/>
          <w:sz w:val="28"/>
          <w:szCs w:val="28"/>
        </w:rPr>
        <w:t>一</w:t>
      </w:r>
      <w:proofErr w:type="gramEnd"/>
      <w:r w:rsidRPr="005E758A">
        <w:rPr>
          <w:rFonts w:ascii="Times New Roman" w:eastAsia="標楷體" w:hAnsi="Times New Roman"/>
          <w:sz w:val="28"/>
          <w:szCs w:val="28"/>
        </w:rPr>
        <w:t>「將兒童視為夥伴」</w:t>
      </w:r>
      <w:r w:rsidRPr="005E758A">
        <w:rPr>
          <w:rFonts w:ascii="Times New Roman" w:eastAsia="標楷體" w:hAnsi="Times New Roman"/>
          <w:sz w:val="28"/>
          <w:szCs w:val="28"/>
        </w:rPr>
        <w:t>(children as partners)</w:t>
      </w:r>
      <w:r w:rsidRPr="005E758A">
        <w:rPr>
          <w:rFonts w:ascii="Times New Roman" w:eastAsia="標楷體" w:hAnsi="Times New Roman"/>
          <w:sz w:val="28"/>
          <w:szCs w:val="28"/>
        </w:rPr>
        <w:t>的機制以維護被安置兒童的權益</w:t>
      </w:r>
      <w:r w:rsidRPr="005E758A">
        <w:rPr>
          <w:rStyle w:val="af3"/>
          <w:rFonts w:ascii="Times New Roman" w:eastAsia="標楷體" w:hAnsi="Times New Roman"/>
        </w:rPr>
        <w:endnoteReference w:id="337"/>
      </w:r>
      <w:r w:rsidRPr="005E758A">
        <w:rPr>
          <w:rFonts w:ascii="Times New Roman" w:eastAsia="標楷體" w:hAnsi="Times New Roman"/>
          <w:sz w:val="28"/>
          <w:szCs w:val="28"/>
        </w:rPr>
        <w:t>。</w:t>
      </w:r>
    </w:p>
    <w:p w14:paraId="6DE701A3" w14:textId="77777777" w:rsidR="00CC1907" w:rsidRPr="005E758A" w:rsidRDefault="00CC1907" w:rsidP="00CC1907">
      <w:pPr>
        <w:pStyle w:val="a0"/>
        <w:snapToGrid w:val="0"/>
        <w:spacing w:before="100" w:beforeAutospacing="1" w:after="100" w:afterAutospacing="1"/>
        <w:ind w:leftChars="0" w:left="0" w:firstLineChars="200" w:firstLine="560"/>
        <w:jc w:val="both"/>
        <w:rPr>
          <w:rFonts w:ascii="Times New Roman" w:eastAsia="標楷體" w:hAnsi="Times New Roman"/>
          <w:sz w:val="28"/>
          <w:szCs w:val="28"/>
        </w:rPr>
      </w:pPr>
      <w:proofErr w:type="gramStart"/>
      <w:r w:rsidRPr="005E758A">
        <w:rPr>
          <w:rFonts w:ascii="Times New Roman" w:eastAsia="標楷體" w:hAnsi="Times New Roman"/>
          <w:sz w:val="28"/>
          <w:szCs w:val="28"/>
        </w:rPr>
        <w:t>此外，</w:t>
      </w:r>
      <w:proofErr w:type="gramEnd"/>
      <w:r w:rsidRPr="005E758A">
        <w:rPr>
          <w:rFonts w:ascii="Times New Roman" w:eastAsia="標楷體" w:hAnsi="Times New Roman"/>
          <w:sz w:val="28"/>
          <w:szCs w:val="28"/>
        </w:rPr>
        <w:t>對於無父母照顧兒童之</w:t>
      </w:r>
      <w:proofErr w:type="gramStart"/>
      <w:r w:rsidRPr="005E758A">
        <w:rPr>
          <w:rFonts w:ascii="Times New Roman" w:eastAsia="標楷體" w:hAnsi="Times New Roman"/>
          <w:sz w:val="28"/>
          <w:szCs w:val="28"/>
        </w:rPr>
        <w:t>處遇應強調</w:t>
      </w:r>
      <w:proofErr w:type="gramEnd"/>
      <w:r w:rsidRPr="005E758A">
        <w:rPr>
          <w:rFonts w:ascii="Times New Roman" w:eastAsia="標楷體" w:hAnsi="Times New Roman"/>
          <w:sz w:val="28"/>
          <w:szCs w:val="28"/>
        </w:rPr>
        <w:t>「個別化原則</w:t>
      </w:r>
      <w:r w:rsidRPr="005E758A">
        <w:rPr>
          <w:rFonts w:ascii="Times New Roman" w:eastAsia="標楷體" w:hAnsi="Times New Roman"/>
          <w:sz w:val="28"/>
          <w:szCs w:val="28"/>
        </w:rPr>
        <w:t xml:space="preserve"> (principle of individualization)</w:t>
      </w:r>
      <w:r w:rsidRPr="005E758A">
        <w:rPr>
          <w:rFonts w:ascii="Times New Roman" w:eastAsia="標楷體" w:hAnsi="Times New Roman"/>
          <w:sz w:val="28"/>
          <w:szCs w:val="28"/>
        </w:rPr>
        <w:t>」。易言之，這類案件「沒有一體適用的方案」而是要視兒童的不同處境與需求給予適切的安排</w:t>
      </w:r>
      <w:r w:rsidRPr="005E758A">
        <w:rPr>
          <w:rStyle w:val="af3"/>
          <w:rFonts w:ascii="Times New Roman" w:eastAsia="標楷體" w:hAnsi="Times New Roman"/>
        </w:rPr>
        <w:endnoteReference w:id="338"/>
      </w:r>
      <w:r w:rsidRPr="005E758A">
        <w:rPr>
          <w:rFonts w:ascii="Times New Roman" w:eastAsia="標楷體" w:hAnsi="Times New Roman"/>
          <w:sz w:val="28"/>
          <w:szCs w:val="28"/>
        </w:rPr>
        <w:t>。因此，不同類型之「定期審查」應當有其必要性，例如由參與過程之專業人士（建議為跨領域小組）針對安置成效進行評估，以及由具獨立性之人員定期評估以避免機構內發生任何對兒童不當對待之情事。至於監督之次數以</w:t>
      </w:r>
      <w:r w:rsidRPr="005E758A">
        <w:rPr>
          <w:rFonts w:ascii="Times New Roman" w:eastAsia="標楷體" w:hAnsi="Times New Roman"/>
          <w:sz w:val="28"/>
          <w:szCs w:val="28"/>
        </w:rPr>
        <w:lastRenderedPageBreak/>
        <w:t>及間隔期間則係屬各國的裁量範圍，但基本原則為「越具強制性的安置之監督次數應越為頻繁</w:t>
      </w:r>
      <w:r w:rsidRPr="005E758A">
        <w:rPr>
          <w:rStyle w:val="af3"/>
          <w:rFonts w:ascii="Times New Roman" w:eastAsia="標楷體" w:hAnsi="Times New Roman"/>
        </w:rPr>
        <w:endnoteReference w:id="339"/>
      </w:r>
      <w:r w:rsidRPr="005E758A">
        <w:rPr>
          <w:rFonts w:ascii="Times New Roman" w:eastAsia="標楷體" w:hAnsi="Times New Roman"/>
          <w:sz w:val="28"/>
          <w:szCs w:val="28"/>
        </w:rPr>
        <w:t>。</w:t>
      </w:r>
    </w:p>
    <w:p w14:paraId="5236C446" w14:textId="77777777" w:rsidR="00CC1907" w:rsidRPr="005E758A" w:rsidRDefault="00CC1907" w:rsidP="00CC1907">
      <w:pPr>
        <w:pStyle w:val="2"/>
      </w:pPr>
      <w:r w:rsidRPr="005E758A">
        <w:t>案例介紹</w:t>
      </w:r>
    </w:p>
    <w:p w14:paraId="1A14873A" w14:textId="77777777" w:rsidR="00CC1907" w:rsidRPr="005E758A" w:rsidRDefault="00CC1907" w:rsidP="007119F4">
      <w:pPr>
        <w:pStyle w:val="3"/>
        <w:numPr>
          <w:ilvl w:val="0"/>
          <w:numId w:val="66"/>
        </w:numPr>
      </w:pPr>
      <w:r w:rsidRPr="005E758A">
        <w:t>2006</w:t>
      </w:r>
      <w:r w:rsidRPr="005E758A">
        <w:t>年歐洲人權法院義大利女童</w:t>
      </w:r>
      <w:proofErr w:type="gramStart"/>
      <w:r w:rsidRPr="005E758A">
        <w:t>性侵案</w:t>
      </w:r>
      <w:proofErr w:type="gramEnd"/>
      <w:r w:rsidRPr="005E758A">
        <w:t>：</w:t>
      </w:r>
      <w:proofErr w:type="spellStart"/>
      <w:r w:rsidRPr="005E758A">
        <w:t>Roda</w:t>
      </w:r>
      <w:proofErr w:type="spellEnd"/>
      <w:r w:rsidRPr="005E758A">
        <w:t xml:space="preserve"> and </w:t>
      </w:r>
      <w:proofErr w:type="spellStart"/>
      <w:r w:rsidRPr="005E758A">
        <w:t>Bonfatti</w:t>
      </w:r>
      <w:proofErr w:type="spellEnd"/>
      <w:r w:rsidRPr="005E758A">
        <w:t xml:space="preserve"> v. Italy</w:t>
      </w:r>
      <w:r w:rsidRPr="005E758A">
        <w:rPr>
          <w:rStyle w:val="af3"/>
        </w:rPr>
        <w:endnoteReference w:id="340"/>
      </w:r>
    </w:p>
    <w:p w14:paraId="20946EB9" w14:textId="77777777" w:rsidR="00CC1907" w:rsidRPr="005E758A" w:rsidRDefault="00CC1907" w:rsidP="00CC1907">
      <w:pPr>
        <w:pStyle w:val="a0"/>
        <w:snapToGrid w:val="0"/>
        <w:spacing w:before="100" w:beforeAutospacing="1" w:after="100" w:afterAutospacing="1"/>
        <w:ind w:leftChars="0" w:left="0" w:firstLineChars="200" w:firstLine="560"/>
        <w:jc w:val="both"/>
        <w:rPr>
          <w:rFonts w:ascii="Times New Roman" w:eastAsia="標楷體" w:hAnsi="Times New Roman"/>
          <w:sz w:val="28"/>
          <w:szCs w:val="28"/>
        </w:rPr>
      </w:pPr>
      <w:r w:rsidRPr="005E758A">
        <w:rPr>
          <w:rFonts w:ascii="Times New Roman" w:eastAsia="標楷體" w:hAnsi="Times New Roman"/>
          <w:sz w:val="28"/>
          <w:szCs w:val="28"/>
        </w:rPr>
        <w:t>上訴人，</w:t>
      </w:r>
      <w:r w:rsidRPr="005E758A">
        <w:rPr>
          <w:rFonts w:ascii="Times New Roman" w:eastAsia="標楷體" w:hAnsi="Times New Roman"/>
          <w:sz w:val="28"/>
          <w:szCs w:val="28"/>
        </w:rPr>
        <w:t xml:space="preserve">Daniela </w:t>
      </w:r>
      <w:proofErr w:type="spellStart"/>
      <w:r w:rsidRPr="005E758A">
        <w:rPr>
          <w:rFonts w:ascii="Times New Roman" w:eastAsia="標楷體" w:hAnsi="Times New Roman"/>
          <w:sz w:val="28"/>
          <w:szCs w:val="28"/>
        </w:rPr>
        <w:t>Roda</w:t>
      </w:r>
      <w:proofErr w:type="spellEnd"/>
      <w:r w:rsidRPr="005E758A">
        <w:rPr>
          <w:rFonts w:ascii="Times New Roman" w:eastAsia="標楷體" w:hAnsi="Times New Roman"/>
          <w:sz w:val="28"/>
          <w:szCs w:val="28"/>
        </w:rPr>
        <w:t>和</w:t>
      </w:r>
      <w:r w:rsidRPr="005E758A">
        <w:rPr>
          <w:rFonts w:ascii="Times New Roman" w:eastAsia="標楷體" w:hAnsi="Times New Roman"/>
          <w:sz w:val="28"/>
          <w:szCs w:val="28"/>
        </w:rPr>
        <w:t xml:space="preserve">Matteo </w:t>
      </w:r>
      <w:proofErr w:type="spellStart"/>
      <w:r w:rsidRPr="005E758A">
        <w:rPr>
          <w:rFonts w:ascii="Times New Roman" w:eastAsia="標楷體" w:hAnsi="Times New Roman"/>
          <w:sz w:val="28"/>
          <w:szCs w:val="28"/>
        </w:rPr>
        <w:t>Bonfatti</w:t>
      </w:r>
      <w:proofErr w:type="spellEnd"/>
      <w:r w:rsidRPr="005E758A">
        <w:rPr>
          <w:rFonts w:ascii="Times New Roman" w:eastAsia="標楷體" w:hAnsi="Times New Roman"/>
          <w:sz w:val="28"/>
          <w:szCs w:val="28"/>
        </w:rPr>
        <w:t>係義大利公民，出生於</w:t>
      </w:r>
      <w:r w:rsidRPr="005E758A">
        <w:rPr>
          <w:rFonts w:ascii="Times New Roman" w:eastAsia="標楷體" w:hAnsi="Times New Roman"/>
          <w:sz w:val="28"/>
          <w:szCs w:val="28"/>
        </w:rPr>
        <w:t>1962</w:t>
      </w:r>
      <w:r w:rsidRPr="005E758A">
        <w:rPr>
          <w:rFonts w:ascii="Times New Roman" w:eastAsia="標楷體" w:hAnsi="Times New Roman"/>
          <w:sz w:val="28"/>
          <w:szCs w:val="28"/>
        </w:rPr>
        <w:t>年及</w:t>
      </w:r>
      <w:r w:rsidRPr="005E758A">
        <w:rPr>
          <w:rFonts w:ascii="Times New Roman" w:eastAsia="標楷體" w:hAnsi="Times New Roman"/>
          <w:sz w:val="28"/>
          <w:szCs w:val="28"/>
        </w:rPr>
        <w:t>1979</w:t>
      </w:r>
      <w:r w:rsidRPr="005E758A">
        <w:rPr>
          <w:rFonts w:ascii="Times New Roman" w:eastAsia="標楷體" w:hAnsi="Times New Roman"/>
          <w:sz w:val="28"/>
          <w:szCs w:val="28"/>
        </w:rPr>
        <w:t>年，分別居住在義大利的菲納萊埃米利亞</w:t>
      </w:r>
      <w:r w:rsidRPr="005E758A">
        <w:rPr>
          <w:rFonts w:ascii="Times New Roman" w:eastAsia="標楷體" w:hAnsi="Times New Roman"/>
          <w:sz w:val="28"/>
          <w:szCs w:val="28"/>
        </w:rPr>
        <w:t>(Finale Emilia)</w:t>
      </w:r>
      <w:r w:rsidRPr="005E758A">
        <w:rPr>
          <w:rFonts w:ascii="Times New Roman" w:eastAsia="標楷體" w:hAnsi="Times New Roman"/>
          <w:sz w:val="28"/>
          <w:szCs w:val="28"/>
        </w:rPr>
        <w:t>和瑪莎費納莉</w:t>
      </w:r>
      <w:r w:rsidRPr="005E758A">
        <w:rPr>
          <w:rFonts w:ascii="Times New Roman" w:eastAsia="標楷體" w:hAnsi="Times New Roman"/>
          <w:sz w:val="28"/>
          <w:szCs w:val="28"/>
        </w:rPr>
        <w:t xml:space="preserve">(Massa </w:t>
      </w:r>
      <w:proofErr w:type="spellStart"/>
      <w:r w:rsidRPr="005E758A">
        <w:rPr>
          <w:rFonts w:ascii="Times New Roman" w:eastAsia="標楷體" w:hAnsi="Times New Roman"/>
          <w:sz w:val="28"/>
          <w:szCs w:val="28"/>
        </w:rPr>
        <w:t>Finalese</w:t>
      </w:r>
      <w:proofErr w:type="spellEnd"/>
      <w:r w:rsidRPr="005E758A">
        <w:rPr>
          <w:rFonts w:ascii="Times New Roman" w:eastAsia="標楷體" w:hAnsi="Times New Roman"/>
          <w:sz w:val="28"/>
          <w:szCs w:val="28"/>
        </w:rPr>
        <w:t>)</w:t>
      </w:r>
      <w:r w:rsidRPr="005E758A">
        <w:rPr>
          <w:rFonts w:ascii="Times New Roman" w:eastAsia="標楷體" w:hAnsi="Times New Roman"/>
          <w:sz w:val="28"/>
          <w:szCs w:val="28"/>
        </w:rPr>
        <w:t>。</w:t>
      </w:r>
      <w:r w:rsidR="00637DF5" w:rsidRPr="005E758A">
        <w:rPr>
          <w:rFonts w:ascii="Times New Roman" w:eastAsia="標楷體" w:hAnsi="Times New Roman"/>
          <w:sz w:val="28"/>
          <w:szCs w:val="28"/>
        </w:rPr>
        <w:t>受害人</w:t>
      </w:r>
      <w:r w:rsidRPr="005E758A">
        <w:rPr>
          <w:rFonts w:ascii="Times New Roman" w:eastAsia="標楷體" w:hAnsi="Times New Roman"/>
          <w:sz w:val="28"/>
          <w:szCs w:val="28"/>
        </w:rPr>
        <w:t>S.B.</w:t>
      </w:r>
      <w:r w:rsidRPr="005E758A">
        <w:rPr>
          <w:rFonts w:ascii="Times New Roman" w:eastAsia="標楷體" w:hAnsi="Times New Roman"/>
          <w:sz w:val="28"/>
          <w:szCs w:val="28"/>
        </w:rPr>
        <w:t>是</w:t>
      </w:r>
      <w:proofErr w:type="spellStart"/>
      <w:r w:rsidRPr="005E758A">
        <w:rPr>
          <w:rFonts w:ascii="Times New Roman" w:eastAsia="標楷體" w:hAnsi="Times New Roman"/>
          <w:sz w:val="28"/>
          <w:szCs w:val="28"/>
        </w:rPr>
        <w:t>Roda</w:t>
      </w:r>
      <w:proofErr w:type="spellEnd"/>
      <w:r w:rsidRPr="005E758A">
        <w:rPr>
          <w:rFonts w:ascii="Times New Roman" w:eastAsia="標楷體" w:hAnsi="Times New Roman"/>
          <w:sz w:val="28"/>
          <w:szCs w:val="28"/>
        </w:rPr>
        <w:t>的女兒和</w:t>
      </w:r>
      <w:proofErr w:type="spellStart"/>
      <w:r w:rsidRPr="005E758A">
        <w:rPr>
          <w:rFonts w:ascii="Times New Roman" w:eastAsia="標楷體" w:hAnsi="Times New Roman"/>
          <w:sz w:val="28"/>
          <w:szCs w:val="28"/>
        </w:rPr>
        <w:t>Bonfatti</w:t>
      </w:r>
      <w:proofErr w:type="spellEnd"/>
      <w:r w:rsidRPr="005E758A">
        <w:rPr>
          <w:rFonts w:ascii="Times New Roman" w:eastAsia="標楷體" w:hAnsi="Times New Roman"/>
          <w:sz w:val="28"/>
          <w:szCs w:val="28"/>
        </w:rPr>
        <w:t>的妹妹，他們也是</w:t>
      </w:r>
      <w:r w:rsidRPr="005E758A">
        <w:rPr>
          <w:rFonts w:ascii="Times New Roman" w:eastAsia="標楷體" w:hAnsi="Times New Roman"/>
          <w:sz w:val="28"/>
          <w:szCs w:val="28"/>
        </w:rPr>
        <w:t>S.B.</w:t>
      </w:r>
      <w:r w:rsidRPr="005E758A">
        <w:rPr>
          <w:rFonts w:ascii="Times New Roman" w:eastAsia="標楷體" w:hAnsi="Times New Roman"/>
          <w:sz w:val="28"/>
          <w:szCs w:val="28"/>
        </w:rPr>
        <w:t>的法定代理人。</w:t>
      </w:r>
      <w:r w:rsidRPr="005E758A">
        <w:rPr>
          <w:rFonts w:ascii="Times New Roman" w:eastAsia="標楷體" w:hAnsi="Times New Roman"/>
          <w:sz w:val="28"/>
          <w:szCs w:val="28"/>
        </w:rPr>
        <w:t>S.B.</w:t>
      </w:r>
      <w:r w:rsidRPr="005E758A">
        <w:rPr>
          <w:rFonts w:ascii="Times New Roman" w:eastAsia="標楷體" w:hAnsi="Times New Roman"/>
          <w:sz w:val="28"/>
          <w:szCs w:val="28"/>
        </w:rPr>
        <w:t>於</w:t>
      </w:r>
      <w:r w:rsidRPr="005E758A">
        <w:rPr>
          <w:rFonts w:ascii="Times New Roman" w:eastAsia="標楷體" w:hAnsi="Times New Roman"/>
          <w:sz w:val="28"/>
          <w:szCs w:val="28"/>
        </w:rPr>
        <w:t>1988</w:t>
      </w:r>
      <w:r w:rsidRPr="005E758A">
        <w:rPr>
          <w:rFonts w:ascii="Times New Roman" w:eastAsia="標楷體" w:hAnsi="Times New Roman"/>
          <w:sz w:val="28"/>
          <w:szCs w:val="28"/>
        </w:rPr>
        <w:t>年出生並居住於米蘭朵拉</w:t>
      </w:r>
      <w:r w:rsidRPr="005E758A">
        <w:rPr>
          <w:rFonts w:ascii="Times New Roman" w:eastAsia="標楷體" w:hAnsi="Times New Roman"/>
          <w:sz w:val="28"/>
          <w:szCs w:val="28"/>
        </w:rPr>
        <w:t>(</w:t>
      </w:r>
      <w:proofErr w:type="spellStart"/>
      <w:r w:rsidRPr="005E758A">
        <w:rPr>
          <w:rFonts w:ascii="Times New Roman" w:eastAsia="標楷體" w:hAnsi="Times New Roman"/>
          <w:sz w:val="28"/>
          <w:szCs w:val="28"/>
        </w:rPr>
        <w:t>Mirandola</w:t>
      </w:r>
      <w:proofErr w:type="spellEnd"/>
      <w:r w:rsidRPr="005E758A">
        <w:rPr>
          <w:rFonts w:ascii="Times New Roman" w:eastAsia="標楷體" w:hAnsi="Times New Roman"/>
          <w:sz w:val="28"/>
          <w:szCs w:val="28"/>
        </w:rPr>
        <w:t>)</w:t>
      </w:r>
      <w:r w:rsidRPr="005E758A">
        <w:rPr>
          <w:rFonts w:ascii="Times New Roman" w:eastAsia="標楷體" w:hAnsi="Times New Roman"/>
          <w:sz w:val="28"/>
          <w:szCs w:val="28"/>
        </w:rPr>
        <w:t>。本件上訴聲明係關於</w:t>
      </w:r>
      <w:r w:rsidRPr="005E758A">
        <w:rPr>
          <w:rFonts w:ascii="Times New Roman" w:eastAsia="標楷體" w:hAnsi="Times New Roman"/>
          <w:sz w:val="28"/>
          <w:szCs w:val="28"/>
        </w:rPr>
        <w:t>1998</w:t>
      </w:r>
      <w:r w:rsidRPr="005E758A">
        <w:rPr>
          <w:rFonts w:ascii="Times New Roman" w:eastAsia="標楷體" w:hAnsi="Times New Roman"/>
          <w:sz w:val="28"/>
          <w:szCs w:val="28"/>
        </w:rPr>
        <w:t>年將</w:t>
      </w:r>
      <w:r w:rsidRPr="005E758A">
        <w:rPr>
          <w:rFonts w:ascii="Times New Roman" w:eastAsia="標楷體" w:hAnsi="Times New Roman"/>
          <w:sz w:val="28"/>
          <w:szCs w:val="28"/>
        </w:rPr>
        <w:t>S.B.</w:t>
      </w:r>
      <w:r w:rsidRPr="005E758A">
        <w:rPr>
          <w:rFonts w:ascii="Times New Roman" w:eastAsia="標楷體" w:hAnsi="Times New Roman"/>
          <w:sz w:val="28"/>
          <w:szCs w:val="28"/>
        </w:rPr>
        <w:t>施以公共照護之決定，係法院推定此女童受到上訴人之家庭成員性侵害。</w:t>
      </w:r>
    </w:p>
    <w:p w14:paraId="796880F3" w14:textId="77777777" w:rsidR="00CC1907" w:rsidRPr="005E758A" w:rsidRDefault="00CC1907" w:rsidP="00CC1907">
      <w:pPr>
        <w:pStyle w:val="a0"/>
        <w:snapToGrid w:val="0"/>
        <w:spacing w:before="100" w:beforeAutospacing="1" w:after="100" w:afterAutospacing="1"/>
        <w:ind w:leftChars="0" w:left="0" w:firstLineChars="200" w:firstLine="560"/>
        <w:jc w:val="both"/>
        <w:rPr>
          <w:rFonts w:ascii="Times New Roman" w:eastAsia="標楷體" w:hAnsi="Times New Roman"/>
          <w:sz w:val="28"/>
          <w:szCs w:val="28"/>
        </w:rPr>
      </w:pPr>
      <w:r w:rsidRPr="005E758A">
        <w:rPr>
          <w:rFonts w:ascii="Times New Roman" w:eastAsia="標楷體" w:hAnsi="Times New Roman"/>
          <w:sz w:val="28"/>
          <w:szCs w:val="28"/>
        </w:rPr>
        <w:t>1998</w:t>
      </w:r>
      <w:r w:rsidRPr="005E758A">
        <w:rPr>
          <w:rFonts w:ascii="Times New Roman" w:eastAsia="標楷體" w:hAnsi="Times New Roman"/>
          <w:sz w:val="28"/>
          <w:szCs w:val="28"/>
        </w:rPr>
        <w:t>年</w:t>
      </w:r>
      <w:r w:rsidRPr="005E758A">
        <w:rPr>
          <w:rFonts w:ascii="Times New Roman" w:eastAsia="標楷體" w:hAnsi="Times New Roman"/>
          <w:sz w:val="28"/>
          <w:szCs w:val="28"/>
        </w:rPr>
        <w:t>10</w:t>
      </w:r>
      <w:r w:rsidRPr="005E758A">
        <w:rPr>
          <w:rFonts w:ascii="Times New Roman" w:eastAsia="標楷體" w:hAnsi="Times New Roman"/>
          <w:sz w:val="28"/>
          <w:szCs w:val="28"/>
        </w:rPr>
        <w:t>月，</w:t>
      </w:r>
      <w:r w:rsidRPr="005E758A">
        <w:rPr>
          <w:rFonts w:ascii="Times New Roman" w:eastAsia="標楷體" w:hAnsi="Times New Roman"/>
          <w:sz w:val="28"/>
          <w:szCs w:val="28"/>
        </w:rPr>
        <w:t>M.</w:t>
      </w:r>
      <w:proofErr w:type="gramStart"/>
      <w:r w:rsidRPr="005E758A">
        <w:rPr>
          <w:rFonts w:ascii="Times New Roman" w:eastAsia="標楷體" w:hAnsi="Times New Roman"/>
          <w:sz w:val="28"/>
          <w:szCs w:val="28"/>
        </w:rPr>
        <w:t>（</w:t>
      </w:r>
      <w:proofErr w:type="gramEnd"/>
      <w:r w:rsidRPr="005E758A">
        <w:rPr>
          <w:rFonts w:ascii="Times New Roman" w:eastAsia="標楷體" w:hAnsi="Times New Roman"/>
          <w:sz w:val="28"/>
          <w:szCs w:val="28"/>
        </w:rPr>
        <w:t>S.B.</w:t>
      </w:r>
      <w:r w:rsidRPr="005E758A">
        <w:rPr>
          <w:rFonts w:ascii="Times New Roman" w:eastAsia="標楷體" w:hAnsi="Times New Roman"/>
          <w:sz w:val="28"/>
          <w:szCs w:val="28"/>
        </w:rPr>
        <w:t>的表弟</w:t>
      </w:r>
      <w:proofErr w:type="gramStart"/>
      <w:r w:rsidRPr="005E758A">
        <w:rPr>
          <w:rFonts w:ascii="Times New Roman" w:eastAsia="標楷體" w:hAnsi="Times New Roman"/>
          <w:sz w:val="28"/>
          <w:szCs w:val="28"/>
        </w:rPr>
        <w:t>）</w:t>
      </w:r>
      <w:proofErr w:type="gramEnd"/>
      <w:r w:rsidRPr="005E758A">
        <w:rPr>
          <w:rFonts w:ascii="Times New Roman" w:eastAsia="標楷體" w:hAnsi="Times New Roman"/>
          <w:sz w:val="28"/>
          <w:szCs w:val="28"/>
        </w:rPr>
        <w:t>告知社會服務的工作人員，</w:t>
      </w:r>
      <w:r w:rsidRPr="005E758A">
        <w:rPr>
          <w:rFonts w:ascii="Times New Roman" w:eastAsia="標楷體" w:hAnsi="Times New Roman"/>
          <w:sz w:val="28"/>
          <w:szCs w:val="28"/>
        </w:rPr>
        <w:t>S.B.</w:t>
      </w:r>
      <w:r w:rsidRPr="005E758A">
        <w:rPr>
          <w:rFonts w:ascii="Times New Roman" w:eastAsia="標楷體" w:hAnsi="Times New Roman"/>
          <w:sz w:val="28"/>
          <w:szCs w:val="28"/>
        </w:rPr>
        <w:t>和其他兒童受到自己的父母及其他成年人性侵害，特別是</w:t>
      </w:r>
      <w:proofErr w:type="spellStart"/>
      <w:r w:rsidRPr="005E758A">
        <w:rPr>
          <w:rFonts w:ascii="Times New Roman" w:eastAsia="標楷體" w:hAnsi="Times New Roman"/>
          <w:sz w:val="28"/>
          <w:szCs w:val="28"/>
        </w:rPr>
        <w:t>Roda</w:t>
      </w:r>
      <w:proofErr w:type="spellEnd"/>
      <w:r w:rsidRPr="005E758A">
        <w:rPr>
          <w:rFonts w:ascii="Times New Roman" w:eastAsia="標楷體" w:hAnsi="Times New Roman"/>
          <w:sz w:val="28"/>
          <w:szCs w:val="28"/>
        </w:rPr>
        <w:t>的妹妹和她的丈夫</w:t>
      </w:r>
      <w:r w:rsidRPr="005E758A">
        <w:rPr>
          <w:rFonts w:ascii="Times New Roman" w:eastAsia="標楷體" w:hAnsi="Times New Roman"/>
          <w:sz w:val="28"/>
          <w:szCs w:val="28"/>
        </w:rPr>
        <w:t>M.B.</w:t>
      </w:r>
      <w:r w:rsidRPr="005E758A">
        <w:rPr>
          <w:rFonts w:ascii="Times New Roman" w:eastAsia="標楷體" w:hAnsi="Times New Roman"/>
          <w:sz w:val="28"/>
          <w:szCs w:val="28"/>
        </w:rPr>
        <w:t>。</w:t>
      </w:r>
      <w:r w:rsidRPr="005E758A">
        <w:rPr>
          <w:rFonts w:ascii="Times New Roman" w:eastAsia="標楷體" w:hAnsi="Times New Roman"/>
          <w:sz w:val="28"/>
          <w:szCs w:val="28"/>
        </w:rPr>
        <w:t>1998</w:t>
      </w:r>
      <w:r w:rsidRPr="005E758A">
        <w:rPr>
          <w:rFonts w:ascii="Times New Roman" w:eastAsia="標楷體" w:hAnsi="Times New Roman"/>
          <w:sz w:val="28"/>
          <w:szCs w:val="28"/>
        </w:rPr>
        <w:t>年</w:t>
      </w:r>
      <w:r w:rsidRPr="005E758A">
        <w:rPr>
          <w:rFonts w:ascii="Times New Roman" w:eastAsia="標楷體" w:hAnsi="Times New Roman"/>
          <w:sz w:val="28"/>
          <w:szCs w:val="28"/>
        </w:rPr>
        <w:t>11</w:t>
      </w:r>
      <w:r w:rsidRPr="005E758A">
        <w:rPr>
          <w:rFonts w:ascii="Times New Roman" w:eastAsia="標楷體" w:hAnsi="Times New Roman"/>
          <w:sz w:val="28"/>
          <w:szCs w:val="28"/>
        </w:rPr>
        <w:t>月</w:t>
      </w:r>
      <w:r w:rsidRPr="005E758A">
        <w:rPr>
          <w:rFonts w:ascii="Times New Roman" w:eastAsia="標楷體" w:hAnsi="Times New Roman"/>
          <w:sz w:val="28"/>
          <w:szCs w:val="28"/>
        </w:rPr>
        <w:t>6</w:t>
      </w:r>
      <w:r w:rsidRPr="005E758A">
        <w:rPr>
          <w:rFonts w:ascii="Times New Roman" w:eastAsia="標楷體" w:hAnsi="Times New Roman"/>
          <w:sz w:val="28"/>
          <w:szCs w:val="28"/>
        </w:rPr>
        <w:t>日兒童法院判決，除非必要之情況，暫停</w:t>
      </w:r>
      <w:proofErr w:type="spellStart"/>
      <w:r w:rsidRPr="005E758A">
        <w:rPr>
          <w:rFonts w:ascii="Times New Roman" w:eastAsia="標楷體" w:hAnsi="Times New Roman"/>
          <w:sz w:val="28"/>
          <w:szCs w:val="28"/>
        </w:rPr>
        <w:t>Roda</w:t>
      </w:r>
      <w:proofErr w:type="spellEnd"/>
      <w:r w:rsidRPr="005E758A">
        <w:rPr>
          <w:rFonts w:ascii="Times New Roman" w:eastAsia="標楷體" w:hAnsi="Times New Roman"/>
          <w:sz w:val="28"/>
          <w:szCs w:val="28"/>
        </w:rPr>
        <w:t>和她的丈夫對</w:t>
      </w:r>
      <w:r w:rsidRPr="005E758A">
        <w:rPr>
          <w:rFonts w:ascii="Times New Roman" w:eastAsia="標楷體" w:hAnsi="Times New Roman"/>
          <w:sz w:val="28"/>
          <w:szCs w:val="28"/>
        </w:rPr>
        <w:t>S.B.</w:t>
      </w:r>
      <w:r w:rsidRPr="005E758A">
        <w:rPr>
          <w:rFonts w:ascii="Times New Roman" w:eastAsia="標楷體" w:hAnsi="Times New Roman"/>
          <w:sz w:val="28"/>
          <w:szCs w:val="28"/>
        </w:rPr>
        <w:t>行使親權，並任命米蘭多拉的</w:t>
      </w:r>
      <w:r w:rsidRPr="005E758A">
        <w:rPr>
          <w:rFonts w:ascii="Times New Roman" w:eastAsia="標楷體" w:hAnsi="Times New Roman"/>
          <w:sz w:val="28"/>
          <w:szCs w:val="28"/>
        </w:rPr>
        <w:t>AUSL</w:t>
      </w:r>
      <w:r w:rsidRPr="005E758A">
        <w:rPr>
          <w:rFonts w:ascii="Times New Roman" w:eastAsia="標楷體" w:hAnsi="Times New Roman"/>
          <w:sz w:val="28"/>
          <w:szCs w:val="28"/>
        </w:rPr>
        <w:t>（當地社會服務機構）為</w:t>
      </w:r>
      <w:r w:rsidRPr="005E758A">
        <w:rPr>
          <w:rFonts w:ascii="Times New Roman" w:eastAsia="標楷體" w:hAnsi="Times New Roman"/>
          <w:sz w:val="28"/>
          <w:szCs w:val="28"/>
        </w:rPr>
        <w:t>S.B.</w:t>
      </w:r>
      <w:r w:rsidRPr="005E758A">
        <w:rPr>
          <w:rFonts w:ascii="Times New Roman" w:eastAsia="標楷體" w:hAnsi="Times New Roman"/>
          <w:sz w:val="28"/>
          <w:szCs w:val="28"/>
        </w:rPr>
        <w:t>之監護人，並將其安置於</w:t>
      </w:r>
      <w:proofErr w:type="gramStart"/>
      <w:r w:rsidRPr="005E758A">
        <w:rPr>
          <w:rFonts w:ascii="Times New Roman" w:eastAsia="標楷體" w:hAnsi="Times New Roman"/>
          <w:sz w:val="28"/>
          <w:szCs w:val="28"/>
        </w:rPr>
        <w:t>一</w:t>
      </w:r>
      <w:proofErr w:type="gramEnd"/>
      <w:r w:rsidRPr="005E758A">
        <w:rPr>
          <w:rFonts w:ascii="Times New Roman" w:eastAsia="標楷體" w:hAnsi="Times New Roman"/>
          <w:sz w:val="28"/>
          <w:szCs w:val="28"/>
        </w:rPr>
        <w:t>受到妥善保護之環境。由於法院認定</w:t>
      </w:r>
      <w:r w:rsidRPr="005E758A">
        <w:rPr>
          <w:rFonts w:ascii="Times New Roman" w:eastAsia="標楷體" w:hAnsi="Times New Roman"/>
          <w:sz w:val="28"/>
          <w:szCs w:val="28"/>
        </w:rPr>
        <w:t>M.</w:t>
      </w:r>
      <w:proofErr w:type="gramStart"/>
      <w:r w:rsidRPr="005E758A">
        <w:rPr>
          <w:rFonts w:ascii="Times New Roman" w:eastAsia="標楷體" w:hAnsi="Times New Roman"/>
          <w:sz w:val="28"/>
          <w:szCs w:val="28"/>
        </w:rPr>
        <w:t>的說詞和</w:t>
      </w:r>
      <w:proofErr w:type="gramEnd"/>
      <w:r w:rsidRPr="005E758A">
        <w:rPr>
          <w:rFonts w:ascii="Times New Roman" w:eastAsia="標楷體" w:hAnsi="Times New Roman"/>
          <w:sz w:val="28"/>
          <w:szCs w:val="28"/>
        </w:rPr>
        <w:t>其他兒童的證詞相符而具備可信性，並經由體檢報告證實其確實遭受性侵害。因此，</w:t>
      </w:r>
      <w:r w:rsidRPr="005E758A">
        <w:rPr>
          <w:rFonts w:ascii="Times New Roman" w:eastAsia="標楷體" w:hAnsi="Times New Roman"/>
          <w:sz w:val="28"/>
          <w:szCs w:val="28"/>
        </w:rPr>
        <w:t>S.B.</w:t>
      </w:r>
      <w:r w:rsidRPr="005E758A">
        <w:rPr>
          <w:rFonts w:ascii="Times New Roman" w:eastAsia="標楷體" w:hAnsi="Times New Roman"/>
          <w:sz w:val="28"/>
          <w:szCs w:val="28"/>
        </w:rPr>
        <w:t>必須遷出她的家，蓋其父親顯示直接參與犯罪而她的母親似乎亦參與其中，故</w:t>
      </w:r>
      <w:r w:rsidRPr="005E758A">
        <w:rPr>
          <w:rFonts w:ascii="Times New Roman" w:eastAsia="標楷體" w:hAnsi="Times New Roman"/>
          <w:sz w:val="28"/>
          <w:szCs w:val="28"/>
        </w:rPr>
        <w:t>S.B.</w:t>
      </w:r>
      <w:r w:rsidRPr="005E758A">
        <w:rPr>
          <w:rFonts w:ascii="Times New Roman" w:eastAsia="標楷體" w:hAnsi="Times New Roman"/>
          <w:sz w:val="28"/>
          <w:szCs w:val="28"/>
        </w:rPr>
        <w:t>之父母皆已無法對</w:t>
      </w:r>
      <w:r w:rsidRPr="005E758A">
        <w:rPr>
          <w:rFonts w:ascii="Times New Roman" w:eastAsia="標楷體" w:hAnsi="Times New Roman"/>
          <w:sz w:val="28"/>
          <w:szCs w:val="28"/>
        </w:rPr>
        <w:t>S.B.</w:t>
      </w:r>
      <w:r w:rsidRPr="005E758A">
        <w:rPr>
          <w:rFonts w:ascii="Times New Roman" w:eastAsia="標楷體" w:hAnsi="Times New Roman"/>
          <w:sz w:val="28"/>
          <w:szCs w:val="28"/>
        </w:rPr>
        <w:t>提供必要之保護。兒童法院並指出，除了</w:t>
      </w:r>
      <w:r w:rsidRPr="005E758A">
        <w:rPr>
          <w:rFonts w:ascii="Times New Roman" w:eastAsia="標楷體" w:hAnsi="Times New Roman"/>
          <w:sz w:val="28"/>
          <w:szCs w:val="28"/>
        </w:rPr>
        <w:t>S.B.</w:t>
      </w:r>
      <w:r w:rsidRPr="005E758A">
        <w:rPr>
          <w:rFonts w:ascii="Times New Roman" w:eastAsia="標楷體" w:hAnsi="Times New Roman"/>
          <w:sz w:val="28"/>
          <w:szCs w:val="28"/>
        </w:rPr>
        <w:t>的父親外，其他</w:t>
      </w:r>
      <w:proofErr w:type="spellStart"/>
      <w:r w:rsidRPr="005E758A">
        <w:rPr>
          <w:rFonts w:ascii="Times New Roman" w:eastAsia="標楷體" w:hAnsi="Times New Roman"/>
          <w:sz w:val="28"/>
          <w:szCs w:val="28"/>
        </w:rPr>
        <w:t>Roda</w:t>
      </w:r>
      <w:proofErr w:type="spellEnd"/>
      <w:r w:rsidRPr="005E758A">
        <w:rPr>
          <w:rFonts w:ascii="Times New Roman" w:eastAsia="標楷體" w:hAnsi="Times New Roman"/>
          <w:sz w:val="28"/>
          <w:szCs w:val="28"/>
        </w:rPr>
        <w:t>的家族成員亦有所牽連，包括了她的姊姊、同母異父的弟弟及同母異父的弟弟之父。隨後，法院強制執行將</w:t>
      </w:r>
      <w:r w:rsidRPr="005E758A">
        <w:rPr>
          <w:rFonts w:ascii="Times New Roman" w:eastAsia="標楷體" w:hAnsi="Times New Roman"/>
          <w:sz w:val="28"/>
          <w:szCs w:val="28"/>
        </w:rPr>
        <w:t>S.B.</w:t>
      </w:r>
      <w:r w:rsidRPr="005E758A">
        <w:rPr>
          <w:rFonts w:ascii="Times New Roman" w:eastAsia="標楷體" w:hAnsi="Times New Roman"/>
          <w:sz w:val="28"/>
          <w:szCs w:val="28"/>
        </w:rPr>
        <w:t>安置於一個社會機構。</w:t>
      </w:r>
    </w:p>
    <w:p w14:paraId="3927F100" w14:textId="77777777" w:rsidR="00CC1907" w:rsidRPr="005E758A" w:rsidRDefault="00CC1907" w:rsidP="00CC1907">
      <w:pPr>
        <w:pStyle w:val="a0"/>
        <w:snapToGrid w:val="0"/>
        <w:spacing w:before="100" w:beforeAutospacing="1" w:after="100" w:afterAutospacing="1"/>
        <w:ind w:leftChars="0" w:left="0" w:firstLineChars="200" w:firstLine="560"/>
        <w:jc w:val="both"/>
        <w:rPr>
          <w:rFonts w:ascii="Times New Roman" w:eastAsia="標楷體" w:hAnsi="Times New Roman"/>
          <w:sz w:val="28"/>
          <w:szCs w:val="28"/>
        </w:rPr>
      </w:pPr>
      <w:r w:rsidRPr="005E758A">
        <w:rPr>
          <w:rFonts w:ascii="Times New Roman" w:eastAsia="標楷體" w:hAnsi="Times New Roman"/>
          <w:sz w:val="28"/>
          <w:szCs w:val="28"/>
        </w:rPr>
        <w:t>1999</w:t>
      </w:r>
      <w:r w:rsidRPr="005E758A">
        <w:rPr>
          <w:rFonts w:ascii="Times New Roman" w:eastAsia="標楷體" w:hAnsi="Times New Roman"/>
          <w:sz w:val="28"/>
          <w:szCs w:val="28"/>
        </w:rPr>
        <w:t>年，法院依據報告發現</w:t>
      </w:r>
      <w:r w:rsidRPr="005E758A">
        <w:rPr>
          <w:rFonts w:ascii="Times New Roman" w:eastAsia="標楷體" w:hAnsi="Times New Roman"/>
          <w:sz w:val="28"/>
          <w:szCs w:val="28"/>
        </w:rPr>
        <w:t>S.B.</w:t>
      </w:r>
      <w:r w:rsidRPr="005E758A">
        <w:rPr>
          <w:rFonts w:ascii="Times New Roman" w:eastAsia="標楷體" w:hAnsi="Times New Roman"/>
          <w:sz w:val="28"/>
          <w:szCs w:val="28"/>
        </w:rPr>
        <w:t>有一些心理方面的疾病，源自於當年所受之性侵害，而她也害怕回到母親的家裡。故法院仍舊命米蘭多拉的</w:t>
      </w:r>
      <w:r w:rsidRPr="005E758A">
        <w:rPr>
          <w:rFonts w:ascii="Times New Roman" w:eastAsia="標楷體" w:hAnsi="Times New Roman"/>
          <w:sz w:val="28"/>
          <w:szCs w:val="28"/>
        </w:rPr>
        <w:t>AUSL</w:t>
      </w:r>
      <w:r w:rsidRPr="005E758A">
        <w:rPr>
          <w:rFonts w:ascii="Times New Roman" w:eastAsia="標楷體" w:hAnsi="Times New Roman"/>
          <w:sz w:val="28"/>
          <w:szCs w:val="28"/>
        </w:rPr>
        <w:t>繼續擔任</w:t>
      </w:r>
      <w:r w:rsidRPr="005E758A">
        <w:rPr>
          <w:rFonts w:ascii="Times New Roman" w:eastAsia="標楷體" w:hAnsi="Times New Roman"/>
          <w:sz w:val="28"/>
          <w:szCs w:val="28"/>
        </w:rPr>
        <w:t>S.B.</w:t>
      </w:r>
      <w:r w:rsidRPr="005E758A">
        <w:rPr>
          <w:rFonts w:ascii="Times New Roman" w:eastAsia="標楷體" w:hAnsi="Times New Roman"/>
          <w:sz w:val="28"/>
          <w:szCs w:val="28"/>
        </w:rPr>
        <w:t>的監護人，使</w:t>
      </w:r>
      <w:r w:rsidRPr="005E758A">
        <w:rPr>
          <w:rFonts w:ascii="Times New Roman" w:eastAsia="標楷體" w:hAnsi="Times New Roman"/>
          <w:sz w:val="28"/>
          <w:szCs w:val="28"/>
        </w:rPr>
        <w:t>S.B.</w:t>
      </w:r>
      <w:r w:rsidRPr="005E758A">
        <w:rPr>
          <w:rFonts w:ascii="Times New Roman" w:eastAsia="標楷體" w:hAnsi="Times New Roman"/>
          <w:sz w:val="28"/>
          <w:szCs w:val="28"/>
        </w:rPr>
        <w:t>能在沒有家人的情況下繼續受到保護。</w:t>
      </w:r>
    </w:p>
    <w:p w14:paraId="4C555741" w14:textId="77777777" w:rsidR="00CC1907" w:rsidRPr="005E758A" w:rsidRDefault="00CC1907" w:rsidP="00CC1907">
      <w:pPr>
        <w:pStyle w:val="a0"/>
        <w:snapToGrid w:val="0"/>
        <w:spacing w:before="100" w:beforeAutospacing="1" w:after="100" w:afterAutospacing="1"/>
        <w:ind w:leftChars="0" w:left="0" w:firstLineChars="200" w:firstLine="560"/>
        <w:jc w:val="both"/>
        <w:rPr>
          <w:rFonts w:ascii="Times New Roman" w:eastAsia="標楷體" w:hAnsi="Times New Roman"/>
          <w:sz w:val="28"/>
          <w:szCs w:val="28"/>
        </w:rPr>
      </w:pPr>
      <w:r w:rsidRPr="005E758A">
        <w:rPr>
          <w:rFonts w:ascii="Times New Roman" w:eastAsia="標楷體" w:hAnsi="Times New Roman"/>
          <w:sz w:val="28"/>
          <w:szCs w:val="28"/>
        </w:rPr>
        <w:t>又根據</w:t>
      </w:r>
      <w:proofErr w:type="spellStart"/>
      <w:r w:rsidRPr="005E758A">
        <w:rPr>
          <w:rFonts w:ascii="Times New Roman" w:eastAsia="標楷體" w:hAnsi="Times New Roman"/>
          <w:sz w:val="28"/>
          <w:szCs w:val="28"/>
        </w:rPr>
        <w:t>Roda</w:t>
      </w:r>
      <w:proofErr w:type="spellEnd"/>
      <w:r w:rsidRPr="005E758A">
        <w:rPr>
          <w:rFonts w:ascii="Times New Roman" w:eastAsia="標楷體" w:hAnsi="Times New Roman"/>
          <w:sz w:val="28"/>
          <w:szCs w:val="28"/>
        </w:rPr>
        <w:t>的上訴，法院准許其得與</w:t>
      </w:r>
      <w:r w:rsidRPr="005E758A">
        <w:rPr>
          <w:rFonts w:ascii="Times New Roman" w:eastAsia="標楷體" w:hAnsi="Times New Roman"/>
          <w:sz w:val="28"/>
          <w:szCs w:val="28"/>
        </w:rPr>
        <w:t>S.B.</w:t>
      </w:r>
      <w:r w:rsidRPr="005E758A">
        <w:rPr>
          <w:rFonts w:ascii="Times New Roman" w:eastAsia="標楷體" w:hAnsi="Times New Roman"/>
          <w:sz w:val="28"/>
          <w:szCs w:val="28"/>
        </w:rPr>
        <w:t>進行會面。故</w:t>
      </w:r>
      <w:r w:rsidRPr="005E758A">
        <w:rPr>
          <w:rFonts w:ascii="Times New Roman" w:eastAsia="標楷體" w:hAnsi="Times New Roman"/>
          <w:sz w:val="28"/>
          <w:szCs w:val="28"/>
        </w:rPr>
        <w:t>2002</w:t>
      </w:r>
      <w:r w:rsidRPr="005E758A">
        <w:rPr>
          <w:rFonts w:ascii="Times New Roman" w:eastAsia="標楷體" w:hAnsi="Times New Roman"/>
          <w:sz w:val="28"/>
          <w:szCs w:val="28"/>
        </w:rPr>
        <w:t>年及</w:t>
      </w:r>
      <w:r w:rsidRPr="005E758A">
        <w:rPr>
          <w:rFonts w:ascii="Times New Roman" w:eastAsia="標楷體" w:hAnsi="Times New Roman"/>
          <w:sz w:val="28"/>
          <w:szCs w:val="28"/>
        </w:rPr>
        <w:t>2003</w:t>
      </w:r>
      <w:r w:rsidRPr="005E758A">
        <w:rPr>
          <w:rFonts w:ascii="Times New Roman" w:eastAsia="標楷體" w:hAnsi="Times New Roman"/>
          <w:sz w:val="28"/>
          <w:szCs w:val="28"/>
        </w:rPr>
        <w:t>年時，</w:t>
      </w:r>
      <w:r w:rsidRPr="005E758A">
        <w:rPr>
          <w:rFonts w:ascii="Times New Roman" w:eastAsia="標楷體" w:hAnsi="Times New Roman"/>
          <w:sz w:val="28"/>
          <w:szCs w:val="28"/>
        </w:rPr>
        <w:t>S.B.</w:t>
      </w:r>
      <w:r w:rsidRPr="005E758A">
        <w:rPr>
          <w:rFonts w:ascii="Times New Roman" w:eastAsia="標楷體" w:hAnsi="Times New Roman"/>
          <w:sz w:val="28"/>
          <w:szCs w:val="28"/>
        </w:rPr>
        <w:t>與</w:t>
      </w:r>
      <w:proofErr w:type="spellStart"/>
      <w:r w:rsidRPr="005E758A">
        <w:rPr>
          <w:rFonts w:ascii="Times New Roman" w:eastAsia="標楷體" w:hAnsi="Times New Roman"/>
          <w:sz w:val="28"/>
          <w:szCs w:val="28"/>
        </w:rPr>
        <w:t>Roda</w:t>
      </w:r>
      <w:proofErr w:type="spellEnd"/>
      <w:r w:rsidRPr="005E758A">
        <w:rPr>
          <w:rFonts w:ascii="Times New Roman" w:eastAsia="標楷體" w:hAnsi="Times New Roman"/>
          <w:sz w:val="28"/>
          <w:szCs w:val="28"/>
        </w:rPr>
        <w:t>見面相處達</w:t>
      </w:r>
      <w:r w:rsidRPr="005E758A">
        <w:rPr>
          <w:rFonts w:ascii="Times New Roman" w:eastAsia="標楷體" w:hAnsi="Times New Roman"/>
          <w:sz w:val="28"/>
          <w:szCs w:val="28"/>
        </w:rPr>
        <w:t>10</w:t>
      </w:r>
      <w:r w:rsidRPr="005E758A">
        <w:rPr>
          <w:rFonts w:ascii="Times New Roman" w:eastAsia="標楷體" w:hAnsi="Times New Roman"/>
          <w:sz w:val="28"/>
          <w:szCs w:val="28"/>
        </w:rPr>
        <w:t>次以上，惟之後</w:t>
      </w:r>
      <w:r w:rsidRPr="005E758A">
        <w:rPr>
          <w:rFonts w:ascii="Times New Roman" w:eastAsia="標楷體" w:hAnsi="Times New Roman"/>
          <w:sz w:val="28"/>
          <w:szCs w:val="28"/>
        </w:rPr>
        <w:t>S.B.</w:t>
      </w:r>
      <w:r w:rsidRPr="005E758A">
        <w:rPr>
          <w:rFonts w:ascii="Times New Roman" w:eastAsia="標楷體" w:hAnsi="Times New Roman"/>
          <w:sz w:val="28"/>
          <w:szCs w:val="28"/>
        </w:rPr>
        <w:t>逐漸表現出不願再繼續與她的母親見面之意，亦不想回家，寧願</w:t>
      </w:r>
      <w:r w:rsidRPr="005E758A">
        <w:rPr>
          <w:rFonts w:ascii="Times New Roman" w:eastAsia="標楷體" w:hAnsi="Times New Roman"/>
          <w:sz w:val="28"/>
          <w:szCs w:val="28"/>
        </w:rPr>
        <w:t>2</w:t>
      </w:r>
      <w:r w:rsidRPr="005E758A">
        <w:rPr>
          <w:rFonts w:ascii="Times New Roman" w:eastAsia="標楷體" w:hAnsi="Times New Roman"/>
          <w:sz w:val="28"/>
          <w:szCs w:val="28"/>
        </w:rPr>
        <w:t>到</w:t>
      </w:r>
      <w:r w:rsidRPr="005E758A">
        <w:rPr>
          <w:rFonts w:ascii="Times New Roman" w:eastAsia="標楷體" w:hAnsi="Times New Roman"/>
          <w:sz w:val="28"/>
          <w:szCs w:val="28"/>
        </w:rPr>
        <w:t>3</w:t>
      </w:r>
      <w:r w:rsidRPr="005E758A">
        <w:rPr>
          <w:rFonts w:ascii="Times New Roman" w:eastAsia="標楷體" w:hAnsi="Times New Roman"/>
          <w:sz w:val="28"/>
          <w:szCs w:val="28"/>
        </w:rPr>
        <w:t>個月只見她的母親</w:t>
      </w:r>
      <w:r w:rsidRPr="005E758A">
        <w:rPr>
          <w:rFonts w:ascii="Times New Roman" w:eastAsia="標楷體" w:hAnsi="Times New Roman"/>
          <w:sz w:val="28"/>
          <w:szCs w:val="28"/>
        </w:rPr>
        <w:t>1</w:t>
      </w:r>
      <w:r w:rsidRPr="005E758A">
        <w:rPr>
          <w:rFonts w:ascii="Times New Roman" w:eastAsia="標楷體" w:hAnsi="Times New Roman"/>
          <w:sz w:val="28"/>
          <w:szCs w:val="28"/>
        </w:rPr>
        <w:t>次。因而與此同時，法院又安排將</w:t>
      </w:r>
      <w:r w:rsidRPr="005E758A">
        <w:rPr>
          <w:rFonts w:ascii="Times New Roman" w:eastAsia="標楷體" w:hAnsi="Times New Roman"/>
          <w:sz w:val="28"/>
          <w:szCs w:val="28"/>
        </w:rPr>
        <w:t>S.B.</w:t>
      </w:r>
      <w:r w:rsidRPr="005E758A">
        <w:rPr>
          <w:rFonts w:ascii="Times New Roman" w:eastAsia="標楷體" w:hAnsi="Times New Roman"/>
          <w:sz w:val="28"/>
          <w:szCs w:val="28"/>
        </w:rPr>
        <w:t>安置於養育之家。</w:t>
      </w:r>
    </w:p>
    <w:p w14:paraId="010132AE" w14:textId="77777777" w:rsidR="00CC1907" w:rsidRPr="005E758A" w:rsidRDefault="00CC1907" w:rsidP="00CC1907">
      <w:pPr>
        <w:pStyle w:val="a0"/>
        <w:snapToGrid w:val="0"/>
        <w:spacing w:before="100" w:beforeAutospacing="1" w:after="100" w:afterAutospacing="1"/>
        <w:ind w:leftChars="0" w:left="0" w:firstLineChars="200" w:firstLine="560"/>
        <w:jc w:val="both"/>
        <w:rPr>
          <w:rFonts w:ascii="Times New Roman" w:eastAsia="標楷體" w:hAnsi="Times New Roman"/>
          <w:sz w:val="28"/>
          <w:szCs w:val="28"/>
        </w:rPr>
      </w:pPr>
      <w:r w:rsidRPr="005E758A">
        <w:rPr>
          <w:rFonts w:ascii="Times New Roman" w:eastAsia="標楷體" w:hAnsi="Times New Roman"/>
          <w:sz w:val="28"/>
          <w:szCs w:val="28"/>
        </w:rPr>
        <w:t>法院表示，安置照</w:t>
      </w:r>
      <w:r w:rsidR="00921789" w:rsidRPr="005E758A">
        <w:rPr>
          <w:rFonts w:ascii="Times New Roman" w:eastAsia="標楷體" w:hAnsi="Times New Roman"/>
          <w:sz w:val="28"/>
          <w:szCs w:val="28"/>
        </w:rPr>
        <w:t>顧</w:t>
      </w:r>
      <w:r w:rsidRPr="005E758A">
        <w:rPr>
          <w:rFonts w:ascii="Times New Roman" w:eastAsia="標楷體" w:hAnsi="Times New Roman"/>
          <w:sz w:val="28"/>
          <w:szCs w:val="28"/>
        </w:rPr>
        <w:t>S.B.</w:t>
      </w:r>
      <w:r w:rsidRPr="005E758A">
        <w:rPr>
          <w:rFonts w:ascii="Times New Roman" w:eastAsia="標楷體" w:hAnsi="Times New Roman"/>
          <w:sz w:val="28"/>
          <w:szCs w:val="28"/>
        </w:rPr>
        <w:t>係干涉了上訴人之家庭生活。惟此種干</w:t>
      </w:r>
      <w:r w:rsidRPr="005E758A">
        <w:rPr>
          <w:rFonts w:ascii="Times New Roman" w:eastAsia="標楷體" w:hAnsi="Times New Roman"/>
          <w:sz w:val="28"/>
          <w:szCs w:val="28"/>
        </w:rPr>
        <w:lastRenderedPageBreak/>
        <w:t>涉乃依據法律亦為立法者所追求之目標，即是保護兒童的利益。</w:t>
      </w:r>
    </w:p>
    <w:p w14:paraId="2601FD6D" w14:textId="77777777" w:rsidR="00CC1907" w:rsidRPr="005E758A" w:rsidRDefault="00CC1907" w:rsidP="00CC1907">
      <w:pPr>
        <w:pStyle w:val="a0"/>
        <w:snapToGrid w:val="0"/>
        <w:spacing w:before="100" w:beforeAutospacing="1" w:after="100" w:afterAutospacing="1"/>
        <w:ind w:leftChars="0" w:left="0" w:firstLineChars="200" w:firstLine="560"/>
        <w:jc w:val="both"/>
        <w:rPr>
          <w:rFonts w:ascii="Times New Roman" w:eastAsia="標楷體" w:hAnsi="Times New Roman"/>
          <w:sz w:val="28"/>
          <w:szCs w:val="28"/>
        </w:rPr>
      </w:pPr>
      <w:r w:rsidRPr="005E758A">
        <w:rPr>
          <w:rFonts w:ascii="Times New Roman" w:eastAsia="標楷體" w:hAnsi="Times New Roman"/>
          <w:sz w:val="28"/>
          <w:szCs w:val="28"/>
        </w:rPr>
        <w:t>而關於</w:t>
      </w:r>
      <w:r w:rsidRPr="005E758A">
        <w:rPr>
          <w:rFonts w:ascii="Times New Roman" w:eastAsia="標楷體" w:hAnsi="Times New Roman"/>
          <w:sz w:val="28"/>
          <w:szCs w:val="28"/>
        </w:rPr>
        <w:t>S.B.</w:t>
      </w:r>
      <w:r w:rsidRPr="005E758A">
        <w:rPr>
          <w:rFonts w:ascii="Times New Roman" w:eastAsia="標楷體" w:hAnsi="Times New Roman"/>
          <w:sz w:val="28"/>
          <w:szCs w:val="28"/>
        </w:rPr>
        <w:t>之遷移及安置，法院考量為了要保護兒童的健康及權利，其使用措施須視其是否合乎比例並為「</w:t>
      </w:r>
      <w:proofErr w:type="gramStart"/>
      <w:r w:rsidRPr="005E758A">
        <w:rPr>
          <w:rFonts w:ascii="Times New Roman" w:eastAsia="標楷體" w:hAnsi="Times New Roman"/>
          <w:sz w:val="28"/>
          <w:szCs w:val="28"/>
        </w:rPr>
        <w:t>一</w:t>
      </w:r>
      <w:proofErr w:type="gramEnd"/>
      <w:r w:rsidRPr="005E758A">
        <w:rPr>
          <w:rFonts w:ascii="Times New Roman" w:eastAsia="標楷體" w:hAnsi="Times New Roman"/>
          <w:sz w:val="28"/>
          <w:szCs w:val="28"/>
        </w:rPr>
        <w:t>民主社會所必須」</w:t>
      </w:r>
      <w:r w:rsidRPr="005E758A">
        <w:rPr>
          <w:rFonts w:ascii="Times New Roman" w:eastAsia="標楷體" w:hAnsi="Times New Roman"/>
          <w:sz w:val="28"/>
          <w:szCs w:val="28"/>
        </w:rPr>
        <w:t>(necessary in a democratic society)</w:t>
      </w:r>
      <w:r w:rsidRPr="005E758A">
        <w:rPr>
          <w:rFonts w:ascii="Times New Roman" w:eastAsia="標楷體" w:hAnsi="Times New Roman"/>
          <w:sz w:val="28"/>
          <w:szCs w:val="28"/>
        </w:rPr>
        <w:t>。由於本案之複雜性，及其涉及被害人親近之家屬，可合理地認為</w:t>
      </w:r>
      <w:r w:rsidRPr="005E758A">
        <w:rPr>
          <w:rFonts w:ascii="Times New Roman" w:eastAsia="標楷體" w:hAnsi="Times New Roman"/>
          <w:sz w:val="28"/>
          <w:szCs w:val="28"/>
        </w:rPr>
        <w:t>S.B.</w:t>
      </w:r>
      <w:r w:rsidRPr="005E758A">
        <w:rPr>
          <w:rFonts w:ascii="Times New Roman" w:eastAsia="標楷體" w:hAnsi="Times New Roman"/>
          <w:sz w:val="28"/>
          <w:szCs w:val="28"/>
        </w:rPr>
        <w:t>繼續居住於其母親之家中將可能對其有重大不利之影響。法院亦指出，任何公共照護之安置，原則上僅能做為短暫的權宜之計，一旦狀況改變後，應使兒童回到其父母之身邊。</w:t>
      </w:r>
      <w:proofErr w:type="gramStart"/>
      <w:r w:rsidRPr="005E758A">
        <w:rPr>
          <w:rFonts w:ascii="Times New Roman" w:eastAsia="標楷體" w:hAnsi="Times New Roman"/>
          <w:sz w:val="28"/>
          <w:szCs w:val="28"/>
        </w:rPr>
        <w:t>縱</w:t>
      </w:r>
      <w:proofErr w:type="gramEnd"/>
      <w:r w:rsidRPr="005E758A">
        <w:rPr>
          <w:rFonts w:ascii="Times New Roman" w:eastAsia="標楷體" w:hAnsi="Times New Roman"/>
          <w:sz w:val="28"/>
          <w:szCs w:val="28"/>
        </w:rPr>
        <w:t>所有的判決係受到專家和社會服務機構的調查意見影響，法院也不能忽視其所經過的時間後之恢復狀態以及其和母親互相接觸的事實與女兒不易與上訴人間延續密切地互動等等因素。即便考量到</w:t>
      </w:r>
      <w:r w:rsidRPr="005E758A">
        <w:rPr>
          <w:rFonts w:ascii="Times New Roman" w:eastAsia="標楷體" w:hAnsi="Times New Roman"/>
          <w:sz w:val="28"/>
          <w:szCs w:val="28"/>
        </w:rPr>
        <w:t>S.B.</w:t>
      </w:r>
      <w:r w:rsidRPr="005E758A">
        <w:rPr>
          <w:rFonts w:ascii="Times New Roman" w:eastAsia="標楷體" w:hAnsi="Times New Roman"/>
          <w:sz w:val="28"/>
          <w:szCs w:val="28"/>
        </w:rPr>
        <w:t>對於其與母親之頻繁接觸感到不耐，然</w:t>
      </w:r>
      <w:r w:rsidR="00637DF5" w:rsidRPr="005E758A">
        <w:rPr>
          <w:rFonts w:ascii="Times New Roman" w:eastAsia="標楷體" w:hAnsi="Times New Roman"/>
          <w:sz w:val="28"/>
          <w:szCs w:val="28"/>
        </w:rPr>
        <w:t>仍需對兒童之利益與尊重上訴人之家庭生活為適當公平地衡量，義大利</w:t>
      </w:r>
      <w:r w:rsidRPr="005E758A">
        <w:rPr>
          <w:rFonts w:ascii="Times New Roman" w:eastAsia="標楷體" w:hAnsi="Times New Roman"/>
          <w:sz w:val="28"/>
          <w:szCs w:val="28"/>
        </w:rPr>
        <w:t>做之決定不盡然完全令人滿意。</w:t>
      </w:r>
    </w:p>
    <w:p w14:paraId="35640BA0" w14:textId="77777777" w:rsidR="00CC1907" w:rsidRPr="005E758A" w:rsidRDefault="00CC1907" w:rsidP="00CC1907">
      <w:pPr>
        <w:pStyle w:val="3"/>
      </w:pPr>
      <w:r w:rsidRPr="005E758A">
        <w:t>2010</w:t>
      </w:r>
      <w:r w:rsidRPr="005E758A">
        <w:t>年阿根廷最高法院兒童自殺案：</w:t>
      </w:r>
      <w:r w:rsidRPr="005E758A">
        <w:t>P. 918. XLIII, “</w:t>
      </w:r>
      <w:proofErr w:type="spellStart"/>
      <w:r w:rsidRPr="005E758A">
        <w:t>Recurso</w:t>
      </w:r>
      <w:proofErr w:type="spellEnd"/>
      <w:r w:rsidRPr="005E758A">
        <w:t xml:space="preserve"> de </w:t>
      </w:r>
      <w:proofErr w:type="spellStart"/>
      <w:r w:rsidRPr="005E758A">
        <w:t>Hecho</w:t>
      </w:r>
      <w:proofErr w:type="spellEnd"/>
      <w:r w:rsidRPr="005E758A">
        <w:t>.”</w:t>
      </w:r>
      <w:r w:rsidRPr="005E758A">
        <w:rPr>
          <w:rStyle w:val="af3"/>
        </w:rPr>
        <w:endnoteReference w:id="341"/>
      </w:r>
      <w:r w:rsidRPr="005E758A">
        <w:t xml:space="preserve"> </w:t>
      </w:r>
    </w:p>
    <w:p w14:paraId="5A1ED3F9" w14:textId="77777777" w:rsidR="00CC1907" w:rsidRPr="005E758A" w:rsidRDefault="00CC1907" w:rsidP="00CC1907">
      <w:pPr>
        <w:pStyle w:val="a0"/>
        <w:snapToGrid w:val="0"/>
        <w:spacing w:before="100" w:beforeAutospacing="1" w:after="100" w:afterAutospacing="1"/>
        <w:ind w:leftChars="0" w:left="0" w:firstLineChars="200" w:firstLine="560"/>
        <w:jc w:val="both"/>
        <w:rPr>
          <w:rFonts w:ascii="Times New Roman" w:eastAsia="標楷體" w:hAnsi="Times New Roman"/>
          <w:sz w:val="28"/>
          <w:szCs w:val="28"/>
        </w:rPr>
      </w:pPr>
      <w:r w:rsidRPr="005E758A">
        <w:rPr>
          <w:rFonts w:ascii="Times New Roman" w:eastAsia="標楷體" w:hAnsi="Times New Roman"/>
          <w:sz w:val="28"/>
          <w:szCs w:val="28"/>
        </w:rPr>
        <w:t>一名住於由柯多瓦議會為保護未成年人而成立之寄宿學校之十七歲少年自殺。其父母親提起訴訟控告該縣政府。下級法院因欠缺證據證明該縣政府對該名小孩自殺之結果具有因果關係或負有義務預防，而駁回該案，案件一路上訴至最高法院。</w:t>
      </w:r>
    </w:p>
    <w:p w14:paraId="6BB6EDB1" w14:textId="77777777" w:rsidR="00CC1907" w:rsidRPr="005E758A" w:rsidRDefault="00CC1907" w:rsidP="00CC1907">
      <w:pPr>
        <w:pStyle w:val="a0"/>
        <w:snapToGrid w:val="0"/>
        <w:spacing w:before="100" w:beforeAutospacing="1" w:after="100" w:afterAutospacing="1"/>
        <w:ind w:leftChars="0" w:left="0" w:firstLineChars="200" w:firstLine="560"/>
        <w:jc w:val="both"/>
        <w:rPr>
          <w:rFonts w:ascii="Times New Roman" w:eastAsia="標楷體" w:hAnsi="Times New Roman"/>
          <w:sz w:val="28"/>
          <w:szCs w:val="28"/>
        </w:rPr>
      </w:pPr>
      <w:r w:rsidRPr="005E758A">
        <w:rPr>
          <w:rFonts w:ascii="Times New Roman" w:eastAsia="標楷體" w:hAnsi="Times New Roman"/>
          <w:sz w:val="28"/>
          <w:szCs w:val="28"/>
        </w:rPr>
        <w:t>最高法院認為，科多瓦可能</w:t>
      </w:r>
      <w:proofErr w:type="gramStart"/>
      <w:r w:rsidRPr="005E758A">
        <w:rPr>
          <w:rFonts w:ascii="Times New Roman" w:eastAsia="標楷體" w:hAnsi="Times New Roman"/>
          <w:sz w:val="28"/>
          <w:szCs w:val="28"/>
        </w:rPr>
        <w:t>違背其照護</w:t>
      </w:r>
      <w:proofErr w:type="gramEnd"/>
      <w:r w:rsidRPr="005E758A">
        <w:rPr>
          <w:rFonts w:ascii="Times New Roman" w:eastAsia="標楷體" w:hAnsi="Times New Roman"/>
          <w:sz w:val="28"/>
          <w:szCs w:val="28"/>
        </w:rPr>
        <w:t>孩童之責任，</w:t>
      </w:r>
      <w:proofErr w:type="gramStart"/>
      <w:r w:rsidRPr="005E758A">
        <w:rPr>
          <w:rFonts w:ascii="Times New Roman" w:eastAsia="標楷體" w:hAnsi="Times New Roman"/>
          <w:sz w:val="28"/>
          <w:szCs w:val="28"/>
        </w:rPr>
        <w:t>蓋該孩童</w:t>
      </w:r>
      <w:proofErr w:type="gramEnd"/>
      <w:r w:rsidRPr="005E758A">
        <w:rPr>
          <w:rFonts w:ascii="Times New Roman" w:eastAsia="標楷體" w:hAnsi="Times New Roman"/>
          <w:sz w:val="28"/>
          <w:szCs w:val="28"/>
        </w:rPr>
        <w:t>已置於該縣政府照護之下。下級法院應須重新評估該案件的情狀，並考量國際兒童權利之保護規範。</w:t>
      </w:r>
    </w:p>
    <w:p w14:paraId="63C99144" w14:textId="77777777" w:rsidR="00CC1907" w:rsidRPr="005E758A" w:rsidRDefault="00CC1907" w:rsidP="00CC1907">
      <w:pPr>
        <w:pStyle w:val="a0"/>
        <w:snapToGrid w:val="0"/>
        <w:spacing w:before="100" w:beforeAutospacing="1" w:after="100" w:afterAutospacing="1"/>
        <w:ind w:leftChars="0" w:left="0" w:firstLineChars="200" w:firstLine="560"/>
        <w:jc w:val="both"/>
        <w:rPr>
          <w:rFonts w:ascii="Times New Roman" w:eastAsia="標楷體" w:hAnsi="Times New Roman"/>
          <w:sz w:val="28"/>
          <w:szCs w:val="28"/>
        </w:rPr>
      </w:pPr>
      <w:r w:rsidRPr="005E758A">
        <w:rPr>
          <w:rFonts w:ascii="Times New Roman" w:eastAsia="標楷體" w:hAnsi="Times New Roman"/>
          <w:sz w:val="28"/>
          <w:szCs w:val="28"/>
        </w:rPr>
        <w:t>雖然縣政府對於一般個人沒有普遍之義務與責任，但如選擇提供少年寄宿學校之公眾服務，就可能需要負起因該服務所生之損害之責任。這必須要求某一法律主體受法律規範為特定作為而並未依法作為之情形做區分。相反的，</w:t>
      </w:r>
      <w:proofErr w:type="gramStart"/>
      <w:r w:rsidRPr="005E758A">
        <w:rPr>
          <w:rFonts w:ascii="Times New Roman" w:eastAsia="標楷體" w:hAnsi="Times New Roman"/>
          <w:sz w:val="28"/>
          <w:szCs w:val="28"/>
        </w:rPr>
        <w:t>本案該縣政府</w:t>
      </w:r>
      <w:proofErr w:type="gramEnd"/>
      <w:r w:rsidRPr="005E758A">
        <w:rPr>
          <w:rFonts w:ascii="Times New Roman" w:eastAsia="標楷體" w:hAnsi="Times New Roman"/>
          <w:sz w:val="28"/>
          <w:szCs w:val="28"/>
        </w:rPr>
        <w:t>對於受該照護下之孩童負有某種形式之保護義務之情形，應透過下級法院完整的權衡特定事實後方得認定其責任及賠償額度。</w:t>
      </w:r>
    </w:p>
    <w:p w14:paraId="46D6C22F" w14:textId="77777777" w:rsidR="00CC1907" w:rsidRPr="005E758A" w:rsidRDefault="00CC1907" w:rsidP="00CC1907">
      <w:pPr>
        <w:pStyle w:val="2"/>
      </w:pPr>
      <w:r w:rsidRPr="005E758A">
        <w:t>綜合分析</w:t>
      </w:r>
    </w:p>
    <w:p w14:paraId="37E44ECE" w14:textId="77777777" w:rsidR="00CC1907" w:rsidRPr="005E758A" w:rsidRDefault="00CC1907" w:rsidP="0095798C">
      <w:pPr>
        <w:pStyle w:val="a0"/>
        <w:snapToGrid w:val="0"/>
        <w:spacing w:before="100" w:beforeAutospacing="1" w:after="100" w:afterAutospacing="1"/>
        <w:ind w:leftChars="0" w:left="0" w:firstLineChars="200" w:firstLine="560"/>
        <w:jc w:val="both"/>
        <w:rPr>
          <w:rFonts w:ascii="Times New Roman" w:eastAsia="標楷體" w:hAnsi="Times New Roman"/>
          <w:sz w:val="28"/>
          <w:szCs w:val="28"/>
        </w:rPr>
      </w:pPr>
      <w:r w:rsidRPr="005E758A">
        <w:rPr>
          <w:rFonts w:ascii="Times New Roman" w:eastAsia="標楷體" w:hAnsi="Times New Roman"/>
          <w:sz w:val="28"/>
          <w:szCs w:val="28"/>
        </w:rPr>
        <w:t>對於被安置的特殊兒童而言，其所受之待遇，往往並不理想，其原因或係因國家資源不足，照護人員素質不良或被安置兒童遭受歧視、污名化等。本條特別賦予此類兒童請求改善的權利，而安置機構及國家也因此相對地有照護之義務。換言之，本條實際上創設了一項兒童</w:t>
      </w:r>
      <w:r w:rsidRPr="005E758A">
        <w:rPr>
          <w:rFonts w:ascii="Times New Roman" w:eastAsia="標楷體" w:hAnsi="Times New Roman"/>
          <w:sz w:val="28"/>
          <w:szCs w:val="28"/>
        </w:rPr>
        <w:lastRenderedPageBreak/>
        <w:t>「參與」決策的權利。</w:t>
      </w:r>
    </w:p>
    <w:p w14:paraId="4CB0047C" w14:textId="77777777" w:rsidR="00CC1907" w:rsidRPr="005E758A" w:rsidRDefault="00371A18" w:rsidP="00CC1907">
      <w:pPr>
        <w:pStyle w:val="2"/>
      </w:pPr>
      <w:r w:rsidRPr="005E758A">
        <w:t>參考資料</w:t>
      </w:r>
    </w:p>
    <w:p w14:paraId="17A8E61C" w14:textId="77777777" w:rsidR="00CC1907" w:rsidRPr="005E758A" w:rsidRDefault="00CC1907" w:rsidP="007119F4">
      <w:pPr>
        <w:pStyle w:val="a0"/>
        <w:numPr>
          <w:ilvl w:val="0"/>
          <w:numId w:val="57"/>
        </w:numPr>
        <w:snapToGrid w:val="0"/>
        <w:ind w:leftChars="0" w:left="448" w:hanging="448"/>
        <w:jc w:val="both"/>
        <w:rPr>
          <w:rFonts w:ascii="Times New Roman" w:eastAsia="標楷體" w:hAnsi="Times New Roman"/>
          <w:sz w:val="28"/>
          <w:szCs w:val="28"/>
        </w:rPr>
      </w:pPr>
      <w:r w:rsidRPr="005E758A">
        <w:rPr>
          <w:rFonts w:ascii="Times New Roman" w:eastAsia="標楷體" w:hAnsi="Times New Roman"/>
          <w:smallCaps/>
          <w:sz w:val="28"/>
          <w:szCs w:val="28"/>
        </w:rPr>
        <w:t>UNICEF, Implementation Handbook for the Convention on the Rights of the Child</w:t>
      </w:r>
      <w:r w:rsidRPr="005E758A">
        <w:rPr>
          <w:rFonts w:ascii="Times New Roman" w:eastAsia="標楷體" w:hAnsi="Times New Roman"/>
          <w:sz w:val="28"/>
          <w:szCs w:val="28"/>
        </w:rPr>
        <w:t xml:space="preserve"> (3d ed. 2007).</w:t>
      </w:r>
    </w:p>
    <w:p w14:paraId="45908A93" w14:textId="77777777" w:rsidR="00CC1907" w:rsidRPr="0067212E" w:rsidRDefault="0067212E" w:rsidP="007119F4">
      <w:pPr>
        <w:pStyle w:val="a0"/>
        <w:numPr>
          <w:ilvl w:val="0"/>
          <w:numId w:val="57"/>
        </w:numPr>
        <w:snapToGrid w:val="0"/>
        <w:ind w:leftChars="0" w:left="448" w:hanging="448"/>
        <w:jc w:val="both"/>
        <w:rPr>
          <w:rFonts w:ascii="Times New Roman" w:eastAsia="標楷體" w:hAnsi="Times New Roman"/>
          <w:sz w:val="28"/>
          <w:szCs w:val="28"/>
        </w:rPr>
      </w:pPr>
      <w:r w:rsidRPr="0067212E">
        <w:rPr>
          <w:rFonts w:ascii="Times New Roman" w:eastAsia="標楷體" w:hAnsi="Times New Roman"/>
          <w:sz w:val="28"/>
          <w:szCs w:val="28"/>
        </w:rPr>
        <w:t>林沛君，兒少人權向前行，臺北市，台灣展翅協會，</w:t>
      </w:r>
      <w:r w:rsidRPr="0067212E">
        <w:rPr>
          <w:rFonts w:ascii="Times New Roman" w:eastAsia="標楷體" w:hAnsi="Times New Roman"/>
          <w:sz w:val="28"/>
          <w:szCs w:val="28"/>
        </w:rPr>
        <w:t>2015</w:t>
      </w:r>
      <w:r w:rsidRPr="0067212E">
        <w:rPr>
          <w:rFonts w:ascii="Times New Roman" w:eastAsia="標楷體" w:hAnsi="Times New Roman"/>
          <w:sz w:val="28"/>
          <w:szCs w:val="28"/>
        </w:rPr>
        <w:t>年</w:t>
      </w:r>
      <w:r w:rsidRPr="0067212E">
        <w:rPr>
          <w:rFonts w:ascii="Times New Roman" w:eastAsia="標楷體" w:hAnsi="Times New Roman"/>
          <w:sz w:val="28"/>
          <w:szCs w:val="28"/>
        </w:rPr>
        <w:t>4</w:t>
      </w:r>
      <w:r w:rsidRPr="0067212E">
        <w:rPr>
          <w:rFonts w:ascii="Times New Roman" w:eastAsia="標楷體" w:hAnsi="Times New Roman"/>
          <w:sz w:val="28"/>
          <w:szCs w:val="28"/>
        </w:rPr>
        <w:t>月</w:t>
      </w:r>
      <w:r w:rsidR="00CC1907" w:rsidRPr="0067212E">
        <w:rPr>
          <w:rFonts w:ascii="Times New Roman" w:eastAsia="標楷體" w:hAnsi="Times New Roman"/>
          <w:sz w:val="28"/>
          <w:szCs w:val="28"/>
        </w:rPr>
        <w:t>。</w:t>
      </w:r>
    </w:p>
    <w:p w14:paraId="55211167" w14:textId="77777777" w:rsidR="00CC1907" w:rsidRPr="005E758A" w:rsidRDefault="00CC1907" w:rsidP="00CC1907">
      <w:pPr>
        <w:snapToGrid w:val="0"/>
        <w:spacing w:before="100" w:beforeAutospacing="1" w:after="100" w:afterAutospacing="1"/>
        <w:jc w:val="both"/>
        <w:rPr>
          <w:sz w:val="28"/>
          <w:szCs w:val="28"/>
        </w:rPr>
      </w:pPr>
    </w:p>
    <w:p w14:paraId="70A57AC0" w14:textId="77777777" w:rsidR="00CC1907" w:rsidRPr="005E758A" w:rsidRDefault="00CC1907" w:rsidP="00CC1907">
      <w:pPr>
        <w:snapToGrid w:val="0"/>
        <w:spacing w:before="100" w:beforeAutospacing="1" w:after="100" w:afterAutospacing="1"/>
        <w:jc w:val="both"/>
        <w:rPr>
          <w:sz w:val="28"/>
          <w:szCs w:val="28"/>
        </w:rPr>
      </w:pPr>
      <w:r w:rsidRPr="005E758A">
        <w:rPr>
          <w:sz w:val="28"/>
          <w:szCs w:val="28"/>
        </w:rPr>
        <w:t>關鍵詞：照顧、保護、監督、安置</w:t>
      </w:r>
    </w:p>
    <w:p w14:paraId="17630BE4" w14:textId="77777777" w:rsidR="00CC1907" w:rsidRPr="005E758A" w:rsidRDefault="00CC1907" w:rsidP="00CC1907">
      <w:pPr>
        <w:snapToGrid w:val="0"/>
        <w:spacing w:before="100" w:beforeAutospacing="1" w:after="100" w:afterAutospacing="1"/>
        <w:rPr>
          <w:sz w:val="28"/>
          <w:szCs w:val="28"/>
        </w:rPr>
        <w:sectPr w:rsidR="00CC1907" w:rsidRPr="005E758A">
          <w:footerReference w:type="default" r:id="rId18"/>
          <w:endnotePr>
            <w:numFmt w:val="decimal"/>
            <w:numRestart w:val="eachSect"/>
          </w:endnotePr>
          <w:pgSz w:w="11906" w:h="16838"/>
          <w:pgMar w:top="1440" w:right="1800" w:bottom="1440" w:left="1800" w:header="851" w:footer="992" w:gutter="0"/>
          <w:cols w:space="425"/>
          <w:docGrid w:type="lines" w:linePitch="360"/>
        </w:sectPr>
      </w:pPr>
    </w:p>
    <w:p w14:paraId="4DCBF249" w14:textId="77777777" w:rsidR="0067212E" w:rsidRDefault="0067212E" w:rsidP="0067212E">
      <w:pPr>
        <w:pStyle w:val="1"/>
        <w:rPr>
          <w:sz w:val="28"/>
        </w:rPr>
      </w:pPr>
      <w:bookmarkStart w:id="76" w:name="_Toc431072742"/>
      <w:r w:rsidRPr="005E758A">
        <w:lastRenderedPageBreak/>
        <w:t>第</w:t>
      </w:r>
      <w:r w:rsidRPr="005E758A">
        <w:t>26</w:t>
      </w:r>
      <w:r w:rsidRPr="005E758A">
        <w:t>條</w:t>
      </w:r>
      <w:r>
        <w:rPr>
          <w:rFonts w:hint="eastAsia"/>
        </w:rPr>
        <w:t xml:space="preserve">　社會安全</w:t>
      </w:r>
      <w:bookmarkEnd w:id="76"/>
    </w:p>
    <w:tbl>
      <w:tblPr>
        <w:tblStyle w:val="af4"/>
        <w:tblW w:w="0" w:type="auto"/>
        <w:tblLook w:val="04A0" w:firstRow="1" w:lastRow="0" w:firstColumn="1" w:lastColumn="0" w:noHBand="0" w:noVBand="1"/>
      </w:tblPr>
      <w:tblGrid>
        <w:gridCol w:w="8302"/>
      </w:tblGrid>
      <w:tr w:rsidR="0067212E" w:rsidRPr="005E758A" w14:paraId="4ACF36E6" w14:textId="77777777" w:rsidTr="002B035C">
        <w:tc>
          <w:tcPr>
            <w:tcW w:w="8362" w:type="dxa"/>
          </w:tcPr>
          <w:p w14:paraId="241AA6CC" w14:textId="77777777" w:rsidR="0067212E" w:rsidRPr="005E758A" w:rsidRDefault="0067212E" w:rsidP="002B035C">
            <w:pPr>
              <w:pStyle w:val="a0"/>
              <w:numPr>
                <w:ilvl w:val="0"/>
                <w:numId w:val="172"/>
              </w:numPr>
              <w:snapToGrid w:val="0"/>
              <w:ind w:leftChars="0"/>
              <w:rPr>
                <w:rFonts w:ascii="Times New Roman" w:eastAsia="標楷體" w:hAnsi="Times New Roman"/>
                <w:sz w:val="28"/>
                <w:szCs w:val="28"/>
              </w:rPr>
            </w:pPr>
            <w:r w:rsidRPr="005E758A">
              <w:rPr>
                <w:rFonts w:ascii="Times New Roman" w:eastAsia="標楷體" w:hAnsi="Times New Roman"/>
                <w:sz w:val="28"/>
                <w:szCs w:val="28"/>
              </w:rPr>
              <w:t>締約國應承認每</w:t>
            </w:r>
            <w:proofErr w:type="gramStart"/>
            <w:r w:rsidRPr="005E758A">
              <w:rPr>
                <w:rFonts w:ascii="Times New Roman" w:eastAsia="標楷體" w:hAnsi="Times New Roman"/>
                <w:sz w:val="28"/>
                <w:szCs w:val="28"/>
              </w:rPr>
              <w:t>個</w:t>
            </w:r>
            <w:proofErr w:type="gramEnd"/>
            <w:r w:rsidRPr="005E758A">
              <w:rPr>
                <w:rFonts w:ascii="Times New Roman" w:eastAsia="標楷體" w:hAnsi="Times New Roman"/>
                <w:sz w:val="28"/>
                <w:szCs w:val="28"/>
              </w:rPr>
              <w:t>兒童皆受有包括社會保險之社會安全給付之權</w:t>
            </w:r>
            <w:r w:rsidRPr="005E758A">
              <w:rPr>
                <w:rFonts w:ascii="Times New Roman" w:eastAsia="標楷體" w:hAnsi="Times New Roman"/>
                <w:sz w:val="28"/>
                <w:szCs w:val="28"/>
              </w:rPr>
              <w:t xml:space="preserve"> </w:t>
            </w:r>
            <w:r w:rsidRPr="005E758A">
              <w:rPr>
                <w:rFonts w:ascii="Times New Roman" w:eastAsia="標楷體" w:hAnsi="Times New Roman"/>
                <w:sz w:val="28"/>
                <w:szCs w:val="28"/>
              </w:rPr>
              <w:t>利，並應根據其國內法律，採取必要措施以充分實現此一權利。</w:t>
            </w:r>
          </w:p>
          <w:p w14:paraId="2D7DB681" w14:textId="77777777" w:rsidR="0067212E" w:rsidRPr="005E758A" w:rsidRDefault="0067212E" w:rsidP="002B035C">
            <w:pPr>
              <w:pStyle w:val="a0"/>
              <w:numPr>
                <w:ilvl w:val="0"/>
                <w:numId w:val="172"/>
              </w:numPr>
              <w:snapToGrid w:val="0"/>
              <w:ind w:leftChars="0"/>
              <w:rPr>
                <w:rFonts w:ascii="Times New Roman" w:eastAsia="標楷體" w:hAnsi="Times New Roman"/>
                <w:b/>
                <w:sz w:val="28"/>
              </w:rPr>
            </w:pPr>
            <w:r w:rsidRPr="005E758A">
              <w:rPr>
                <w:rFonts w:ascii="Times New Roman" w:eastAsia="標楷體" w:hAnsi="Times New Roman"/>
                <w:sz w:val="28"/>
                <w:szCs w:val="28"/>
              </w:rPr>
              <w:t>該項給付應依其情節，並考慮</w:t>
            </w:r>
            <w:proofErr w:type="gramStart"/>
            <w:r w:rsidRPr="005E758A">
              <w:rPr>
                <w:rFonts w:ascii="Times New Roman" w:eastAsia="標楷體" w:hAnsi="Times New Roman"/>
                <w:sz w:val="28"/>
                <w:szCs w:val="28"/>
              </w:rPr>
              <w:t>兒童與負有</w:t>
            </w:r>
            <w:proofErr w:type="gramEnd"/>
            <w:r w:rsidRPr="005E758A">
              <w:rPr>
                <w:rFonts w:ascii="Times New Roman" w:eastAsia="標楷體" w:hAnsi="Times New Roman"/>
                <w:sz w:val="28"/>
                <w:szCs w:val="28"/>
              </w:rPr>
              <w:t>扶養兒童義務者之資源及環境，以及兒童本人或代其提出申請有關之其他因素，作為決定給付之參考。</w:t>
            </w:r>
          </w:p>
        </w:tc>
      </w:tr>
    </w:tbl>
    <w:p w14:paraId="0A79ECB3" w14:textId="77777777" w:rsidR="0067212E" w:rsidRPr="0067212E" w:rsidRDefault="0067212E" w:rsidP="0067212E">
      <w:pPr>
        <w:snapToGrid w:val="0"/>
        <w:spacing w:before="100" w:beforeAutospacing="1" w:after="100" w:afterAutospacing="1"/>
        <w:jc w:val="both"/>
        <w:rPr>
          <w:sz w:val="28"/>
        </w:rPr>
      </w:pPr>
    </w:p>
    <w:p w14:paraId="027A4C06" w14:textId="77777777" w:rsidR="002100BC" w:rsidRPr="005E758A" w:rsidRDefault="002100BC" w:rsidP="00F02A5C">
      <w:pPr>
        <w:pStyle w:val="2"/>
        <w:numPr>
          <w:ilvl w:val="0"/>
          <w:numId w:val="173"/>
        </w:numPr>
      </w:pPr>
      <w:r w:rsidRPr="005E758A">
        <w:t>規範宗旨</w:t>
      </w:r>
    </w:p>
    <w:p w14:paraId="28C3301D" w14:textId="77777777" w:rsidR="002100BC" w:rsidRPr="005E758A" w:rsidRDefault="002100BC" w:rsidP="002100BC">
      <w:pPr>
        <w:snapToGrid w:val="0"/>
        <w:spacing w:before="100" w:beforeAutospacing="1" w:after="100" w:afterAutospacing="1"/>
        <w:ind w:firstLineChars="200" w:firstLine="560"/>
        <w:jc w:val="both"/>
        <w:rPr>
          <w:sz w:val="28"/>
          <w:szCs w:val="28"/>
        </w:rPr>
      </w:pPr>
      <w:r w:rsidRPr="005E758A">
        <w:rPr>
          <w:sz w:val="28"/>
          <w:szCs w:val="28"/>
        </w:rPr>
        <w:t>本條係規範兒童享有受到國家社會安全保障的權利。相較於類似之國際規範，如經濟社會及文化權利國際公約第</w:t>
      </w:r>
      <w:r w:rsidRPr="005E758A">
        <w:rPr>
          <w:sz w:val="28"/>
          <w:szCs w:val="28"/>
        </w:rPr>
        <w:t>9</w:t>
      </w:r>
      <w:r w:rsidRPr="005E758A">
        <w:rPr>
          <w:sz w:val="28"/>
          <w:szCs w:val="28"/>
        </w:rPr>
        <w:t>條，本條係確保兒童「能受到社會安全保障」的權利，而非兒童的「社會安全權利」</w:t>
      </w:r>
      <w:r w:rsidRPr="005E758A">
        <w:rPr>
          <w:sz w:val="28"/>
          <w:szCs w:val="28"/>
        </w:rPr>
        <w:t>(the right to social security)</w:t>
      </w:r>
      <w:bookmarkStart w:id="77" w:name="_Ref430781081"/>
      <w:r w:rsidRPr="005E758A">
        <w:rPr>
          <w:rStyle w:val="af3"/>
          <w:sz w:val="28"/>
          <w:szCs w:val="28"/>
        </w:rPr>
        <w:endnoteReference w:id="342"/>
      </w:r>
      <w:bookmarkEnd w:id="77"/>
      <w:r w:rsidRPr="005E758A">
        <w:rPr>
          <w:sz w:val="28"/>
          <w:szCs w:val="28"/>
        </w:rPr>
        <w:t>。此一區別係為反應兒童必須仰賴父母</w:t>
      </w:r>
      <w:r w:rsidRPr="005E758A">
        <w:rPr>
          <w:sz w:val="28"/>
          <w:szCs w:val="28"/>
        </w:rPr>
        <w:t>(</w:t>
      </w:r>
      <w:r w:rsidRPr="005E758A">
        <w:rPr>
          <w:sz w:val="28"/>
          <w:szCs w:val="28"/>
        </w:rPr>
        <w:t>或照顧者</w:t>
      </w:r>
      <w:r w:rsidRPr="005E758A">
        <w:rPr>
          <w:sz w:val="28"/>
          <w:szCs w:val="28"/>
        </w:rPr>
        <w:t>)</w:t>
      </w:r>
      <w:r w:rsidRPr="005E758A">
        <w:rPr>
          <w:sz w:val="28"/>
          <w:szCs w:val="28"/>
        </w:rPr>
        <w:t>來確保其生活所必需，因此兒童社會安全的權利通常是透過父母或監護人而獲得滿足。儘管如此，兒童本身仍然享有以自身名義提出申請的權利</w:t>
      </w:r>
      <w:bookmarkStart w:id="78" w:name="_Ref430781089"/>
      <w:r w:rsidRPr="005E758A">
        <w:rPr>
          <w:rStyle w:val="af3"/>
          <w:sz w:val="28"/>
          <w:szCs w:val="28"/>
        </w:rPr>
        <w:endnoteReference w:id="343"/>
      </w:r>
      <w:bookmarkEnd w:id="78"/>
      <w:r w:rsidRPr="005E758A">
        <w:rPr>
          <w:sz w:val="28"/>
          <w:szCs w:val="28"/>
        </w:rPr>
        <w:t>。</w:t>
      </w:r>
    </w:p>
    <w:p w14:paraId="63198946" w14:textId="77777777" w:rsidR="002100BC" w:rsidRPr="005E758A" w:rsidRDefault="002100BC" w:rsidP="002100BC">
      <w:pPr>
        <w:snapToGrid w:val="0"/>
        <w:spacing w:before="100" w:beforeAutospacing="1" w:after="100" w:afterAutospacing="1"/>
        <w:ind w:firstLineChars="200" w:firstLine="560"/>
        <w:jc w:val="both"/>
        <w:rPr>
          <w:sz w:val="28"/>
          <w:szCs w:val="28"/>
        </w:rPr>
      </w:pPr>
      <w:r w:rsidRPr="005E758A">
        <w:rPr>
          <w:sz w:val="28"/>
          <w:szCs w:val="28"/>
        </w:rPr>
        <w:t>基於上述精神，本條第</w:t>
      </w:r>
      <w:r w:rsidRPr="005E758A">
        <w:rPr>
          <w:sz w:val="28"/>
          <w:szCs w:val="28"/>
        </w:rPr>
        <w:t>2</w:t>
      </w:r>
      <w:r w:rsidRPr="005E758A">
        <w:rPr>
          <w:sz w:val="28"/>
          <w:szCs w:val="28"/>
        </w:rPr>
        <w:t>項規定社會安全之給付應考量兒童扶養者的情況與資源。</w:t>
      </w:r>
      <w:proofErr w:type="gramStart"/>
      <w:r w:rsidRPr="005E758A">
        <w:rPr>
          <w:sz w:val="28"/>
          <w:szCs w:val="28"/>
        </w:rPr>
        <w:t>此外，</w:t>
      </w:r>
      <w:proofErr w:type="gramEnd"/>
      <w:r w:rsidRPr="005E758A">
        <w:rPr>
          <w:sz w:val="28"/>
          <w:szCs w:val="28"/>
        </w:rPr>
        <w:t>由本條條文協商記錄可知，受本條保障之對象究應包括「所有兒童」還是僅限於符合資格的特定兒童，各國代表存有歧異；協商結果採取後者，為排除富人子女之適用預留了空間</w:t>
      </w:r>
      <w:r w:rsidRPr="005E758A">
        <w:rPr>
          <w:rStyle w:val="af3"/>
          <w:sz w:val="28"/>
          <w:szCs w:val="28"/>
        </w:rPr>
        <w:endnoteReference w:id="344"/>
      </w:r>
      <w:r w:rsidRPr="005E758A">
        <w:rPr>
          <w:sz w:val="28"/>
          <w:szCs w:val="28"/>
        </w:rPr>
        <w:t>。</w:t>
      </w:r>
    </w:p>
    <w:p w14:paraId="65B430DF" w14:textId="77777777" w:rsidR="002100BC" w:rsidRPr="005E758A" w:rsidRDefault="002100BC" w:rsidP="002100BC">
      <w:pPr>
        <w:pStyle w:val="2"/>
        <w:numPr>
          <w:ilvl w:val="0"/>
          <w:numId w:val="4"/>
        </w:numPr>
      </w:pPr>
      <w:r w:rsidRPr="005E758A">
        <w:t>條文要義</w:t>
      </w:r>
    </w:p>
    <w:p w14:paraId="4CC3D12C" w14:textId="77777777" w:rsidR="002100BC" w:rsidRPr="005E758A" w:rsidRDefault="002100BC" w:rsidP="00F02A5C">
      <w:pPr>
        <w:pStyle w:val="3"/>
        <w:numPr>
          <w:ilvl w:val="0"/>
          <w:numId w:val="174"/>
        </w:numPr>
      </w:pPr>
      <w:r w:rsidRPr="005E758A">
        <w:t>第</w:t>
      </w:r>
      <w:r w:rsidRPr="005E758A">
        <w:t>26</w:t>
      </w:r>
      <w:r w:rsidRPr="005E758A">
        <w:t>條第</w:t>
      </w:r>
      <w:r w:rsidRPr="005E758A">
        <w:t>1</w:t>
      </w:r>
      <w:r w:rsidRPr="005E758A">
        <w:t>項</w:t>
      </w:r>
    </w:p>
    <w:p w14:paraId="0F3C6FFC" w14:textId="77777777" w:rsidR="002100BC" w:rsidRPr="005E758A" w:rsidRDefault="002100BC" w:rsidP="002100BC">
      <w:pPr>
        <w:snapToGrid w:val="0"/>
        <w:spacing w:before="100" w:beforeAutospacing="1" w:after="100" w:afterAutospacing="1"/>
        <w:ind w:firstLineChars="200" w:firstLine="560"/>
        <w:jc w:val="both"/>
        <w:rPr>
          <w:sz w:val="28"/>
          <w:szCs w:val="28"/>
        </w:rPr>
      </w:pPr>
      <w:r w:rsidRPr="005E758A">
        <w:rPr>
          <w:sz w:val="28"/>
          <w:szCs w:val="28"/>
        </w:rPr>
        <w:t>依據國際勞工組織第</w:t>
      </w:r>
      <w:r w:rsidRPr="005E758A">
        <w:rPr>
          <w:sz w:val="28"/>
          <w:szCs w:val="28"/>
        </w:rPr>
        <w:t>102</w:t>
      </w:r>
      <w:r w:rsidRPr="005E758A">
        <w:rPr>
          <w:sz w:val="28"/>
          <w:szCs w:val="28"/>
        </w:rPr>
        <w:t>號公約</w:t>
      </w:r>
      <w:r w:rsidR="0067212E">
        <w:rPr>
          <w:rFonts w:hint="eastAsia"/>
          <w:sz w:val="28"/>
          <w:szCs w:val="28"/>
        </w:rPr>
        <w:t>（</w:t>
      </w:r>
      <w:r w:rsidRPr="005E758A">
        <w:rPr>
          <w:sz w:val="28"/>
          <w:szCs w:val="28"/>
        </w:rPr>
        <w:t>1952</w:t>
      </w:r>
      <w:r w:rsidRPr="005E758A">
        <w:rPr>
          <w:sz w:val="28"/>
          <w:szCs w:val="28"/>
        </w:rPr>
        <w:t>年</w:t>
      </w:r>
      <w:r w:rsidR="0067212E">
        <w:rPr>
          <w:rFonts w:hint="eastAsia"/>
          <w:sz w:val="28"/>
          <w:szCs w:val="28"/>
        </w:rPr>
        <w:t>）</w:t>
      </w:r>
      <w:r w:rsidRPr="005E758A">
        <w:rPr>
          <w:sz w:val="28"/>
          <w:szCs w:val="28"/>
        </w:rPr>
        <w:t>之規範，</w:t>
      </w:r>
      <w:proofErr w:type="gramStart"/>
      <w:r w:rsidRPr="005E758A">
        <w:rPr>
          <w:sz w:val="28"/>
          <w:szCs w:val="28"/>
        </w:rPr>
        <w:t>，</w:t>
      </w:r>
      <w:proofErr w:type="gramEnd"/>
      <w:r w:rsidRPr="005E758A">
        <w:rPr>
          <w:sz w:val="28"/>
          <w:szCs w:val="28"/>
        </w:rPr>
        <w:t>「社會安全」的基本要素包括針對生產、疾病、失業、職業災害、失能、老年等所提供之醫療照護與給付。而本條約特別載明「包括社會保險之社會安全」的規範文字則與</w:t>
      </w:r>
      <w:r w:rsidR="0067212E">
        <w:rPr>
          <w:rFonts w:hint="eastAsia"/>
          <w:sz w:val="28"/>
          <w:szCs w:val="28"/>
        </w:rPr>
        <w:t>《</w:t>
      </w:r>
      <w:r w:rsidRPr="005E758A">
        <w:rPr>
          <w:sz w:val="28"/>
          <w:szCs w:val="28"/>
        </w:rPr>
        <w:t>經濟社會文化權利國際公約</w:t>
      </w:r>
      <w:r w:rsidR="0067212E">
        <w:rPr>
          <w:rFonts w:hint="eastAsia"/>
          <w:sz w:val="28"/>
          <w:szCs w:val="28"/>
        </w:rPr>
        <w:t>》</w:t>
      </w:r>
      <w:r w:rsidRPr="005E758A">
        <w:rPr>
          <w:sz w:val="28"/>
          <w:szCs w:val="28"/>
        </w:rPr>
        <w:t>第</w:t>
      </w:r>
      <w:r w:rsidRPr="005E758A">
        <w:rPr>
          <w:sz w:val="28"/>
          <w:szCs w:val="28"/>
        </w:rPr>
        <w:t>9</w:t>
      </w:r>
      <w:r w:rsidRPr="005E758A">
        <w:rPr>
          <w:sz w:val="28"/>
          <w:szCs w:val="28"/>
        </w:rPr>
        <w:t>條一致</w:t>
      </w:r>
      <w:r w:rsidRPr="005E758A">
        <w:rPr>
          <w:rStyle w:val="af3"/>
          <w:sz w:val="28"/>
          <w:szCs w:val="28"/>
        </w:rPr>
        <w:endnoteReference w:id="345"/>
      </w:r>
      <w:r w:rsidRPr="005E758A">
        <w:rPr>
          <w:sz w:val="28"/>
          <w:szCs w:val="28"/>
        </w:rPr>
        <w:t>。</w:t>
      </w:r>
    </w:p>
    <w:p w14:paraId="1CA0D8B6" w14:textId="77777777" w:rsidR="002100BC" w:rsidRPr="005E758A" w:rsidRDefault="002100BC" w:rsidP="002100BC">
      <w:pPr>
        <w:pStyle w:val="3"/>
        <w:numPr>
          <w:ilvl w:val="0"/>
          <w:numId w:val="8"/>
        </w:numPr>
      </w:pPr>
      <w:r w:rsidRPr="005E758A">
        <w:t>第</w:t>
      </w:r>
      <w:r w:rsidRPr="005E758A">
        <w:t>26</w:t>
      </w:r>
      <w:r w:rsidRPr="005E758A">
        <w:t>條第</w:t>
      </w:r>
      <w:r w:rsidRPr="005E758A">
        <w:t>2</w:t>
      </w:r>
      <w:r w:rsidRPr="005E758A">
        <w:t>項</w:t>
      </w:r>
    </w:p>
    <w:p w14:paraId="61A68080" w14:textId="77777777" w:rsidR="002100BC" w:rsidRPr="005E758A" w:rsidRDefault="002100BC" w:rsidP="002100BC">
      <w:pPr>
        <w:snapToGrid w:val="0"/>
        <w:spacing w:before="100" w:beforeAutospacing="1" w:after="100" w:afterAutospacing="1"/>
        <w:ind w:firstLineChars="200" w:firstLine="560"/>
        <w:jc w:val="both"/>
        <w:rPr>
          <w:sz w:val="28"/>
        </w:rPr>
      </w:pPr>
      <w:r w:rsidRPr="005E758A">
        <w:rPr>
          <w:sz w:val="28"/>
          <w:szCs w:val="28"/>
        </w:rPr>
        <w:t>有關本項所指「考慮</w:t>
      </w:r>
      <w:proofErr w:type="gramStart"/>
      <w:r w:rsidRPr="005E758A">
        <w:rPr>
          <w:sz w:val="28"/>
          <w:szCs w:val="28"/>
        </w:rPr>
        <w:t>兒童與負有</w:t>
      </w:r>
      <w:proofErr w:type="gramEnd"/>
      <w:r w:rsidRPr="005E758A">
        <w:rPr>
          <w:sz w:val="28"/>
          <w:szCs w:val="28"/>
        </w:rPr>
        <w:t>扶養兒童義務者之資源及環境」，</w:t>
      </w:r>
      <w:r w:rsidRPr="005E758A">
        <w:rPr>
          <w:sz w:val="28"/>
        </w:rPr>
        <w:t>依據聯合國兒童基金會執行手冊之說明，考量國家資源必須有效地利</w:t>
      </w:r>
      <w:r w:rsidRPr="005E758A">
        <w:rPr>
          <w:sz w:val="28"/>
        </w:rPr>
        <w:lastRenderedPageBreak/>
        <w:t>用，因此「以資產調查為前提之兒童社會安全」一般被認為是符合期待的。但某種程度的提供兒童全面性的經濟支持，不論其父母之資歷，亦非不合理。因此，國家提供租稅優惠或直接付予有子女之家庭的作法應值得鼓勵。惟當給付係以資產調查為前提時，應特別注意不得造成歧視或對受領給付之兒童及其家庭帶來負面標籤的效應</w:t>
      </w:r>
      <w:r w:rsidRPr="005E758A">
        <w:rPr>
          <w:rStyle w:val="af3"/>
          <w:sz w:val="28"/>
        </w:rPr>
        <w:endnoteReference w:id="346"/>
      </w:r>
      <w:r w:rsidRPr="005E758A">
        <w:rPr>
          <w:sz w:val="28"/>
        </w:rPr>
        <w:t>。</w:t>
      </w:r>
    </w:p>
    <w:p w14:paraId="4B9CAC28" w14:textId="77777777" w:rsidR="002100BC" w:rsidRPr="005E758A" w:rsidRDefault="002100BC" w:rsidP="002100BC">
      <w:pPr>
        <w:snapToGrid w:val="0"/>
        <w:spacing w:before="100" w:beforeAutospacing="1" w:after="100" w:afterAutospacing="1"/>
        <w:ind w:firstLineChars="200" w:firstLine="560"/>
        <w:jc w:val="both"/>
        <w:rPr>
          <w:sz w:val="28"/>
        </w:rPr>
      </w:pPr>
      <w:proofErr w:type="gramStart"/>
      <w:r w:rsidRPr="005E758A">
        <w:rPr>
          <w:sz w:val="28"/>
        </w:rPr>
        <w:t>本項並規範</w:t>
      </w:r>
      <w:proofErr w:type="gramEnd"/>
      <w:r w:rsidRPr="005E758A">
        <w:rPr>
          <w:sz w:val="28"/>
        </w:rPr>
        <w:t>相關申請得由「兒童本人」提出，兒童不需要</w:t>
      </w:r>
      <w:r w:rsidR="0067212E">
        <w:rPr>
          <w:rFonts w:hint="eastAsia"/>
          <w:sz w:val="28"/>
        </w:rPr>
        <w:t>（</w:t>
      </w:r>
      <w:r w:rsidRPr="005E758A">
        <w:rPr>
          <w:sz w:val="28"/>
        </w:rPr>
        <w:t>或者是說不應該</w:t>
      </w:r>
      <w:r w:rsidR="0067212E">
        <w:rPr>
          <w:rFonts w:hint="eastAsia"/>
          <w:sz w:val="28"/>
        </w:rPr>
        <w:t>）</w:t>
      </w:r>
      <w:r w:rsidRPr="005E758A">
        <w:rPr>
          <w:sz w:val="28"/>
        </w:rPr>
        <w:t>只能透過父母獲得社會安全給付</w:t>
      </w:r>
      <w:r w:rsidRPr="005E758A">
        <w:rPr>
          <w:rStyle w:val="af3"/>
          <w:sz w:val="28"/>
        </w:rPr>
        <w:endnoteReference w:id="347"/>
      </w:r>
      <w:r w:rsidRPr="005E758A">
        <w:rPr>
          <w:sz w:val="28"/>
        </w:rPr>
        <w:t>。因此本條明確規定兒童得以自身名義提出社會安全之相關申請</w:t>
      </w:r>
      <w:r w:rsidRPr="005E758A">
        <w:rPr>
          <w:rStyle w:val="af3"/>
          <w:sz w:val="28"/>
        </w:rPr>
        <w:endnoteReference w:id="348"/>
      </w:r>
      <w:r w:rsidRPr="005E758A">
        <w:rPr>
          <w:sz w:val="28"/>
        </w:rPr>
        <w:t>。</w:t>
      </w:r>
    </w:p>
    <w:p w14:paraId="54854575" w14:textId="77777777" w:rsidR="002100BC" w:rsidRPr="005E758A" w:rsidRDefault="002100BC" w:rsidP="009F66C9">
      <w:pPr>
        <w:pStyle w:val="2"/>
      </w:pPr>
      <w:r w:rsidRPr="005E758A">
        <w:t>案例介紹</w:t>
      </w:r>
    </w:p>
    <w:p w14:paraId="17C68BEC" w14:textId="77777777" w:rsidR="00E577BC" w:rsidRPr="005E758A" w:rsidRDefault="00E577BC" w:rsidP="00E577BC">
      <w:pPr>
        <w:pStyle w:val="3"/>
        <w:numPr>
          <w:ilvl w:val="0"/>
          <w:numId w:val="175"/>
        </w:numPr>
        <w:rPr>
          <w:shd w:val="clear" w:color="auto" w:fill="FFFFFF"/>
        </w:rPr>
      </w:pPr>
      <w:r w:rsidRPr="005E758A">
        <w:t>2006</w:t>
      </w:r>
      <w:r w:rsidRPr="005E758A">
        <w:t>年拉托維亞憲法法院社會救助津貼案：</w:t>
      </w:r>
      <w:r w:rsidRPr="005E758A">
        <w:rPr>
          <w:shd w:val="clear" w:color="auto" w:fill="FFFFFF"/>
        </w:rPr>
        <w:t xml:space="preserve">On the Compliance of that Paragraph of Section 1 of the Law </w:t>
      </w:r>
      <w:r>
        <w:rPr>
          <w:shd w:val="clear" w:color="auto" w:fill="FFFFFF"/>
        </w:rPr>
        <w:t>“</w:t>
      </w:r>
      <w:r w:rsidRPr="005E758A">
        <w:rPr>
          <w:shd w:val="clear" w:color="auto" w:fill="FFFFFF"/>
        </w:rPr>
        <w:t>Amendments to the Law on State Social Allowances</w:t>
      </w:r>
      <w:r>
        <w:rPr>
          <w:shd w:val="clear" w:color="auto" w:fill="FFFFFF"/>
        </w:rPr>
        <w:t>”</w:t>
      </w:r>
      <w:r w:rsidRPr="005E758A">
        <w:rPr>
          <w:shd w:val="clear" w:color="auto" w:fill="FFFFFF"/>
        </w:rPr>
        <w:t xml:space="preserve"> by which a New Item has been Incorporated into the State Social Allowances Law as well as the Compliance of its Section 2 with Section 110 of the Republic of Latvia </w:t>
      </w:r>
      <w:proofErr w:type="spellStart"/>
      <w:r w:rsidRPr="005E758A">
        <w:rPr>
          <w:shd w:val="clear" w:color="auto" w:fill="FFFFFF"/>
        </w:rPr>
        <w:t>Satversme</w:t>
      </w:r>
      <w:proofErr w:type="spellEnd"/>
      <w:r w:rsidRPr="005E758A">
        <w:rPr>
          <w:shd w:val="clear" w:color="auto" w:fill="FFFFFF"/>
        </w:rPr>
        <w:t xml:space="preserve"> (Constitution)</w:t>
      </w:r>
      <w:r w:rsidRPr="005E758A">
        <w:rPr>
          <w:rStyle w:val="af3"/>
          <w:shd w:val="clear" w:color="auto" w:fill="FFFFFF"/>
        </w:rPr>
        <w:endnoteReference w:id="349"/>
      </w:r>
    </w:p>
    <w:p w14:paraId="36F29E39" w14:textId="77777777" w:rsidR="00E577BC" w:rsidRPr="005E758A" w:rsidRDefault="00E577BC" w:rsidP="00E577BC">
      <w:pPr>
        <w:snapToGrid w:val="0"/>
        <w:spacing w:before="100" w:beforeAutospacing="1" w:after="100" w:afterAutospacing="1"/>
        <w:ind w:firstLineChars="200" w:firstLine="560"/>
        <w:jc w:val="both"/>
        <w:rPr>
          <w:sz w:val="28"/>
        </w:rPr>
      </w:pPr>
      <w:r w:rsidRPr="005E758A">
        <w:rPr>
          <w:sz w:val="28"/>
        </w:rPr>
        <w:t>拉托維亞國家社會救助津貼修正法案規定：</w:t>
      </w:r>
      <w:r w:rsidRPr="005E758A">
        <w:rPr>
          <w:sz w:val="28"/>
        </w:rPr>
        <w:t>(1)</w:t>
      </w:r>
      <w:r w:rsidRPr="005E758A">
        <w:rPr>
          <w:sz w:val="28"/>
        </w:rPr>
        <w:t>父母一方兼職或專職所領取之育兒津貼與失業的父母相同，</w:t>
      </w:r>
      <w:r w:rsidRPr="005E758A">
        <w:rPr>
          <w:sz w:val="28"/>
        </w:rPr>
        <w:t>(2)</w:t>
      </w:r>
      <w:r w:rsidRPr="005E758A">
        <w:rPr>
          <w:sz w:val="28"/>
        </w:rPr>
        <w:t>父母一方</w:t>
      </w:r>
      <w:proofErr w:type="gramStart"/>
      <w:r w:rsidRPr="005E758A">
        <w:rPr>
          <w:sz w:val="28"/>
        </w:rPr>
        <w:t>受雇但未</w:t>
      </w:r>
      <w:proofErr w:type="gramEnd"/>
      <w:r w:rsidRPr="005E758A">
        <w:rPr>
          <w:sz w:val="28"/>
        </w:rPr>
        <w:t>請</w:t>
      </w:r>
      <w:proofErr w:type="gramStart"/>
      <w:r w:rsidRPr="005E758A">
        <w:rPr>
          <w:sz w:val="28"/>
        </w:rPr>
        <w:t>育嬰假所領取</w:t>
      </w:r>
      <w:proofErr w:type="gramEnd"/>
      <w:r w:rsidRPr="005E758A">
        <w:rPr>
          <w:sz w:val="28"/>
        </w:rPr>
        <w:t>的育兒津貼係受雇父母准予放</w:t>
      </w:r>
      <w:proofErr w:type="gramStart"/>
      <w:r w:rsidRPr="005E758A">
        <w:rPr>
          <w:sz w:val="28"/>
        </w:rPr>
        <w:t>育嬰假者之</w:t>
      </w:r>
      <w:proofErr w:type="gramEnd"/>
      <w:r w:rsidRPr="005E758A">
        <w:rPr>
          <w:sz w:val="28"/>
        </w:rPr>
        <w:t>一半。</w:t>
      </w:r>
      <w:r w:rsidRPr="005E758A">
        <w:rPr>
          <w:sz w:val="28"/>
        </w:rPr>
        <w:t>20</w:t>
      </w:r>
      <w:r w:rsidRPr="005E758A">
        <w:rPr>
          <w:sz w:val="28"/>
        </w:rPr>
        <w:t>位拉托維亞議員向憲法法院提出此修正案應屬違憲，蓋其不合理地限制父母及兒童的權利。</w:t>
      </w:r>
    </w:p>
    <w:p w14:paraId="14ACC11C" w14:textId="77777777" w:rsidR="00E577BC" w:rsidRPr="005E758A" w:rsidRDefault="00E577BC" w:rsidP="00E577BC">
      <w:pPr>
        <w:snapToGrid w:val="0"/>
        <w:spacing w:before="100" w:beforeAutospacing="1" w:after="100" w:afterAutospacing="1"/>
        <w:ind w:firstLineChars="200" w:firstLine="560"/>
        <w:jc w:val="both"/>
        <w:rPr>
          <w:sz w:val="28"/>
        </w:rPr>
      </w:pPr>
      <w:r w:rsidRPr="005E758A">
        <w:rPr>
          <w:sz w:val="28"/>
        </w:rPr>
        <w:t>法院判決，育兒津貼的發放以父母是否受雇為標準乃屬合憲，然而，法律所提供之數額並不足夠。而且此將歧視性地對待兼職和全職父母，特別是其所處經濟情況不同為前提下，卻使其所領取之育兒津貼皆相同。</w:t>
      </w:r>
    </w:p>
    <w:p w14:paraId="4278FED4" w14:textId="77777777" w:rsidR="00E577BC" w:rsidRPr="005E758A" w:rsidRDefault="00E577BC" w:rsidP="00E577BC">
      <w:pPr>
        <w:snapToGrid w:val="0"/>
        <w:spacing w:before="100" w:beforeAutospacing="1" w:after="100" w:afterAutospacing="1"/>
        <w:ind w:firstLineChars="200" w:firstLine="560"/>
        <w:jc w:val="both"/>
        <w:rPr>
          <w:sz w:val="28"/>
        </w:rPr>
      </w:pPr>
      <w:r w:rsidRPr="005E758A">
        <w:rPr>
          <w:sz w:val="28"/>
        </w:rPr>
        <w:t>憲法第</w:t>
      </w:r>
      <w:r w:rsidRPr="005E758A">
        <w:rPr>
          <w:sz w:val="28"/>
        </w:rPr>
        <w:t>110</w:t>
      </w:r>
      <w:r w:rsidRPr="005E758A">
        <w:rPr>
          <w:sz w:val="28"/>
        </w:rPr>
        <w:t>條建立了國家支持家庭和兒童之責任，此並非創設了主觀權利使個人得以請求特定形式或數量的津貼。拉托維亞所批准之國際文件裡亦有關於此種支持兒童和家庭之權利。如兒童權利公約第</w:t>
      </w:r>
      <w:r w:rsidRPr="005E758A">
        <w:rPr>
          <w:sz w:val="28"/>
        </w:rPr>
        <w:t>26</w:t>
      </w:r>
      <w:r w:rsidRPr="005E758A">
        <w:rPr>
          <w:sz w:val="28"/>
        </w:rPr>
        <w:t>條及第</w:t>
      </w:r>
      <w:r w:rsidRPr="005E758A">
        <w:rPr>
          <w:sz w:val="28"/>
        </w:rPr>
        <w:t>27</w:t>
      </w:r>
      <w:r w:rsidRPr="005E758A">
        <w:rPr>
          <w:sz w:val="28"/>
        </w:rPr>
        <w:t>條即規定，兒童有權受有包括社會保險之社會安全給付之權利及享有適於其生理、心理、精神、道德與社會發展之生活水準。然而，此規定之爭議係國家立法權限內所能決定之津貼數額，而國家對發放此津貼具有裁量權。</w:t>
      </w:r>
    </w:p>
    <w:p w14:paraId="36D4D293" w14:textId="77777777" w:rsidR="00E577BC" w:rsidRPr="005E758A" w:rsidRDefault="00E577BC" w:rsidP="00E577BC">
      <w:pPr>
        <w:snapToGrid w:val="0"/>
        <w:spacing w:before="100" w:beforeAutospacing="1" w:after="100" w:afterAutospacing="1"/>
        <w:ind w:firstLineChars="200" w:firstLine="560"/>
        <w:jc w:val="both"/>
        <w:rPr>
          <w:sz w:val="28"/>
        </w:rPr>
      </w:pPr>
      <w:proofErr w:type="gramStart"/>
      <w:r w:rsidRPr="005E758A">
        <w:rPr>
          <w:sz w:val="28"/>
        </w:rPr>
        <w:t>此外，</w:t>
      </w:r>
      <w:proofErr w:type="gramEnd"/>
      <w:r w:rsidRPr="005E758A">
        <w:rPr>
          <w:sz w:val="28"/>
        </w:rPr>
        <w:t>發放相同數額之育兒津貼予兼職和專職之工作者係不合理且不合乎比例。父母兼職之一方，僅因其兼職而賺得比較少時，將會</w:t>
      </w:r>
      <w:r w:rsidRPr="005E758A">
        <w:rPr>
          <w:sz w:val="28"/>
        </w:rPr>
        <w:lastRenderedPageBreak/>
        <w:t>被迫使須工作更多時數以彌補失去的津貼。這不是對兒童之最佳利益之維護，蓋兼職之工作者從根本上與全職工作者之環境全然不同，但卻施以平等之對待係不合理而為違憲。本條規定其實係延續第</w:t>
      </w:r>
      <w:r w:rsidRPr="005E758A">
        <w:rPr>
          <w:sz w:val="28"/>
        </w:rPr>
        <w:t>18</w:t>
      </w:r>
      <w:r w:rsidRPr="005E758A">
        <w:rPr>
          <w:sz w:val="28"/>
        </w:rPr>
        <w:t>條確認父母及法定監護人負有主要養育責任而衍生之國家責任。</w:t>
      </w:r>
      <w:proofErr w:type="gramStart"/>
      <w:r w:rsidRPr="005E758A">
        <w:rPr>
          <w:sz w:val="28"/>
        </w:rPr>
        <w:t>惟</w:t>
      </w:r>
      <w:proofErr w:type="gramEnd"/>
      <w:r w:rsidRPr="005E758A">
        <w:rPr>
          <w:sz w:val="28"/>
        </w:rPr>
        <w:t>由於本條係屬於社會福祉方面的權利，故其範圍及給付程度，依第</w:t>
      </w:r>
      <w:r w:rsidRPr="005E758A">
        <w:rPr>
          <w:sz w:val="28"/>
        </w:rPr>
        <w:t>4</w:t>
      </w:r>
      <w:r w:rsidRPr="005E758A">
        <w:rPr>
          <w:sz w:val="28"/>
        </w:rPr>
        <w:t>條之規定，由國家就其最大可用之資源，視需要</w:t>
      </w:r>
      <w:proofErr w:type="gramStart"/>
      <w:r w:rsidRPr="005E758A">
        <w:rPr>
          <w:sz w:val="28"/>
        </w:rPr>
        <w:t>採</w:t>
      </w:r>
      <w:proofErr w:type="gramEnd"/>
      <w:r w:rsidRPr="005E758A">
        <w:rPr>
          <w:sz w:val="28"/>
        </w:rPr>
        <w:t>行之。換言之，本條規範的實現具有漸進性。</w:t>
      </w:r>
    </w:p>
    <w:p w14:paraId="1D9F16CA" w14:textId="77777777" w:rsidR="002100BC" w:rsidRPr="005E758A" w:rsidRDefault="002100BC" w:rsidP="00F02A5C">
      <w:pPr>
        <w:pStyle w:val="3"/>
        <w:numPr>
          <w:ilvl w:val="0"/>
          <w:numId w:val="175"/>
        </w:numPr>
      </w:pPr>
      <w:r w:rsidRPr="005E758A">
        <w:t>2011</w:t>
      </w:r>
      <w:r w:rsidRPr="005E758A">
        <w:t>年葡萄牙法院憲法法院社會救助基金案：</w:t>
      </w:r>
      <w:r w:rsidRPr="005E758A">
        <w:t>Ruling No. 54/11</w:t>
      </w:r>
      <w:r w:rsidRPr="005E758A">
        <w:rPr>
          <w:rStyle w:val="af3"/>
        </w:rPr>
        <w:endnoteReference w:id="350"/>
      </w:r>
    </w:p>
    <w:p w14:paraId="7B39FE7F" w14:textId="77777777" w:rsidR="002100BC" w:rsidRPr="005E758A" w:rsidRDefault="002100BC" w:rsidP="002100BC">
      <w:pPr>
        <w:snapToGrid w:val="0"/>
        <w:spacing w:before="100" w:beforeAutospacing="1" w:after="100" w:afterAutospacing="1"/>
        <w:ind w:firstLineChars="200" w:firstLine="560"/>
        <w:jc w:val="both"/>
        <w:rPr>
          <w:sz w:val="28"/>
        </w:rPr>
      </w:pPr>
      <w:r w:rsidRPr="005E758A">
        <w:rPr>
          <w:sz w:val="28"/>
        </w:rPr>
        <w:t>本案係由檢察官上訴，因下級法院裁定一位母親得以其前夫所積欠兩名子女的撫養費支出取代基於維護未成年人之保障基金</w:t>
      </w:r>
      <w:r w:rsidRPr="005E758A">
        <w:rPr>
          <w:sz w:val="28"/>
        </w:rPr>
        <w:t>(Fund for Guaranteeing the Maintenance Due to Minors)</w:t>
      </w:r>
      <w:r w:rsidRPr="005E758A">
        <w:rPr>
          <w:sz w:val="28"/>
        </w:rPr>
        <w:t>。</w:t>
      </w:r>
    </w:p>
    <w:p w14:paraId="7AE55A66" w14:textId="77777777" w:rsidR="002100BC" w:rsidRPr="005E758A" w:rsidRDefault="002100BC" w:rsidP="002100BC">
      <w:pPr>
        <w:snapToGrid w:val="0"/>
        <w:spacing w:before="100" w:beforeAutospacing="1" w:after="100" w:afterAutospacing="1"/>
        <w:ind w:firstLineChars="200" w:firstLine="560"/>
        <w:jc w:val="both"/>
        <w:rPr>
          <w:sz w:val="28"/>
        </w:rPr>
      </w:pPr>
      <w:r w:rsidRPr="005E758A">
        <w:rPr>
          <w:sz w:val="28"/>
        </w:rPr>
        <w:t>葡萄牙行政法規定，地區性社會救助基金中心必須遵循法院判決命令支付時，始可代表發放此基金。受益人於收到判決前不可請求此項給付。檢察官就此上訴並爭論此規定違憲。</w:t>
      </w:r>
    </w:p>
    <w:p w14:paraId="4BC9FC75" w14:textId="77777777" w:rsidR="002100BC" w:rsidRPr="005E758A" w:rsidRDefault="002100BC" w:rsidP="002100BC">
      <w:pPr>
        <w:snapToGrid w:val="0"/>
        <w:spacing w:before="100" w:beforeAutospacing="1" w:after="100" w:afterAutospacing="1"/>
        <w:ind w:firstLineChars="200" w:firstLine="560"/>
        <w:jc w:val="both"/>
        <w:rPr>
          <w:sz w:val="28"/>
        </w:rPr>
      </w:pPr>
      <w:r w:rsidRPr="005E758A">
        <w:rPr>
          <w:sz w:val="28"/>
        </w:rPr>
        <w:t>法院判決此項規定確屬違憲。法院認為維護兒童成長之責任首先仰賴其父母。憲法亦明確指出：為了整體之發展，</w:t>
      </w:r>
      <w:proofErr w:type="gramStart"/>
      <w:r w:rsidRPr="005E758A">
        <w:rPr>
          <w:sz w:val="28"/>
        </w:rPr>
        <w:t>特別</w:t>
      </w:r>
      <w:proofErr w:type="gramEnd"/>
      <w:r w:rsidRPr="005E758A">
        <w:rPr>
          <w:sz w:val="28"/>
        </w:rPr>
        <w:t>係受到各種形式遺棄時，兒童亦有權利得到社會或是國家之保護。此與葡萄牙批准了具有約束力的國際準則和公約係屬一致。</w:t>
      </w:r>
    </w:p>
    <w:p w14:paraId="1EE6E2A8" w14:textId="77777777" w:rsidR="002100BC" w:rsidRPr="005E758A" w:rsidRDefault="002100BC" w:rsidP="002100BC">
      <w:pPr>
        <w:snapToGrid w:val="0"/>
        <w:spacing w:before="100" w:beforeAutospacing="1" w:after="100" w:afterAutospacing="1"/>
        <w:ind w:firstLineChars="200" w:firstLine="560"/>
        <w:jc w:val="both"/>
        <w:rPr>
          <w:sz w:val="28"/>
        </w:rPr>
      </w:pPr>
      <w:r w:rsidRPr="005E758A">
        <w:rPr>
          <w:sz w:val="28"/>
        </w:rPr>
        <w:t>法院認為，所謂能接受社會扶助的人係指被剝奪生存權利的兒童，故憲法關於社會保障之規定具有其必要性。任何滿足兒童之保護性規範或社會利益倘因尚在司法程序期間而不允許請求此項給付時，係破壞兒童接收其基本需求之實現，為國家之失職而應屬違憲。故國家對基金之給付應於當父母無法盡到提供兒童生存責任之期間內始為合法。</w:t>
      </w:r>
    </w:p>
    <w:p w14:paraId="1A920BD1" w14:textId="77777777" w:rsidR="002100BC" w:rsidRPr="005E758A" w:rsidRDefault="002100BC" w:rsidP="009F66C9">
      <w:pPr>
        <w:pStyle w:val="2"/>
      </w:pPr>
      <w:r w:rsidRPr="005E758A">
        <w:t>綜合分析</w:t>
      </w:r>
    </w:p>
    <w:p w14:paraId="6FDC2106" w14:textId="77777777" w:rsidR="002100BC" w:rsidRPr="005E758A" w:rsidRDefault="002100BC" w:rsidP="00E577BC">
      <w:pPr>
        <w:snapToGrid w:val="0"/>
        <w:spacing w:before="100" w:beforeAutospacing="1" w:after="100" w:afterAutospacing="1"/>
        <w:ind w:firstLineChars="200" w:firstLine="560"/>
        <w:jc w:val="both"/>
        <w:rPr>
          <w:sz w:val="28"/>
          <w:szCs w:val="28"/>
        </w:rPr>
      </w:pPr>
      <w:r w:rsidRPr="005E758A">
        <w:rPr>
          <w:sz w:val="28"/>
          <w:szCs w:val="28"/>
        </w:rPr>
        <w:t>本條規定其實係延續第</w:t>
      </w:r>
      <w:r w:rsidRPr="005E758A">
        <w:rPr>
          <w:sz w:val="28"/>
          <w:szCs w:val="28"/>
        </w:rPr>
        <w:t>18</w:t>
      </w:r>
      <w:r w:rsidRPr="005E758A">
        <w:rPr>
          <w:sz w:val="28"/>
          <w:szCs w:val="28"/>
        </w:rPr>
        <w:t>條確認父母及法定監護人負有主要養育責任而衍生之國家責任。</w:t>
      </w:r>
      <w:proofErr w:type="gramStart"/>
      <w:r w:rsidRPr="005E758A">
        <w:rPr>
          <w:sz w:val="28"/>
          <w:szCs w:val="28"/>
        </w:rPr>
        <w:t>惟</w:t>
      </w:r>
      <w:proofErr w:type="gramEnd"/>
      <w:r w:rsidRPr="005E758A">
        <w:rPr>
          <w:sz w:val="28"/>
          <w:szCs w:val="28"/>
        </w:rPr>
        <w:t>由於本條係屬於社會福祉方面的權利，故其範圍及給付程度，依第</w:t>
      </w:r>
      <w:r w:rsidRPr="005E758A">
        <w:rPr>
          <w:sz w:val="28"/>
          <w:szCs w:val="28"/>
        </w:rPr>
        <w:t>4</w:t>
      </w:r>
      <w:r w:rsidRPr="005E758A">
        <w:rPr>
          <w:sz w:val="28"/>
          <w:szCs w:val="28"/>
        </w:rPr>
        <w:t>條之規定，由國家就其最大可用之資源，視需要</w:t>
      </w:r>
      <w:proofErr w:type="gramStart"/>
      <w:r w:rsidRPr="005E758A">
        <w:rPr>
          <w:sz w:val="28"/>
          <w:szCs w:val="28"/>
        </w:rPr>
        <w:t>採</w:t>
      </w:r>
      <w:proofErr w:type="gramEnd"/>
      <w:r w:rsidRPr="005E758A">
        <w:rPr>
          <w:sz w:val="28"/>
          <w:szCs w:val="28"/>
        </w:rPr>
        <w:t>行之。換言之，本條規範的實現具有漸進性。</w:t>
      </w:r>
    </w:p>
    <w:p w14:paraId="6AEBC3AF" w14:textId="77777777" w:rsidR="002100BC" w:rsidRPr="005E758A" w:rsidRDefault="002100BC" w:rsidP="009F66C9">
      <w:pPr>
        <w:pStyle w:val="2"/>
      </w:pPr>
      <w:r w:rsidRPr="005E758A">
        <w:t>參考資料</w:t>
      </w:r>
    </w:p>
    <w:p w14:paraId="71BF0EFA" w14:textId="77777777" w:rsidR="002100BC" w:rsidRPr="005E758A" w:rsidRDefault="002100BC" w:rsidP="007030EA">
      <w:pPr>
        <w:numPr>
          <w:ilvl w:val="0"/>
          <w:numId w:val="208"/>
        </w:numPr>
        <w:snapToGrid w:val="0"/>
        <w:jc w:val="both"/>
        <w:rPr>
          <w:sz w:val="28"/>
          <w:szCs w:val="28"/>
        </w:rPr>
      </w:pPr>
      <w:r w:rsidRPr="005E758A">
        <w:rPr>
          <w:smallCaps/>
          <w:sz w:val="28"/>
          <w:szCs w:val="28"/>
        </w:rPr>
        <w:lastRenderedPageBreak/>
        <w:t>UNICEF, Implementation Handbook for the Convention on the Rights of the Child</w:t>
      </w:r>
      <w:r w:rsidRPr="005E758A">
        <w:rPr>
          <w:sz w:val="28"/>
          <w:szCs w:val="28"/>
        </w:rPr>
        <w:t xml:space="preserve"> (3d. 2007).</w:t>
      </w:r>
    </w:p>
    <w:p w14:paraId="49AE7725" w14:textId="77777777" w:rsidR="002100BC" w:rsidRPr="005E758A" w:rsidRDefault="002100BC" w:rsidP="007030EA">
      <w:pPr>
        <w:numPr>
          <w:ilvl w:val="0"/>
          <w:numId w:val="208"/>
        </w:numPr>
        <w:snapToGrid w:val="0"/>
        <w:ind w:left="448" w:hanging="448"/>
        <w:jc w:val="both"/>
        <w:rPr>
          <w:sz w:val="28"/>
          <w:szCs w:val="28"/>
        </w:rPr>
      </w:pPr>
      <w:r w:rsidRPr="005E758A">
        <w:rPr>
          <w:sz w:val="28"/>
          <w:szCs w:val="28"/>
        </w:rPr>
        <w:t>林沛君，兒少人權向前行，臺北市，台灣展翅協會，</w:t>
      </w:r>
      <w:r w:rsidRPr="005E758A">
        <w:rPr>
          <w:sz w:val="28"/>
          <w:szCs w:val="28"/>
        </w:rPr>
        <w:t>2015</w:t>
      </w:r>
      <w:r w:rsidRPr="005E758A">
        <w:rPr>
          <w:sz w:val="28"/>
          <w:szCs w:val="28"/>
        </w:rPr>
        <w:t>年</w:t>
      </w:r>
      <w:r w:rsidRPr="005E758A">
        <w:rPr>
          <w:sz w:val="28"/>
          <w:szCs w:val="28"/>
        </w:rPr>
        <w:t>4</w:t>
      </w:r>
      <w:r w:rsidRPr="005E758A">
        <w:rPr>
          <w:sz w:val="28"/>
          <w:szCs w:val="28"/>
        </w:rPr>
        <w:t>月。</w:t>
      </w:r>
    </w:p>
    <w:p w14:paraId="451D96B1" w14:textId="77777777" w:rsidR="002100BC" w:rsidRPr="005E758A" w:rsidRDefault="002100BC" w:rsidP="007030EA">
      <w:pPr>
        <w:numPr>
          <w:ilvl w:val="0"/>
          <w:numId w:val="208"/>
        </w:numPr>
        <w:snapToGrid w:val="0"/>
        <w:ind w:left="448" w:hanging="448"/>
        <w:jc w:val="both"/>
        <w:rPr>
          <w:sz w:val="28"/>
          <w:szCs w:val="28"/>
        </w:rPr>
      </w:pPr>
      <w:r w:rsidRPr="005E758A">
        <w:rPr>
          <w:sz w:val="28"/>
          <w:szCs w:val="28"/>
        </w:rPr>
        <w:t>聯合國人權事務高級專員辦事處，兒童權利公約立法歷史。</w:t>
      </w:r>
      <w:r w:rsidRPr="005E758A">
        <w:rPr>
          <w:sz w:val="28"/>
          <w:szCs w:val="28"/>
        </w:rPr>
        <w:t>(</w:t>
      </w:r>
      <w:r w:rsidRPr="005E758A">
        <w:rPr>
          <w:smallCaps/>
          <w:sz w:val="28"/>
          <w:szCs w:val="28"/>
        </w:rPr>
        <w:t xml:space="preserve">Office of the United Nations High Commissioner for Human Rights, Legislative History of the Convention on the Rights of the Child </w:t>
      </w:r>
      <w:r w:rsidRPr="005E758A">
        <w:rPr>
          <w:sz w:val="28"/>
          <w:szCs w:val="28"/>
        </w:rPr>
        <w:t>(2007).)</w:t>
      </w:r>
    </w:p>
    <w:p w14:paraId="1B2ACC62" w14:textId="77777777" w:rsidR="002100BC" w:rsidRPr="005E758A" w:rsidRDefault="002100BC" w:rsidP="002100BC">
      <w:pPr>
        <w:rPr>
          <w:sz w:val="28"/>
          <w:szCs w:val="28"/>
        </w:rPr>
      </w:pPr>
    </w:p>
    <w:p w14:paraId="53EF9B66" w14:textId="77777777" w:rsidR="002100BC" w:rsidRPr="005E758A" w:rsidRDefault="002100BC" w:rsidP="002100BC">
      <w:r w:rsidRPr="005E758A">
        <w:rPr>
          <w:sz w:val="28"/>
          <w:szCs w:val="28"/>
        </w:rPr>
        <w:t>關鍵字：與生俱來、生命權、生存及發展、發展權</w:t>
      </w:r>
    </w:p>
    <w:p w14:paraId="2A29830E" w14:textId="77777777" w:rsidR="00FD07A4" w:rsidRPr="005E758A" w:rsidRDefault="00FD07A4" w:rsidP="00FD07A4">
      <w:pPr>
        <w:pStyle w:val="1"/>
        <w:sectPr w:rsidR="00FD07A4" w:rsidRPr="005E758A" w:rsidSect="00135FC9">
          <w:footnotePr>
            <w:numRestart w:val="eachSect"/>
          </w:footnotePr>
          <w:endnotePr>
            <w:numFmt w:val="decimal"/>
            <w:numRestart w:val="eachSect"/>
          </w:endnotePr>
          <w:pgSz w:w="11906" w:h="16838"/>
          <w:pgMar w:top="1440" w:right="1797" w:bottom="1440" w:left="1797" w:header="851" w:footer="992" w:gutter="0"/>
          <w:cols w:space="425"/>
          <w:docGrid w:linePitch="360"/>
        </w:sectPr>
      </w:pPr>
    </w:p>
    <w:p w14:paraId="15957240" w14:textId="77777777" w:rsidR="00E577BC" w:rsidRPr="00E577BC" w:rsidRDefault="00E577BC" w:rsidP="00E577BC">
      <w:pPr>
        <w:pStyle w:val="1"/>
      </w:pPr>
      <w:bookmarkStart w:id="79" w:name="_Toc431072743"/>
      <w:r w:rsidRPr="005E758A">
        <w:lastRenderedPageBreak/>
        <w:t>第</w:t>
      </w:r>
      <w:r w:rsidRPr="005E758A">
        <w:t>27</w:t>
      </w:r>
      <w:r w:rsidRPr="005E758A">
        <w:t>條</w:t>
      </w:r>
      <w:r>
        <w:rPr>
          <w:rFonts w:hint="eastAsia"/>
        </w:rPr>
        <w:t xml:space="preserve">　適於兒童之生活水準</w:t>
      </w:r>
      <w:bookmarkEnd w:id="79"/>
    </w:p>
    <w:tbl>
      <w:tblPr>
        <w:tblW w:w="82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8220"/>
      </w:tblGrid>
      <w:tr w:rsidR="00E577BC" w:rsidRPr="005E758A" w14:paraId="37F21AFB" w14:textId="77777777" w:rsidTr="00E577BC">
        <w:trPr>
          <w:jc w:val="center"/>
        </w:trPr>
        <w:tc>
          <w:tcPr>
            <w:tcW w:w="8220" w:type="dxa"/>
          </w:tcPr>
          <w:p w14:paraId="214CC3A3" w14:textId="77777777" w:rsidR="00E577BC" w:rsidRPr="005E758A" w:rsidRDefault="00E577BC" w:rsidP="002B035C">
            <w:pPr>
              <w:pStyle w:val="a0"/>
              <w:numPr>
                <w:ilvl w:val="0"/>
                <w:numId w:val="205"/>
              </w:numPr>
              <w:snapToGrid w:val="0"/>
              <w:spacing w:before="100" w:beforeAutospacing="1" w:after="100" w:afterAutospacing="1"/>
              <w:ind w:leftChars="0" w:left="357" w:hanging="357"/>
              <w:jc w:val="both"/>
              <w:rPr>
                <w:rFonts w:ascii="Times New Roman" w:eastAsia="標楷體" w:hAnsi="Times New Roman"/>
                <w:sz w:val="28"/>
                <w:szCs w:val="28"/>
              </w:rPr>
            </w:pPr>
            <w:r w:rsidRPr="005E758A">
              <w:rPr>
                <w:rFonts w:ascii="Times New Roman" w:eastAsia="標楷體" w:hAnsi="Times New Roman"/>
                <w:sz w:val="28"/>
                <w:szCs w:val="28"/>
              </w:rPr>
              <w:t>締約國承認每</w:t>
            </w:r>
            <w:proofErr w:type="gramStart"/>
            <w:r w:rsidRPr="005E758A">
              <w:rPr>
                <w:rFonts w:ascii="Times New Roman" w:eastAsia="標楷體" w:hAnsi="Times New Roman"/>
                <w:sz w:val="28"/>
                <w:szCs w:val="28"/>
              </w:rPr>
              <w:t>個兒童均有權</w:t>
            </w:r>
            <w:proofErr w:type="gramEnd"/>
            <w:r w:rsidRPr="005E758A">
              <w:rPr>
                <w:rFonts w:ascii="Times New Roman" w:eastAsia="標楷體" w:hAnsi="Times New Roman"/>
                <w:sz w:val="28"/>
                <w:szCs w:val="28"/>
              </w:rPr>
              <w:t>享有適於其生理、心理、精神、道德與社會發展之生活水準。</w:t>
            </w:r>
          </w:p>
          <w:p w14:paraId="18FA1B82" w14:textId="77777777" w:rsidR="00E577BC" w:rsidRPr="005E758A" w:rsidRDefault="00E577BC" w:rsidP="002B035C">
            <w:pPr>
              <w:pStyle w:val="a0"/>
              <w:numPr>
                <w:ilvl w:val="0"/>
                <w:numId w:val="205"/>
              </w:numPr>
              <w:snapToGrid w:val="0"/>
              <w:spacing w:before="100" w:beforeAutospacing="1" w:after="100" w:afterAutospacing="1"/>
              <w:ind w:leftChars="0" w:left="357" w:hanging="357"/>
              <w:jc w:val="both"/>
              <w:rPr>
                <w:rFonts w:ascii="Times New Roman" w:eastAsia="標楷體" w:hAnsi="Times New Roman"/>
                <w:sz w:val="28"/>
                <w:szCs w:val="28"/>
              </w:rPr>
            </w:pPr>
            <w:r w:rsidRPr="005E758A">
              <w:rPr>
                <w:rFonts w:ascii="Times New Roman" w:eastAsia="標楷體" w:hAnsi="Times New Roman"/>
                <w:sz w:val="28"/>
                <w:szCs w:val="28"/>
              </w:rPr>
              <w:t>父母或其他對兒童負有責任者，於其能力及經濟條件許可範圍內，負有確保兒童發展所需生活條件之主要責任。</w:t>
            </w:r>
          </w:p>
          <w:p w14:paraId="4DFE1528" w14:textId="77777777" w:rsidR="00E577BC" w:rsidRPr="005E758A" w:rsidRDefault="00E577BC" w:rsidP="002B035C">
            <w:pPr>
              <w:pStyle w:val="a0"/>
              <w:numPr>
                <w:ilvl w:val="0"/>
                <w:numId w:val="205"/>
              </w:numPr>
              <w:snapToGrid w:val="0"/>
              <w:spacing w:before="100" w:beforeAutospacing="1" w:after="100" w:afterAutospacing="1"/>
              <w:ind w:leftChars="0" w:left="357" w:hanging="357"/>
              <w:jc w:val="both"/>
              <w:rPr>
                <w:rFonts w:ascii="Times New Roman" w:eastAsia="標楷體" w:hAnsi="Times New Roman"/>
                <w:sz w:val="28"/>
                <w:szCs w:val="28"/>
              </w:rPr>
            </w:pPr>
            <w:r w:rsidRPr="005E758A">
              <w:rPr>
                <w:rFonts w:ascii="Times New Roman" w:eastAsia="標楷體" w:hAnsi="Times New Roman"/>
                <w:sz w:val="28"/>
                <w:szCs w:val="28"/>
              </w:rPr>
              <w:t>締約國按照本國條件並於其能力範圍內，應採取適當措施協助父母或其他對兒童負有責任者，實施此項權利，並於必要時提供物質協助與支援方案，特別是針對營養、衣物及住所。</w:t>
            </w:r>
          </w:p>
          <w:p w14:paraId="277E6B96" w14:textId="77777777" w:rsidR="00E577BC" w:rsidRPr="005E758A" w:rsidRDefault="00E577BC" w:rsidP="002B035C">
            <w:pPr>
              <w:pStyle w:val="a0"/>
              <w:numPr>
                <w:ilvl w:val="0"/>
                <w:numId w:val="205"/>
              </w:numPr>
              <w:snapToGrid w:val="0"/>
              <w:spacing w:before="100" w:beforeAutospacing="1" w:after="100" w:afterAutospacing="1"/>
              <w:ind w:leftChars="0" w:left="357" w:hanging="357"/>
              <w:jc w:val="both"/>
              <w:rPr>
                <w:rFonts w:ascii="Times New Roman" w:hAnsi="Times New Roman"/>
                <w:i/>
                <w:sz w:val="28"/>
                <w:szCs w:val="28"/>
              </w:rPr>
            </w:pPr>
            <w:r w:rsidRPr="005E758A">
              <w:rPr>
                <w:rFonts w:ascii="Times New Roman" w:eastAsia="標楷體" w:hAnsi="Times New Roman"/>
                <w:sz w:val="28"/>
                <w:szCs w:val="28"/>
              </w:rPr>
              <w:t>締約國應採取一切適當措施，向在本國境內或境外之兒童父母或其他對兒童負有財務責任之人，追索兒童養育費用之償還。特別是當對兒童負有財務責任之人居住在與兒童不同之國家時，締約國應促成國際協定之加入或締結此等國際協定，以及作成其他適當安排。</w:t>
            </w:r>
          </w:p>
        </w:tc>
      </w:tr>
    </w:tbl>
    <w:p w14:paraId="5E01DF95" w14:textId="77777777" w:rsidR="00E577BC" w:rsidRPr="00E577BC" w:rsidRDefault="00E577BC" w:rsidP="00E577BC">
      <w:pPr>
        <w:snapToGrid w:val="0"/>
        <w:spacing w:before="100" w:beforeAutospacing="1" w:after="100" w:afterAutospacing="1"/>
        <w:jc w:val="both"/>
        <w:rPr>
          <w:sz w:val="28"/>
        </w:rPr>
      </w:pPr>
    </w:p>
    <w:p w14:paraId="08EB2D26" w14:textId="77777777" w:rsidR="009F66C9" w:rsidRPr="005E758A" w:rsidRDefault="009F66C9" w:rsidP="007030EA">
      <w:pPr>
        <w:pStyle w:val="2"/>
        <w:numPr>
          <w:ilvl w:val="0"/>
          <w:numId w:val="207"/>
        </w:numPr>
      </w:pPr>
      <w:r w:rsidRPr="005E758A">
        <w:t>規範宗旨</w:t>
      </w:r>
    </w:p>
    <w:p w14:paraId="412FD25D" w14:textId="77777777" w:rsidR="009F66C9" w:rsidRPr="005E758A" w:rsidRDefault="009F66C9" w:rsidP="009F66C9">
      <w:pPr>
        <w:snapToGrid w:val="0"/>
        <w:spacing w:before="100" w:beforeAutospacing="1" w:after="100" w:afterAutospacing="1"/>
        <w:ind w:firstLineChars="200" w:firstLine="560"/>
        <w:jc w:val="both"/>
        <w:rPr>
          <w:sz w:val="28"/>
          <w:szCs w:val="28"/>
        </w:rPr>
      </w:pPr>
      <w:r w:rsidRPr="005E758A">
        <w:rPr>
          <w:sz w:val="28"/>
          <w:szCs w:val="28"/>
        </w:rPr>
        <w:t>本條建基於第</w:t>
      </w:r>
      <w:r w:rsidRPr="005E758A">
        <w:rPr>
          <w:sz w:val="28"/>
          <w:szCs w:val="28"/>
        </w:rPr>
        <w:t>6</w:t>
      </w:r>
      <w:r w:rsidRPr="005E758A">
        <w:rPr>
          <w:sz w:val="28"/>
          <w:szCs w:val="28"/>
        </w:rPr>
        <w:t>條的生存及發展權</w:t>
      </w:r>
      <w:bookmarkStart w:id="80" w:name="_Ref430681615"/>
      <w:r w:rsidRPr="005E758A">
        <w:rPr>
          <w:rStyle w:val="af3"/>
          <w:sz w:val="28"/>
          <w:szCs w:val="28"/>
        </w:rPr>
        <w:endnoteReference w:id="351"/>
      </w:r>
      <w:bookmarkEnd w:id="80"/>
      <w:r w:rsidRPr="005E758A">
        <w:rPr>
          <w:sz w:val="28"/>
          <w:szCs w:val="28"/>
        </w:rPr>
        <w:t>，要求締約國承認兒童有權享有適當的生活水準。本條保障之生活條件不限於基本的營養、衣物及住所，並應顧及其生理、心理、精神、道德與社會發展</w:t>
      </w:r>
      <w:r w:rsidRPr="005E758A">
        <w:rPr>
          <w:rStyle w:val="af3"/>
          <w:sz w:val="28"/>
          <w:szCs w:val="28"/>
        </w:rPr>
        <w:endnoteReference w:id="352"/>
      </w:r>
      <w:r w:rsidRPr="005E758A">
        <w:rPr>
          <w:sz w:val="28"/>
          <w:szCs w:val="28"/>
        </w:rPr>
        <w:t>。</w:t>
      </w:r>
      <w:proofErr w:type="gramStart"/>
      <w:r w:rsidRPr="005E758A">
        <w:rPr>
          <w:sz w:val="28"/>
          <w:szCs w:val="28"/>
        </w:rPr>
        <w:t>此外，</w:t>
      </w:r>
      <w:proofErr w:type="gramEnd"/>
      <w:r w:rsidRPr="005E758A">
        <w:rPr>
          <w:sz w:val="28"/>
          <w:szCs w:val="28"/>
        </w:rPr>
        <w:t>本條與公約第</w:t>
      </w:r>
      <w:r w:rsidRPr="005E758A">
        <w:rPr>
          <w:sz w:val="28"/>
          <w:szCs w:val="28"/>
        </w:rPr>
        <w:t>5</w:t>
      </w:r>
      <w:r w:rsidRPr="005E758A">
        <w:rPr>
          <w:sz w:val="28"/>
          <w:szCs w:val="28"/>
        </w:rPr>
        <w:t>條、第</w:t>
      </w:r>
      <w:r w:rsidRPr="005E758A">
        <w:rPr>
          <w:sz w:val="28"/>
          <w:szCs w:val="28"/>
        </w:rPr>
        <w:t>7</w:t>
      </w:r>
      <w:r w:rsidRPr="005E758A">
        <w:rPr>
          <w:sz w:val="28"/>
          <w:szCs w:val="28"/>
        </w:rPr>
        <w:t>條及第</w:t>
      </w:r>
      <w:r w:rsidRPr="005E758A">
        <w:rPr>
          <w:sz w:val="28"/>
          <w:szCs w:val="28"/>
        </w:rPr>
        <w:t>18</w:t>
      </w:r>
      <w:r w:rsidRPr="005E758A">
        <w:rPr>
          <w:sz w:val="28"/>
          <w:szCs w:val="28"/>
        </w:rPr>
        <w:t>條</w:t>
      </w:r>
      <w:proofErr w:type="gramStart"/>
      <w:r w:rsidRPr="005E758A">
        <w:rPr>
          <w:sz w:val="28"/>
          <w:szCs w:val="28"/>
        </w:rPr>
        <w:t>採</w:t>
      </w:r>
      <w:proofErr w:type="gramEnd"/>
      <w:r w:rsidRPr="005E758A">
        <w:rPr>
          <w:sz w:val="28"/>
          <w:szCs w:val="28"/>
        </w:rPr>
        <w:t>相同立場，認為父母負有照顧兒童的主要義務。就本條權利而言，締約國同樣扮演著輔助角色，在其能力範圍內協助父母落實其義務</w:t>
      </w:r>
      <w:r w:rsidRPr="005E758A">
        <w:rPr>
          <w:rStyle w:val="af3"/>
          <w:sz w:val="28"/>
          <w:szCs w:val="28"/>
        </w:rPr>
        <w:endnoteReference w:id="353"/>
      </w:r>
      <w:r w:rsidRPr="005E758A">
        <w:rPr>
          <w:sz w:val="28"/>
          <w:szCs w:val="28"/>
        </w:rPr>
        <w:t>。</w:t>
      </w:r>
      <w:r w:rsidRPr="005E758A">
        <w:rPr>
          <w:sz w:val="28"/>
        </w:rPr>
        <w:t>兒童權利委員會雖未對本條作成一般性意見，但</w:t>
      </w:r>
      <w:proofErr w:type="gramStart"/>
      <w:r w:rsidRPr="005E758A">
        <w:rPr>
          <w:sz w:val="28"/>
        </w:rPr>
        <w:t>其於就幼兒</w:t>
      </w:r>
      <w:proofErr w:type="gramEnd"/>
      <w:r w:rsidRPr="005E758A">
        <w:rPr>
          <w:sz w:val="28"/>
        </w:rPr>
        <w:t>時期兒童權利及少年健康及發展通過的兩號一般性意見則有觸及本條內容。</w:t>
      </w:r>
    </w:p>
    <w:p w14:paraId="62A5FF2B" w14:textId="77777777" w:rsidR="009F66C9" w:rsidRPr="005E758A" w:rsidRDefault="009F66C9" w:rsidP="009F66C9">
      <w:pPr>
        <w:pStyle w:val="2"/>
      </w:pPr>
      <w:r w:rsidRPr="005E758A">
        <w:t>條文要義</w:t>
      </w:r>
    </w:p>
    <w:p w14:paraId="153AF61B" w14:textId="77777777" w:rsidR="009F66C9" w:rsidRPr="005E758A" w:rsidRDefault="009F66C9" w:rsidP="007030EA">
      <w:pPr>
        <w:pStyle w:val="3"/>
        <w:numPr>
          <w:ilvl w:val="0"/>
          <w:numId w:val="209"/>
        </w:numPr>
      </w:pPr>
      <w:r w:rsidRPr="005E758A">
        <w:t>第</w:t>
      </w:r>
      <w:r w:rsidRPr="005E758A">
        <w:t>27</w:t>
      </w:r>
      <w:r w:rsidRPr="005E758A">
        <w:t>條第</w:t>
      </w:r>
      <w:r w:rsidRPr="005E758A">
        <w:t>1</w:t>
      </w:r>
      <w:r w:rsidRPr="005E758A">
        <w:t>項</w:t>
      </w:r>
    </w:p>
    <w:p w14:paraId="1200295A" w14:textId="77777777" w:rsidR="009F66C9" w:rsidRPr="005E758A" w:rsidRDefault="009F66C9" w:rsidP="009F66C9">
      <w:pPr>
        <w:snapToGrid w:val="0"/>
        <w:spacing w:before="100" w:beforeAutospacing="1" w:after="100" w:afterAutospacing="1"/>
        <w:ind w:firstLineChars="200" w:firstLine="560"/>
        <w:jc w:val="both"/>
        <w:rPr>
          <w:sz w:val="28"/>
        </w:rPr>
      </w:pPr>
      <w:r w:rsidRPr="005E758A">
        <w:rPr>
          <w:sz w:val="28"/>
        </w:rPr>
        <w:t>本項要求</w:t>
      </w:r>
      <w:r w:rsidRPr="005E758A">
        <w:rPr>
          <w:sz w:val="28"/>
          <w:szCs w:val="28"/>
        </w:rPr>
        <w:t>要求締約國承認兒童有權享有適當的生活水準，而</w:t>
      </w:r>
      <w:r w:rsidRPr="005E758A">
        <w:rPr>
          <w:sz w:val="28"/>
        </w:rPr>
        <w:t>經濟社會及文化權利國際公約亦有類似的規定。其第</w:t>
      </w:r>
      <w:r w:rsidRPr="005E758A">
        <w:rPr>
          <w:sz w:val="28"/>
        </w:rPr>
        <w:t>11</w:t>
      </w:r>
      <w:r w:rsidRPr="005E758A">
        <w:rPr>
          <w:sz w:val="28"/>
        </w:rPr>
        <w:t>條第</w:t>
      </w:r>
      <w:r w:rsidRPr="005E758A">
        <w:rPr>
          <w:sz w:val="28"/>
        </w:rPr>
        <w:t>1</w:t>
      </w:r>
      <w:r w:rsidRPr="005E758A">
        <w:rPr>
          <w:sz w:val="28"/>
        </w:rPr>
        <w:t>項要求締約國確認：「人人有權享受其本人及家屬所需之適當生活程度」。雖然經濟社會及文化權利委員會未對「生活程度」作出明確定義，但其就住宅</w:t>
      </w:r>
      <w:r w:rsidRPr="005E758A">
        <w:rPr>
          <w:rStyle w:val="af3"/>
          <w:sz w:val="28"/>
        </w:rPr>
        <w:endnoteReference w:id="354"/>
      </w:r>
      <w:r w:rsidRPr="005E758A">
        <w:rPr>
          <w:sz w:val="28"/>
        </w:rPr>
        <w:t>及食物</w:t>
      </w:r>
      <w:r w:rsidRPr="005E758A">
        <w:rPr>
          <w:rStyle w:val="af3"/>
          <w:sz w:val="28"/>
        </w:rPr>
        <w:endnoteReference w:id="355"/>
      </w:r>
      <w:r w:rsidRPr="005E758A">
        <w:rPr>
          <w:sz w:val="28"/>
        </w:rPr>
        <w:t>相關適當水準的解釋可作參考。而兒童權利公約本項較經濟社會文化權利國際公約規範的範圍更廣，其要求的生活水準超越物質的層面。</w:t>
      </w:r>
      <w:r w:rsidRPr="005E758A">
        <w:rPr>
          <w:rStyle w:val="af3"/>
          <w:sz w:val="28"/>
          <w:szCs w:val="28"/>
        </w:rPr>
        <w:endnoteReference w:id="356"/>
      </w:r>
      <w:r w:rsidRPr="005E758A">
        <w:rPr>
          <w:sz w:val="28"/>
        </w:rPr>
        <w:t>針對幼兒這方面的權利，兒童權利委員會曾指出</w:t>
      </w:r>
      <w:r w:rsidRPr="005E758A">
        <w:rPr>
          <w:rStyle w:val="af3"/>
          <w:sz w:val="28"/>
        </w:rPr>
        <w:endnoteReference w:id="357"/>
      </w:r>
      <w:r w:rsidRPr="005E758A">
        <w:rPr>
          <w:sz w:val="28"/>
        </w:rPr>
        <w:t>：</w:t>
      </w:r>
    </w:p>
    <w:p w14:paraId="2B3F165F" w14:textId="77777777" w:rsidR="009F66C9" w:rsidRPr="005E758A" w:rsidRDefault="009F66C9" w:rsidP="009F66C9">
      <w:pPr>
        <w:snapToGrid w:val="0"/>
        <w:spacing w:before="100" w:beforeAutospacing="1" w:after="100" w:afterAutospacing="1"/>
        <w:ind w:left="567" w:right="567"/>
        <w:jc w:val="both"/>
        <w:rPr>
          <w:sz w:val="28"/>
        </w:rPr>
      </w:pPr>
      <w:r w:rsidRPr="005E758A">
        <w:rPr>
          <w:sz w:val="28"/>
        </w:rPr>
        <w:lastRenderedPageBreak/>
        <w:t>…</w:t>
      </w:r>
      <w:r w:rsidRPr="005E758A">
        <w:rPr>
          <w:sz w:val="28"/>
        </w:rPr>
        <w:t>仍然有數百萬幼兒連最基本的生活水準也得不到保證。在較貧窮的情況下成長，對兒童的福利、社會融入和自尊帶來不利影響，減少他們學習和發展的機會。在赤貧的情況中成長，造成的後果更加嚴重，危及到兒童的生存及其健康，損害基本的生活質量。</w:t>
      </w:r>
    </w:p>
    <w:p w14:paraId="2E4A0897" w14:textId="77777777" w:rsidR="009F66C9" w:rsidRPr="005E758A" w:rsidRDefault="009F66C9" w:rsidP="009F66C9">
      <w:pPr>
        <w:snapToGrid w:val="0"/>
        <w:spacing w:before="100" w:beforeAutospacing="1" w:after="100" w:afterAutospacing="1"/>
        <w:jc w:val="both"/>
        <w:rPr>
          <w:sz w:val="28"/>
        </w:rPr>
      </w:pPr>
      <w:r w:rsidRPr="005E758A">
        <w:rPr>
          <w:sz w:val="28"/>
        </w:rPr>
        <w:t>委員會並鼓勵締約國採取有系統的策略，「減少幼兒期的貧窮，克服貧窮對兒童福祉的不利影響」</w:t>
      </w:r>
      <w:r w:rsidRPr="005E758A">
        <w:rPr>
          <w:rStyle w:val="af3"/>
          <w:sz w:val="28"/>
        </w:rPr>
        <w:endnoteReference w:id="358"/>
      </w:r>
      <w:r w:rsidRPr="005E758A">
        <w:rPr>
          <w:sz w:val="28"/>
        </w:rPr>
        <w:t>。</w:t>
      </w:r>
    </w:p>
    <w:p w14:paraId="693846AB" w14:textId="77777777" w:rsidR="009F66C9" w:rsidRPr="005E758A" w:rsidRDefault="009F66C9" w:rsidP="007030EA">
      <w:pPr>
        <w:pStyle w:val="3"/>
        <w:numPr>
          <w:ilvl w:val="0"/>
          <w:numId w:val="209"/>
        </w:numPr>
      </w:pPr>
      <w:r w:rsidRPr="005E758A">
        <w:t>第</w:t>
      </w:r>
      <w:r w:rsidRPr="005E758A">
        <w:t>27</w:t>
      </w:r>
      <w:r w:rsidRPr="005E758A">
        <w:t>條第</w:t>
      </w:r>
      <w:r w:rsidRPr="005E758A">
        <w:t>2</w:t>
      </w:r>
      <w:r w:rsidRPr="005E758A">
        <w:t>項</w:t>
      </w:r>
    </w:p>
    <w:p w14:paraId="2EFC08B5" w14:textId="77777777" w:rsidR="009F66C9" w:rsidRPr="005E758A" w:rsidRDefault="009F66C9" w:rsidP="009F66C9">
      <w:pPr>
        <w:snapToGrid w:val="0"/>
        <w:spacing w:before="100" w:beforeAutospacing="1" w:after="100" w:afterAutospacing="1"/>
        <w:ind w:firstLineChars="200" w:firstLine="560"/>
        <w:jc w:val="both"/>
        <w:rPr>
          <w:sz w:val="28"/>
        </w:rPr>
      </w:pPr>
      <w:r w:rsidRPr="005E758A">
        <w:rPr>
          <w:sz w:val="28"/>
        </w:rPr>
        <w:t>本項規範了父母或其他對兒童負有責任者之義務，一方面重申父母所負的是「主要責任」，另一方面也提醒締約國不應直接干涉父母落實此項責任</w:t>
      </w:r>
      <w:r w:rsidRPr="005E758A">
        <w:rPr>
          <w:rStyle w:val="af3"/>
          <w:sz w:val="28"/>
        </w:rPr>
        <w:endnoteReference w:id="359"/>
      </w:r>
      <w:r w:rsidRPr="005E758A">
        <w:rPr>
          <w:sz w:val="28"/>
        </w:rPr>
        <w:t>。而本項所指的「生活條件」應包括所有本條第</w:t>
      </w:r>
      <w:r w:rsidRPr="005E758A">
        <w:rPr>
          <w:sz w:val="28"/>
        </w:rPr>
        <w:t>1</w:t>
      </w:r>
      <w:r w:rsidRPr="005E758A">
        <w:rPr>
          <w:sz w:val="28"/>
        </w:rPr>
        <w:t>項所指的面向：在幼兒時期，除了生理及物質層面的支持外，父母或其他負有責任者應該刺激及引導兒童的心理、精神、道德與社會發展。隨著兒童年齡增長，其他家庭或當地社區成員、幼</w:t>
      </w:r>
      <w:r w:rsidR="00E577BC">
        <w:rPr>
          <w:rFonts w:hint="eastAsia"/>
          <w:sz w:val="28"/>
        </w:rPr>
        <w:t>兒</w:t>
      </w:r>
      <w:r w:rsidRPr="005E758A">
        <w:rPr>
          <w:sz w:val="28"/>
        </w:rPr>
        <w:t>園及教育機構工作人員等都有可能對兒童的發展有深遠的影響。</w:t>
      </w:r>
      <w:proofErr w:type="gramStart"/>
      <w:r w:rsidRPr="005E758A">
        <w:rPr>
          <w:sz w:val="28"/>
        </w:rPr>
        <w:t>惟</w:t>
      </w:r>
      <w:proofErr w:type="gramEnd"/>
      <w:r w:rsidRPr="005E758A">
        <w:rPr>
          <w:sz w:val="28"/>
        </w:rPr>
        <w:t>父母仍應盡可能負起最大的責任</w:t>
      </w:r>
      <w:r w:rsidRPr="005E758A">
        <w:rPr>
          <w:rStyle w:val="af3"/>
          <w:sz w:val="28"/>
        </w:rPr>
        <w:endnoteReference w:id="360"/>
      </w:r>
      <w:r w:rsidRPr="005E758A">
        <w:rPr>
          <w:sz w:val="28"/>
        </w:rPr>
        <w:t>。本項規定也承認了這樣的責任背後需要足夠之能力及經濟條件的支持，因此預留了空間讓父母或其他對兒童負有責任者在可能的範圍內落實其責任。</w:t>
      </w:r>
    </w:p>
    <w:p w14:paraId="15E6C187" w14:textId="77777777" w:rsidR="009F66C9" w:rsidRPr="005E758A" w:rsidRDefault="009F66C9" w:rsidP="007030EA">
      <w:pPr>
        <w:pStyle w:val="3"/>
        <w:numPr>
          <w:ilvl w:val="0"/>
          <w:numId w:val="209"/>
        </w:numPr>
      </w:pPr>
      <w:r w:rsidRPr="005E758A">
        <w:t>第</w:t>
      </w:r>
      <w:r w:rsidRPr="005E758A">
        <w:t>27</w:t>
      </w:r>
      <w:r w:rsidRPr="005E758A">
        <w:t>條第</w:t>
      </w:r>
      <w:r w:rsidRPr="005E758A">
        <w:t>3</w:t>
      </w:r>
      <w:r w:rsidRPr="005E758A">
        <w:t>項</w:t>
      </w:r>
    </w:p>
    <w:p w14:paraId="509B0D3E" w14:textId="77777777" w:rsidR="009F66C9" w:rsidRPr="005E758A" w:rsidRDefault="009F66C9" w:rsidP="009F66C9">
      <w:pPr>
        <w:snapToGrid w:val="0"/>
        <w:spacing w:before="100" w:beforeAutospacing="1" w:after="100" w:afterAutospacing="1"/>
        <w:ind w:firstLineChars="200" w:firstLine="560"/>
        <w:jc w:val="both"/>
        <w:rPr>
          <w:sz w:val="28"/>
        </w:rPr>
      </w:pPr>
      <w:r w:rsidRPr="005E758A">
        <w:rPr>
          <w:sz w:val="28"/>
        </w:rPr>
        <w:t>本項課予國家協助父母或其他對兒童負有責任者的義務，包括照顧</w:t>
      </w:r>
      <w:r w:rsidRPr="005E758A">
        <w:rPr>
          <w:sz w:val="28"/>
          <w:szCs w:val="28"/>
        </w:rPr>
        <w:t>遠離原籍國無人陪伴和無父母陪伴的兒童</w:t>
      </w:r>
      <w:r w:rsidRPr="005E758A">
        <w:rPr>
          <w:rStyle w:val="af3"/>
          <w:sz w:val="28"/>
        </w:rPr>
        <w:endnoteReference w:id="361"/>
      </w:r>
      <w:r w:rsidRPr="005E758A">
        <w:rPr>
          <w:sz w:val="28"/>
        </w:rPr>
        <w:t>。為採取適當措施以提供此類協助。締約國必須對個案狀況有足夠的瞭解。兒童委員會亦建議締約國設計完整的全國性策略或行動計畫，同時特別注意邊緣化及弱勢族群的需求</w:t>
      </w:r>
      <w:r w:rsidRPr="005E758A">
        <w:rPr>
          <w:rStyle w:val="af3"/>
          <w:sz w:val="28"/>
        </w:rPr>
        <w:endnoteReference w:id="362"/>
      </w:r>
      <w:r w:rsidRPr="005E758A">
        <w:rPr>
          <w:sz w:val="28"/>
        </w:rPr>
        <w:t>。</w:t>
      </w:r>
    </w:p>
    <w:p w14:paraId="6757DC03" w14:textId="77777777" w:rsidR="009F66C9" w:rsidRPr="005E758A" w:rsidRDefault="009F66C9" w:rsidP="009F66C9">
      <w:pPr>
        <w:snapToGrid w:val="0"/>
        <w:spacing w:before="100" w:beforeAutospacing="1" w:after="100" w:afterAutospacing="1"/>
        <w:ind w:firstLineChars="200" w:firstLine="560"/>
        <w:jc w:val="both"/>
        <w:rPr>
          <w:sz w:val="28"/>
        </w:rPr>
      </w:pPr>
      <w:r w:rsidRPr="005E758A">
        <w:rPr>
          <w:sz w:val="28"/>
        </w:rPr>
        <w:t>以少年之健康及發展為例，兒童權利委員會認為締約國應該採取下列措施</w:t>
      </w:r>
      <w:r w:rsidRPr="005E758A">
        <w:rPr>
          <w:rStyle w:val="af3"/>
          <w:sz w:val="28"/>
        </w:rPr>
        <w:endnoteReference w:id="363"/>
      </w:r>
      <w:r w:rsidRPr="005E758A">
        <w:rPr>
          <w:sz w:val="28"/>
        </w:rPr>
        <w:t>：</w:t>
      </w:r>
    </w:p>
    <w:p w14:paraId="30A04CC9" w14:textId="77777777" w:rsidR="009F66C9" w:rsidRPr="005E758A" w:rsidRDefault="009F66C9" w:rsidP="007030EA">
      <w:pPr>
        <w:pStyle w:val="a0"/>
        <w:numPr>
          <w:ilvl w:val="0"/>
          <w:numId w:val="206"/>
        </w:numPr>
        <w:snapToGrid w:val="0"/>
        <w:spacing w:before="100" w:beforeAutospacing="1" w:after="100" w:afterAutospacing="1"/>
        <w:ind w:leftChars="0" w:left="851" w:right="567"/>
        <w:jc w:val="both"/>
        <w:rPr>
          <w:rFonts w:ascii="Times New Roman" w:eastAsia="標楷體" w:hAnsi="Times New Roman"/>
          <w:sz w:val="28"/>
        </w:rPr>
      </w:pPr>
      <w:r w:rsidRPr="005E758A">
        <w:rPr>
          <w:rFonts w:ascii="Times New Roman" w:eastAsia="標楷體" w:hAnsi="Times New Roman"/>
          <w:sz w:val="28"/>
        </w:rPr>
        <w:t>為家長（或法律監護人）提供適當的援助，通過設立各種機構、設施和服務部門，包括在必要時提供有關營養、衣著和住房等方面物質的援助，以充分地支助少年的福祉。</w:t>
      </w:r>
    </w:p>
    <w:p w14:paraId="10AE91DD" w14:textId="77777777" w:rsidR="009F66C9" w:rsidRPr="005E758A" w:rsidRDefault="009F66C9" w:rsidP="00E577BC">
      <w:pPr>
        <w:pStyle w:val="a0"/>
        <w:numPr>
          <w:ilvl w:val="0"/>
          <w:numId w:val="206"/>
        </w:numPr>
        <w:snapToGrid w:val="0"/>
        <w:spacing w:before="100" w:beforeAutospacing="1" w:after="100" w:afterAutospacing="1"/>
        <w:ind w:leftChars="0" w:left="851" w:right="567"/>
        <w:jc w:val="both"/>
        <w:rPr>
          <w:rFonts w:ascii="Times New Roman" w:eastAsia="標楷體" w:hAnsi="Times New Roman"/>
          <w:sz w:val="28"/>
        </w:rPr>
      </w:pPr>
      <w:r w:rsidRPr="005E758A">
        <w:rPr>
          <w:rFonts w:ascii="Times New Roman" w:eastAsia="標楷體" w:hAnsi="Times New Roman"/>
          <w:sz w:val="28"/>
        </w:rPr>
        <w:t>提供充分的資訊予父母，以便建立</w:t>
      </w:r>
      <w:r w:rsidR="00E577BC">
        <w:rPr>
          <w:rFonts w:ascii="Times New Roman" w:eastAsia="標楷體" w:hAnsi="Times New Roman" w:hint="eastAsia"/>
          <w:sz w:val="28"/>
        </w:rPr>
        <w:t>起</w:t>
      </w:r>
      <w:r w:rsidRPr="005E758A">
        <w:rPr>
          <w:rFonts w:ascii="Times New Roman" w:eastAsia="標楷體" w:hAnsi="Times New Roman"/>
          <w:sz w:val="28"/>
        </w:rPr>
        <w:t>信賴及信任關係，從而可公開地討論例如性和性行為以及有風險的生活方式等問題，並尋求以尊重少年權利的方法解決問題。</w:t>
      </w:r>
    </w:p>
    <w:p w14:paraId="141E92C5" w14:textId="77777777" w:rsidR="009F66C9" w:rsidRPr="005E758A" w:rsidRDefault="009F66C9" w:rsidP="009F66C9">
      <w:pPr>
        <w:pStyle w:val="3"/>
        <w:numPr>
          <w:ilvl w:val="0"/>
          <w:numId w:val="3"/>
        </w:numPr>
        <w:ind w:left="482" w:hanging="482"/>
      </w:pPr>
      <w:r w:rsidRPr="005E758A">
        <w:lastRenderedPageBreak/>
        <w:t>第</w:t>
      </w:r>
      <w:r w:rsidRPr="005E758A">
        <w:t>27</w:t>
      </w:r>
      <w:r w:rsidRPr="005E758A">
        <w:t>條第</w:t>
      </w:r>
      <w:r w:rsidRPr="005E758A">
        <w:t>4</w:t>
      </w:r>
      <w:r w:rsidRPr="005E758A">
        <w:t>項</w:t>
      </w:r>
    </w:p>
    <w:p w14:paraId="73F14DFB" w14:textId="77777777" w:rsidR="009F66C9" w:rsidRPr="005E758A" w:rsidRDefault="009F66C9" w:rsidP="009F66C9">
      <w:pPr>
        <w:snapToGrid w:val="0"/>
        <w:spacing w:before="100" w:beforeAutospacing="1" w:after="100" w:afterAutospacing="1"/>
        <w:ind w:firstLineChars="200" w:firstLine="560"/>
        <w:jc w:val="both"/>
        <w:rPr>
          <w:sz w:val="28"/>
        </w:rPr>
      </w:pPr>
      <w:r w:rsidRPr="005E758A">
        <w:rPr>
          <w:sz w:val="28"/>
        </w:rPr>
        <w:t>本項要求締約國</w:t>
      </w:r>
      <w:r w:rsidRPr="005E758A">
        <w:rPr>
          <w:sz w:val="28"/>
          <w:szCs w:val="28"/>
        </w:rPr>
        <w:t>對在本國境內或境外之兒童父母或其他對兒童負有財務責任之人，追索兒童養育費用之償還。就此項而言，兒童權利委員會所作之國家定期報告撰寫準則要求締約國提供資訊，說明為</w:t>
      </w:r>
      <w:proofErr w:type="gramStart"/>
      <w:r w:rsidRPr="005E758A">
        <w:rPr>
          <w:sz w:val="28"/>
          <w:szCs w:val="28"/>
        </w:rPr>
        <w:t>追索此類</w:t>
      </w:r>
      <w:proofErr w:type="gramEnd"/>
      <w:r w:rsidRPr="005E758A">
        <w:rPr>
          <w:sz w:val="28"/>
          <w:szCs w:val="28"/>
        </w:rPr>
        <w:t>費用所採取之措施和設置的機制及計畫。締約國亦應</w:t>
      </w:r>
      <w:proofErr w:type="gramStart"/>
      <w:r w:rsidRPr="005E758A">
        <w:rPr>
          <w:sz w:val="28"/>
          <w:szCs w:val="28"/>
        </w:rPr>
        <w:t>說明若負有</w:t>
      </w:r>
      <w:proofErr w:type="gramEnd"/>
      <w:r w:rsidRPr="005E758A">
        <w:rPr>
          <w:sz w:val="28"/>
          <w:szCs w:val="28"/>
        </w:rPr>
        <w:t>財務責任之人規避支付費用時，締約國所採取之措施為何。</w:t>
      </w:r>
      <w:proofErr w:type="gramStart"/>
      <w:r w:rsidRPr="005E758A">
        <w:rPr>
          <w:sz w:val="28"/>
          <w:szCs w:val="28"/>
        </w:rPr>
        <w:t>此外，</w:t>
      </w:r>
      <w:proofErr w:type="gramEnd"/>
      <w:r w:rsidRPr="005E758A">
        <w:rPr>
          <w:sz w:val="28"/>
          <w:szCs w:val="28"/>
        </w:rPr>
        <w:t>委員會亦要求國家提供就此目的締結之協定的相關資訊</w:t>
      </w:r>
      <w:r w:rsidRPr="005E758A">
        <w:rPr>
          <w:rStyle w:val="af3"/>
          <w:sz w:val="28"/>
          <w:szCs w:val="28"/>
        </w:rPr>
        <w:endnoteReference w:id="364"/>
      </w:r>
      <w:r w:rsidRPr="005E758A">
        <w:rPr>
          <w:sz w:val="28"/>
          <w:szCs w:val="28"/>
        </w:rPr>
        <w:t>。</w:t>
      </w:r>
    </w:p>
    <w:p w14:paraId="0B497BCA" w14:textId="77777777" w:rsidR="009F66C9" w:rsidRPr="005E758A" w:rsidRDefault="009F66C9" w:rsidP="009F66C9">
      <w:pPr>
        <w:pStyle w:val="2"/>
      </w:pPr>
      <w:r w:rsidRPr="005E758A">
        <w:t>案例介紹</w:t>
      </w:r>
    </w:p>
    <w:p w14:paraId="1D1EB38D" w14:textId="77777777" w:rsidR="009F66C9" w:rsidRPr="005E758A" w:rsidRDefault="009F66C9" w:rsidP="007030EA">
      <w:pPr>
        <w:pStyle w:val="3"/>
        <w:numPr>
          <w:ilvl w:val="0"/>
          <w:numId w:val="210"/>
        </w:numPr>
      </w:pPr>
      <w:r w:rsidRPr="005E758A">
        <w:t>2013</w:t>
      </w:r>
      <w:r w:rsidRPr="005E758A">
        <w:t>年俄國憲法法院勞動法合</w:t>
      </w:r>
      <w:proofErr w:type="gramStart"/>
      <w:r w:rsidRPr="005E758A">
        <w:t>憲性案</w:t>
      </w:r>
      <w:proofErr w:type="gramEnd"/>
      <w:r w:rsidRPr="005E758A">
        <w:t>：</w:t>
      </w:r>
      <w:r w:rsidRPr="005E758A">
        <w:t xml:space="preserve">Dismissal of Complaint Filed by A. N. </w:t>
      </w:r>
      <w:proofErr w:type="spellStart"/>
      <w:r w:rsidRPr="005E758A">
        <w:t>Gorbunov</w:t>
      </w:r>
      <w:proofErr w:type="spellEnd"/>
      <w:r w:rsidRPr="005E758A">
        <w:t xml:space="preserve"> Regarding the Violation of His Constitutional Rights by Article 261 of the </w:t>
      </w:r>
      <w:proofErr w:type="spellStart"/>
      <w:r w:rsidRPr="005E758A">
        <w:t>Labour</w:t>
      </w:r>
      <w:proofErr w:type="spellEnd"/>
      <w:r w:rsidRPr="005E758A">
        <w:t xml:space="preserve"> Code of the Russian Federation</w:t>
      </w:r>
      <w:r w:rsidRPr="005E758A">
        <w:rPr>
          <w:rStyle w:val="af3"/>
          <w:szCs w:val="28"/>
        </w:rPr>
        <w:endnoteReference w:id="365"/>
      </w:r>
    </w:p>
    <w:p w14:paraId="3DDAE06B" w14:textId="77777777" w:rsidR="009F66C9" w:rsidRPr="005E758A" w:rsidRDefault="009F66C9" w:rsidP="009F66C9">
      <w:pPr>
        <w:snapToGrid w:val="0"/>
        <w:spacing w:before="100" w:beforeAutospacing="1" w:after="100" w:afterAutospacing="1"/>
        <w:ind w:firstLineChars="200" w:firstLine="560"/>
        <w:jc w:val="both"/>
        <w:rPr>
          <w:sz w:val="28"/>
          <w:szCs w:val="28"/>
        </w:rPr>
      </w:pPr>
      <w:r w:rsidRPr="005E758A">
        <w:rPr>
          <w:sz w:val="28"/>
          <w:szCs w:val="28"/>
        </w:rPr>
        <w:t>根據俄國勞動法第</w:t>
      </w:r>
      <w:r w:rsidRPr="005E758A">
        <w:rPr>
          <w:sz w:val="28"/>
          <w:szCs w:val="28"/>
        </w:rPr>
        <w:t>261</w:t>
      </w:r>
      <w:r w:rsidRPr="005E758A">
        <w:rPr>
          <w:sz w:val="28"/>
          <w:szCs w:val="28"/>
        </w:rPr>
        <w:t>條，若受雇人為未滿</w:t>
      </w:r>
      <w:r w:rsidRPr="005E758A">
        <w:rPr>
          <w:sz w:val="28"/>
          <w:szCs w:val="28"/>
        </w:rPr>
        <w:t>3</w:t>
      </w:r>
      <w:r w:rsidRPr="005E758A">
        <w:rPr>
          <w:sz w:val="28"/>
          <w:szCs w:val="28"/>
        </w:rPr>
        <w:t>歲兒童的母親或家中有</w:t>
      </w:r>
      <w:r w:rsidRPr="005E758A">
        <w:rPr>
          <w:sz w:val="28"/>
          <w:szCs w:val="28"/>
        </w:rPr>
        <w:t>3</w:t>
      </w:r>
      <w:r w:rsidRPr="005E758A">
        <w:rPr>
          <w:sz w:val="28"/>
          <w:szCs w:val="28"/>
        </w:rPr>
        <w:t>名以上兒童，其中包括</w:t>
      </w:r>
      <w:r w:rsidRPr="005E758A">
        <w:rPr>
          <w:sz w:val="28"/>
          <w:szCs w:val="28"/>
        </w:rPr>
        <w:t>1</w:t>
      </w:r>
      <w:r w:rsidRPr="005E758A">
        <w:rPr>
          <w:sz w:val="28"/>
          <w:szCs w:val="28"/>
        </w:rPr>
        <w:t>名未滿</w:t>
      </w:r>
      <w:r w:rsidRPr="005E758A">
        <w:rPr>
          <w:sz w:val="28"/>
          <w:szCs w:val="28"/>
        </w:rPr>
        <w:t>3</w:t>
      </w:r>
      <w:r w:rsidRPr="005E758A">
        <w:rPr>
          <w:sz w:val="28"/>
          <w:szCs w:val="28"/>
        </w:rPr>
        <w:t>歲兒童，而其為該家庭唯一的收入來源時，雇主不得將其解雇。本案申請人</w:t>
      </w:r>
      <w:proofErr w:type="spellStart"/>
      <w:r w:rsidRPr="005E758A">
        <w:rPr>
          <w:sz w:val="28"/>
          <w:szCs w:val="28"/>
        </w:rPr>
        <w:t>Gorbunov</w:t>
      </w:r>
      <w:proofErr w:type="spellEnd"/>
      <w:r w:rsidRPr="005E758A">
        <w:rPr>
          <w:sz w:val="28"/>
          <w:szCs w:val="28"/>
        </w:rPr>
        <w:t>遭其雇主解雇，雖其家庭中有未滿</w:t>
      </w:r>
      <w:r w:rsidRPr="005E758A">
        <w:rPr>
          <w:sz w:val="28"/>
          <w:szCs w:val="28"/>
        </w:rPr>
        <w:t>3</w:t>
      </w:r>
      <w:r w:rsidRPr="005E758A">
        <w:rPr>
          <w:sz w:val="28"/>
          <w:szCs w:val="28"/>
        </w:rPr>
        <w:t>歲兒童，但由於其妻子有工作而不適用上開規定。惟</w:t>
      </w:r>
      <w:proofErr w:type="spellStart"/>
      <w:r w:rsidRPr="005E758A">
        <w:rPr>
          <w:sz w:val="28"/>
          <w:szCs w:val="28"/>
        </w:rPr>
        <w:t>Gorbunov</w:t>
      </w:r>
      <w:proofErr w:type="spellEnd"/>
      <w:r w:rsidRPr="005E758A">
        <w:rPr>
          <w:sz w:val="28"/>
          <w:szCs w:val="28"/>
        </w:rPr>
        <w:t>遭解雇時正值其妻子的產假。</w:t>
      </w:r>
      <w:proofErr w:type="spellStart"/>
      <w:r w:rsidRPr="005E758A">
        <w:rPr>
          <w:sz w:val="28"/>
          <w:szCs w:val="28"/>
        </w:rPr>
        <w:t>Gorbunov</w:t>
      </w:r>
      <w:proofErr w:type="spellEnd"/>
      <w:r w:rsidRPr="005E758A">
        <w:rPr>
          <w:sz w:val="28"/>
          <w:szCs w:val="28"/>
        </w:rPr>
        <w:t>遭解雇後提起訴訟挑戰上開勞動法規定，認為該條文乃屬以性別及家庭狀況為基礎的歧視規定，並且侵犯生長在小家庭之兒童權利。</w:t>
      </w:r>
    </w:p>
    <w:p w14:paraId="10E04B8E" w14:textId="77777777" w:rsidR="009F66C9" w:rsidRPr="005E758A" w:rsidRDefault="009F66C9" w:rsidP="009F66C9">
      <w:pPr>
        <w:snapToGrid w:val="0"/>
        <w:spacing w:before="100" w:beforeAutospacing="1" w:after="100" w:afterAutospacing="1"/>
        <w:ind w:firstLineChars="200" w:firstLine="560"/>
        <w:jc w:val="both"/>
        <w:rPr>
          <w:sz w:val="28"/>
          <w:szCs w:val="28"/>
        </w:rPr>
      </w:pPr>
      <w:r w:rsidRPr="005E758A">
        <w:rPr>
          <w:sz w:val="28"/>
          <w:szCs w:val="28"/>
        </w:rPr>
        <w:t>法院在衡量上開規定是否</w:t>
      </w:r>
      <w:proofErr w:type="gramStart"/>
      <w:r w:rsidRPr="005E758A">
        <w:rPr>
          <w:sz w:val="28"/>
          <w:szCs w:val="28"/>
        </w:rPr>
        <w:t>合憲時</w:t>
      </w:r>
      <w:proofErr w:type="gramEnd"/>
      <w:r w:rsidRPr="005E758A">
        <w:rPr>
          <w:sz w:val="28"/>
          <w:szCs w:val="28"/>
        </w:rPr>
        <w:t>，引用了兒童權利公約相關規定，包括第</w:t>
      </w:r>
      <w:r w:rsidRPr="005E758A">
        <w:rPr>
          <w:sz w:val="28"/>
          <w:szCs w:val="28"/>
        </w:rPr>
        <w:t>27</w:t>
      </w:r>
      <w:r w:rsidRPr="005E758A">
        <w:rPr>
          <w:sz w:val="28"/>
          <w:szCs w:val="28"/>
        </w:rPr>
        <w:t>條第</w:t>
      </w:r>
      <w:r w:rsidRPr="005E758A">
        <w:rPr>
          <w:sz w:val="28"/>
          <w:szCs w:val="28"/>
        </w:rPr>
        <w:t>1</w:t>
      </w:r>
      <w:r w:rsidRPr="005E758A">
        <w:rPr>
          <w:sz w:val="28"/>
          <w:szCs w:val="28"/>
        </w:rPr>
        <w:t>項，認為國家的確應該確保兒童的最佳利益以及兒童享有適當生活水準的權利，但上開條文保障未滿</w:t>
      </w:r>
      <w:r w:rsidRPr="005E758A">
        <w:rPr>
          <w:sz w:val="28"/>
          <w:szCs w:val="28"/>
        </w:rPr>
        <w:t>3</w:t>
      </w:r>
      <w:r w:rsidRPr="005E758A">
        <w:rPr>
          <w:sz w:val="28"/>
          <w:szCs w:val="28"/>
        </w:rPr>
        <w:t>歲兒童的母親乃是為了提供女性平等的機會。</w:t>
      </w:r>
      <w:proofErr w:type="gramStart"/>
      <w:r w:rsidRPr="005E758A">
        <w:rPr>
          <w:sz w:val="28"/>
          <w:szCs w:val="28"/>
        </w:rPr>
        <w:t>此外，</w:t>
      </w:r>
      <w:proofErr w:type="gramEnd"/>
      <w:r w:rsidRPr="005E758A">
        <w:rPr>
          <w:sz w:val="28"/>
          <w:szCs w:val="28"/>
        </w:rPr>
        <w:t>提供大家庭較高的保護亦有其正當性，並非歧視小家庭，因此判決上開規定無違憲之虞。</w:t>
      </w:r>
    </w:p>
    <w:p w14:paraId="07BF4288" w14:textId="77777777" w:rsidR="009F66C9" w:rsidRPr="005E758A" w:rsidRDefault="009F66C9" w:rsidP="009F66C9">
      <w:pPr>
        <w:pStyle w:val="3"/>
        <w:numPr>
          <w:ilvl w:val="0"/>
          <w:numId w:val="3"/>
        </w:numPr>
        <w:ind w:left="482" w:hanging="482"/>
      </w:pPr>
      <w:r w:rsidRPr="005E758A">
        <w:t>2006</w:t>
      </w:r>
      <w:r w:rsidRPr="005E758A">
        <w:t>年哈薩克第二特別行政法院受忽略兒童案：</w:t>
      </w:r>
      <w:r w:rsidRPr="005E758A">
        <w:t xml:space="preserve">Case No. 2-1665-06 of 18 August 2006, </w:t>
      </w:r>
      <w:proofErr w:type="spellStart"/>
      <w:r w:rsidRPr="005E758A">
        <w:t>Taraz</w:t>
      </w:r>
      <w:proofErr w:type="spellEnd"/>
      <w:r w:rsidRPr="005E758A">
        <w:t xml:space="preserve"> City</w:t>
      </w:r>
      <w:r w:rsidRPr="005E758A">
        <w:rPr>
          <w:rStyle w:val="af3"/>
          <w:szCs w:val="28"/>
        </w:rPr>
        <w:endnoteReference w:id="366"/>
      </w:r>
    </w:p>
    <w:p w14:paraId="4F681ADF" w14:textId="77777777" w:rsidR="009F66C9" w:rsidRPr="005E758A" w:rsidRDefault="009F66C9" w:rsidP="009F66C9">
      <w:pPr>
        <w:snapToGrid w:val="0"/>
        <w:spacing w:before="100" w:beforeAutospacing="1" w:after="100" w:afterAutospacing="1"/>
        <w:ind w:firstLineChars="200" w:firstLine="560"/>
        <w:jc w:val="both"/>
        <w:rPr>
          <w:sz w:val="28"/>
          <w:szCs w:val="28"/>
        </w:rPr>
      </w:pPr>
      <w:proofErr w:type="spellStart"/>
      <w:r w:rsidRPr="005E758A">
        <w:rPr>
          <w:sz w:val="28"/>
          <w:szCs w:val="28"/>
        </w:rPr>
        <w:t>Taraz</w:t>
      </w:r>
      <w:proofErr w:type="spellEnd"/>
      <w:r w:rsidRPr="005E758A">
        <w:rPr>
          <w:sz w:val="28"/>
          <w:szCs w:val="28"/>
        </w:rPr>
        <w:t>市檢察官針對兩名兒童（</w:t>
      </w:r>
      <w:r w:rsidRPr="005E758A">
        <w:rPr>
          <w:sz w:val="28"/>
          <w:szCs w:val="28"/>
        </w:rPr>
        <w:t>10</w:t>
      </w:r>
      <w:r w:rsidRPr="005E758A">
        <w:rPr>
          <w:sz w:val="28"/>
          <w:szCs w:val="28"/>
        </w:rPr>
        <w:t>歲及</w:t>
      </w:r>
      <w:r w:rsidRPr="005E758A">
        <w:rPr>
          <w:sz w:val="28"/>
          <w:szCs w:val="28"/>
        </w:rPr>
        <w:t>16</w:t>
      </w:r>
      <w:r w:rsidRPr="005E758A">
        <w:rPr>
          <w:sz w:val="28"/>
          <w:szCs w:val="28"/>
        </w:rPr>
        <w:t>歲）的雙親未盡其照顧義務提起訴訟。這對雙親自</w:t>
      </w:r>
      <w:r w:rsidRPr="005E758A">
        <w:rPr>
          <w:sz w:val="28"/>
          <w:szCs w:val="28"/>
        </w:rPr>
        <w:t>2005</w:t>
      </w:r>
      <w:r w:rsidRPr="005E758A">
        <w:rPr>
          <w:sz w:val="28"/>
          <w:szCs w:val="28"/>
        </w:rPr>
        <w:t>年以來持續被警方列為不良家庭</w:t>
      </w:r>
      <w:r w:rsidRPr="005E758A">
        <w:rPr>
          <w:sz w:val="28"/>
          <w:szCs w:val="28"/>
        </w:rPr>
        <w:t>(adverse family)</w:t>
      </w:r>
      <w:r w:rsidRPr="005E758A">
        <w:rPr>
          <w:sz w:val="28"/>
          <w:szCs w:val="28"/>
        </w:rPr>
        <w:t>，兩名兒童生活狀況不穩定</w:t>
      </w:r>
      <w:proofErr w:type="gramStart"/>
      <w:r w:rsidRPr="005E758A">
        <w:rPr>
          <w:sz w:val="28"/>
          <w:szCs w:val="28"/>
        </w:rPr>
        <w:t>（</w:t>
      </w:r>
      <w:proofErr w:type="gramEnd"/>
      <w:r w:rsidRPr="005E758A">
        <w:rPr>
          <w:sz w:val="28"/>
          <w:szCs w:val="28"/>
        </w:rPr>
        <w:t>例如：冬天時沒有暖氣</w:t>
      </w:r>
      <w:proofErr w:type="gramStart"/>
      <w:r w:rsidRPr="005E758A">
        <w:rPr>
          <w:sz w:val="28"/>
          <w:szCs w:val="28"/>
        </w:rPr>
        <w:t>）</w:t>
      </w:r>
      <w:proofErr w:type="gramEnd"/>
      <w:r w:rsidRPr="005E758A">
        <w:rPr>
          <w:sz w:val="28"/>
          <w:szCs w:val="28"/>
        </w:rPr>
        <w:t>，經常曠課，且沒有足夠的上學用品及衣物。</w:t>
      </w:r>
    </w:p>
    <w:p w14:paraId="67DBB114" w14:textId="77777777" w:rsidR="009F66C9" w:rsidRPr="005E758A" w:rsidRDefault="009F66C9" w:rsidP="009F66C9">
      <w:pPr>
        <w:snapToGrid w:val="0"/>
        <w:spacing w:before="100" w:beforeAutospacing="1" w:after="100" w:afterAutospacing="1"/>
        <w:ind w:firstLineChars="200" w:firstLine="560"/>
        <w:jc w:val="both"/>
        <w:rPr>
          <w:sz w:val="28"/>
          <w:szCs w:val="28"/>
        </w:rPr>
      </w:pPr>
      <w:r w:rsidRPr="005E758A">
        <w:rPr>
          <w:sz w:val="28"/>
          <w:szCs w:val="28"/>
        </w:rPr>
        <w:t>法院引用了兒童權利公約第</w:t>
      </w:r>
      <w:r w:rsidRPr="005E758A">
        <w:rPr>
          <w:sz w:val="28"/>
          <w:szCs w:val="28"/>
        </w:rPr>
        <w:t>27</w:t>
      </w:r>
      <w:r w:rsidRPr="005E758A">
        <w:rPr>
          <w:sz w:val="28"/>
          <w:szCs w:val="28"/>
        </w:rPr>
        <w:t>條第</w:t>
      </w:r>
      <w:r w:rsidRPr="005E758A">
        <w:rPr>
          <w:sz w:val="28"/>
          <w:szCs w:val="28"/>
        </w:rPr>
        <w:t>2</w:t>
      </w:r>
      <w:r w:rsidRPr="005E758A">
        <w:rPr>
          <w:sz w:val="28"/>
          <w:szCs w:val="28"/>
        </w:rPr>
        <w:t>項，認為父母有主要責任確保兒童的適當生活條件，然而本案中這對雙親完全規避其照顧責任，並未提供兒童生存或基本所需及適當的生活條件，對兒童的生理、心</w:t>
      </w:r>
      <w:r w:rsidRPr="005E758A">
        <w:rPr>
          <w:sz w:val="28"/>
          <w:szCs w:val="28"/>
        </w:rPr>
        <w:lastRenderedPageBreak/>
        <w:t>理、精神、道德與社會發展有嚴重的負面影響。法院同時指出這兩名兒童亦已表達其意見，希望安排住入國家的照顧機構。法院因此同意檢察官的主張，認為這對雙親規避其照顧子女的責任，決定剝奪其親權，並將兩名兒童交由相關政府單位照顧。</w:t>
      </w:r>
    </w:p>
    <w:p w14:paraId="722544D3" w14:textId="77777777" w:rsidR="009F66C9" w:rsidRPr="005E758A" w:rsidRDefault="009F66C9" w:rsidP="009F66C9">
      <w:pPr>
        <w:pStyle w:val="2"/>
      </w:pPr>
      <w:r w:rsidRPr="005E758A">
        <w:t>綜合分析</w:t>
      </w:r>
    </w:p>
    <w:p w14:paraId="1ACE3676" w14:textId="77777777" w:rsidR="009F66C9" w:rsidRPr="005E758A" w:rsidRDefault="009F66C9" w:rsidP="009F66C9">
      <w:pPr>
        <w:snapToGrid w:val="0"/>
        <w:spacing w:before="100" w:beforeAutospacing="1" w:after="100" w:afterAutospacing="1"/>
        <w:ind w:firstLineChars="200" w:firstLine="560"/>
        <w:jc w:val="both"/>
        <w:rPr>
          <w:sz w:val="28"/>
        </w:rPr>
      </w:pPr>
      <w:r w:rsidRPr="005E758A">
        <w:rPr>
          <w:sz w:val="28"/>
        </w:rPr>
        <w:t>本條雖要求締約國在父母無法履行其照顧兒童之責任時提供協助，但實際上落實兒童享有適當生活水準之權利面臨許多的挑戰。就全球情勢而言，多數兒童居住在發展中國家及未開發國家，許多國家的貧窮、疾病、武裝衝突等問題導致兒童權利無法落實，若這些國家無足夠資源提供兒童或其父母協助時，則需仰賴國際援助及合作。然而現狀下的國際合作仍然非常有限，仍需聯合國兒童基金會等國際組織協助促成，以及各捐助國及捐助機構</w:t>
      </w:r>
      <w:proofErr w:type="gramStart"/>
      <w:r w:rsidRPr="005E758A">
        <w:rPr>
          <w:sz w:val="28"/>
        </w:rPr>
        <w:t>（</w:t>
      </w:r>
      <w:proofErr w:type="gramEnd"/>
      <w:r w:rsidRPr="005E758A">
        <w:rPr>
          <w:sz w:val="28"/>
        </w:rPr>
        <w:t>例如：世界銀行</w:t>
      </w:r>
      <w:proofErr w:type="gramStart"/>
      <w:r w:rsidRPr="005E758A">
        <w:rPr>
          <w:sz w:val="28"/>
        </w:rPr>
        <w:t>）</w:t>
      </w:r>
      <w:proofErr w:type="gramEnd"/>
      <w:r w:rsidRPr="005E758A">
        <w:rPr>
          <w:sz w:val="28"/>
        </w:rPr>
        <w:t>的慷慨貢獻</w:t>
      </w:r>
      <w:r w:rsidRPr="005E758A">
        <w:rPr>
          <w:rStyle w:val="af3"/>
          <w:sz w:val="28"/>
          <w:szCs w:val="28"/>
        </w:rPr>
        <w:endnoteReference w:id="367"/>
      </w:r>
      <w:r w:rsidRPr="005E758A">
        <w:rPr>
          <w:sz w:val="28"/>
        </w:rPr>
        <w:t>，始能勉強達成。或許可以這麼說，本條是個長遠的追求目標，而非現在的實踐規範！</w:t>
      </w:r>
    </w:p>
    <w:p w14:paraId="740BFE3E" w14:textId="77777777" w:rsidR="009F66C9" w:rsidRPr="005E758A" w:rsidRDefault="009F66C9" w:rsidP="009F66C9">
      <w:pPr>
        <w:pStyle w:val="2"/>
      </w:pPr>
      <w:r w:rsidRPr="005E758A">
        <w:t>參考資料</w:t>
      </w:r>
    </w:p>
    <w:p w14:paraId="0B258544" w14:textId="77777777" w:rsidR="009F66C9" w:rsidRPr="005E758A" w:rsidRDefault="009F66C9" w:rsidP="00EA57D7">
      <w:pPr>
        <w:pStyle w:val="a0"/>
        <w:numPr>
          <w:ilvl w:val="0"/>
          <w:numId w:val="213"/>
        </w:numPr>
        <w:snapToGrid w:val="0"/>
        <w:ind w:leftChars="0"/>
        <w:jc w:val="both"/>
        <w:rPr>
          <w:rFonts w:ascii="Times New Roman" w:eastAsia="標楷體" w:hAnsi="Times New Roman"/>
          <w:sz w:val="28"/>
          <w:szCs w:val="28"/>
        </w:rPr>
      </w:pPr>
      <w:proofErr w:type="spellStart"/>
      <w:r w:rsidRPr="005E758A">
        <w:rPr>
          <w:rFonts w:ascii="Times New Roman" w:hAnsi="Times New Roman"/>
          <w:smallCaps/>
          <w:sz w:val="28"/>
          <w:szCs w:val="28"/>
        </w:rPr>
        <w:t>Asbjørn</w:t>
      </w:r>
      <w:proofErr w:type="spellEnd"/>
      <w:r w:rsidRPr="005E758A">
        <w:rPr>
          <w:rFonts w:ascii="Times New Roman" w:hAnsi="Times New Roman"/>
          <w:smallCaps/>
          <w:sz w:val="28"/>
          <w:szCs w:val="28"/>
        </w:rPr>
        <w:t xml:space="preserve"> Eide, A Commentary on the United Nations Convention on the Rights of the Child: Article 27. The Right to an Adequate Standard of Living</w:t>
      </w:r>
      <w:r w:rsidRPr="005E758A">
        <w:rPr>
          <w:rFonts w:ascii="Times New Roman" w:hAnsi="Times New Roman"/>
          <w:sz w:val="28"/>
          <w:szCs w:val="28"/>
        </w:rPr>
        <w:t xml:space="preserve"> (André Alen et al. eds., 2006).</w:t>
      </w:r>
    </w:p>
    <w:p w14:paraId="3976352E" w14:textId="77777777" w:rsidR="009F66C9" w:rsidRPr="005E758A" w:rsidRDefault="009F66C9" w:rsidP="00EA57D7">
      <w:pPr>
        <w:pStyle w:val="a0"/>
        <w:numPr>
          <w:ilvl w:val="0"/>
          <w:numId w:val="213"/>
        </w:numPr>
        <w:snapToGrid w:val="0"/>
        <w:ind w:leftChars="0"/>
        <w:jc w:val="both"/>
        <w:rPr>
          <w:rFonts w:ascii="Times New Roman" w:eastAsia="標楷體" w:hAnsi="Times New Roman"/>
          <w:sz w:val="28"/>
          <w:szCs w:val="28"/>
        </w:rPr>
      </w:pPr>
      <w:r w:rsidRPr="005E758A">
        <w:rPr>
          <w:rFonts w:ascii="Times New Roman" w:hAnsi="Times New Roman"/>
          <w:smallCaps/>
          <w:sz w:val="28"/>
          <w:szCs w:val="28"/>
        </w:rPr>
        <w:t xml:space="preserve">UNICEF, Implementation Handbook for the Convention on the Rights of the Child </w:t>
      </w:r>
      <w:r w:rsidRPr="005E758A">
        <w:rPr>
          <w:rFonts w:ascii="Times New Roman" w:hAnsi="Times New Roman"/>
          <w:sz w:val="28"/>
          <w:szCs w:val="28"/>
        </w:rPr>
        <w:t>(3d. 2007).</w:t>
      </w:r>
    </w:p>
    <w:p w14:paraId="06E2F763" w14:textId="77777777" w:rsidR="009F66C9" w:rsidRPr="005E758A" w:rsidRDefault="009F66C9" w:rsidP="00EA57D7">
      <w:pPr>
        <w:pStyle w:val="a0"/>
        <w:numPr>
          <w:ilvl w:val="0"/>
          <w:numId w:val="213"/>
        </w:numPr>
        <w:snapToGrid w:val="0"/>
        <w:ind w:leftChars="0"/>
        <w:jc w:val="both"/>
        <w:rPr>
          <w:rFonts w:ascii="Times New Roman" w:eastAsia="標楷體" w:hAnsi="Times New Roman"/>
          <w:sz w:val="28"/>
          <w:szCs w:val="28"/>
        </w:rPr>
      </w:pPr>
      <w:r w:rsidRPr="005E758A">
        <w:rPr>
          <w:rFonts w:ascii="Times New Roman" w:eastAsia="標楷體" w:hAnsi="Times New Roman"/>
          <w:sz w:val="28"/>
          <w:szCs w:val="28"/>
        </w:rPr>
        <w:t>兒童權利委員會，第</w:t>
      </w:r>
      <w:r w:rsidRPr="005E758A">
        <w:rPr>
          <w:rFonts w:ascii="Times New Roman" w:eastAsia="標楷體" w:hAnsi="Times New Roman"/>
          <w:sz w:val="28"/>
          <w:szCs w:val="28"/>
        </w:rPr>
        <w:t>4</w:t>
      </w:r>
      <w:r w:rsidRPr="005E758A">
        <w:rPr>
          <w:rFonts w:ascii="Times New Roman" w:eastAsia="標楷體" w:hAnsi="Times New Roman"/>
          <w:sz w:val="28"/>
          <w:szCs w:val="28"/>
        </w:rPr>
        <w:t>號一般性意見「在兒童權利公約框架內青少年的健康和發展」。</w:t>
      </w:r>
      <w:r w:rsidRPr="005E758A">
        <w:rPr>
          <w:rFonts w:ascii="Times New Roman" w:eastAsia="標楷體" w:hAnsi="Times New Roman"/>
          <w:sz w:val="28"/>
          <w:szCs w:val="28"/>
        </w:rPr>
        <w:t>(Committee on the Rights of the Child, General Comment No. 4: Adolescent Health and Development in the Context of the Convention on the Rights of the Child, U.N. Doc. CRC/GC/2003/4 (July 1, 2003).)</w:t>
      </w:r>
    </w:p>
    <w:p w14:paraId="4C3943FE" w14:textId="77777777" w:rsidR="009F66C9" w:rsidRPr="005E758A" w:rsidRDefault="009F66C9" w:rsidP="00EA57D7">
      <w:pPr>
        <w:pStyle w:val="a0"/>
        <w:numPr>
          <w:ilvl w:val="0"/>
          <w:numId w:val="213"/>
        </w:numPr>
        <w:snapToGrid w:val="0"/>
        <w:ind w:leftChars="0"/>
        <w:jc w:val="both"/>
        <w:rPr>
          <w:rFonts w:ascii="Times New Roman" w:eastAsia="標楷體" w:hAnsi="Times New Roman"/>
          <w:sz w:val="28"/>
          <w:szCs w:val="28"/>
        </w:rPr>
      </w:pPr>
      <w:r w:rsidRPr="005E758A">
        <w:rPr>
          <w:rFonts w:ascii="Times New Roman" w:eastAsia="標楷體" w:hAnsi="Times New Roman"/>
          <w:sz w:val="28"/>
          <w:szCs w:val="28"/>
        </w:rPr>
        <w:t>兒童權利委員會，第</w:t>
      </w:r>
      <w:r w:rsidRPr="005E758A">
        <w:rPr>
          <w:rFonts w:ascii="Times New Roman" w:eastAsia="標楷體" w:hAnsi="Times New Roman"/>
          <w:sz w:val="28"/>
          <w:szCs w:val="28"/>
        </w:rPr>
        <w:t>5</w:t>
      </w:r>
      <w:r w:rsidRPr="005E758A">
        <w:rPr>
          <w:rFonts w:ascii="Times New Roman" w:eastAsia="標楷體" w:hAnsi="Times New Roman"/>
          <w:sz w:val="28"/>
          <w:szCs w:val="28"/>
        </w:rPr>
        <w:t>號一般性意見「執行兒童權利公約的一般措施」。</w:t>
      </w:r>
      <w:r w:rsidRPr="005E758A">
        <w:rPr>
          <w:rFonts w:ascii="Times New Roman" w:eastAsia="標楷體" w:hAnsi="Times New Roman"/>
          <w:sz w:val="28"/>
          <w:szCs w:val="28"/>
        </w:rPr>
        <w:t>(Committee on the Rights of the Child, General Comment No. 5: General Measures of Implementation of the Convention on the Rights of the Child (Arts. 4, 42 and 44, Para. 6), U.N. Doc. CRC/GC/2003/5 (Nov. 27, 2003).</w:t>
      </w:r>
    </w:p>
    <w:p w14:paraId="4BF23580" w14:textId="77777777" w:rsidR="009F66C9" w:rsidRPr="005E758A" w:rsidRDefault="009F66C9" w:rsidP="00EA57D7">
      <w:pPr>
        <w:pStyle w:val="a0"/>
        <w:numPr>
          <w:ilvl w:val="0"/>
          <w:numId w:val="213"/>
        </w:numPr>
        <w:snapToGrid w:val="0"/>
        <w:ind w:leftChars="0"/>
        <w:jc w:val="both"/>
        <w:rPr>
          <w:rFonts w:ascii="Times New Roman" w:eastAsia="標楷體" w:hAnsi="Times New Roman"/>
          <w:sz w:val="28"/>
          <w:szCs w:val="28"/>
        </w:rPr>
      </w:pPr>
      <w:r w:rsidRPr="005E758A">
        <w:rPr>
          <w:rFonts w:ascii="Times New Roman" w:eastAsia="標楷體" w:hAnsi="Times New Roman"/>
          <w:sz w:val="28"/>
          <w:szCs w:val="28"/>
        </w:rPr>
        <w:t>兒童權利委員會，第</w:t>
      </w:r>
      <w:r w:rsidRPr="005E758A">
        <w:rPr>
          <w:rFonts w:ascii="Times New Roman" w:eastAsia="標楷體" w:hAnsi="Times New Roman"/>
          <w:sz w:val="28"/>
          <w:szCs w:val="28"/>
        </w:rPr>
        <w:t>6</w:t>
      </w:r>
      <w:r w:rsidRPr="005E758A">
        <w:rPr>
          <w:rFonts w:ascii="Times New Roman" w:eastAsia="標楷體" w:hAnsi="Times New Roman"/>
          <w:sz w:val="28"/>
          <w:szCs w:val="28"/>
        </w:rPr>
        <w:t>號一般性意見「遠離原籍國無人陪伴和無父母陪伴的兒童待遇」。</w:t>
      </w:r>
      <w:r w:rsidRPr="005E758A">
        <w:rPr>
          <w:rFonts w:ascii="Times New Roman" w:eastAsia="標楷體" w:hAnsi="Times New Roman"/>
          <w:sz w:val="28"/>
          <w:szCs w:val="28"/>
        </w:rPr>
        <w:t>(Committee on the Rights of the Child, General Comment No. 6: Treatment of Unaccompanied and Separated Children Outside Their Country of Origin, U.N. Doc. CRC/GC/2005/6 (Sept. 1, 2005).)</w:t>
      </w:r>
    </w:p>
    <w:p w14:paraId="25FB3B41" w14:textId="77777777" w:rsidR="009F66C9" w:rsidRPr="005E758A" w:rsidRDefault="009F66C9" w:rsidP="00EA57D7">
      <w:pPr>
        <w:pStyle w:val="a0"/>
        <w:numPr>
          <w:ilvl w:val="0"/>
          <w:numId w:val="213"/>
        </w:numPr>
        <w:snapToGrid w:val="0"/>
        <w:ind w:leftChars="0"/>
        <w:jc w:val="both"/>
        <w:rPr>
          <w:rFonts w:ascii="Times New Roman" w:eastAsia="標楷體" w:hAnsi="Times New Roman"/>
          <w:sz w:val="28"/>
          <w:szCs w:val="28"/>
        </w:rPr>
      </w:pPr>
      <w:r w:rsidRPr="005E758A">
        <w:rPr>
          <w:rFonts w:ascii="Times New Roman" w:eastAsia="標楷體" w:hAnsi="Times New Roman"/>
          <w:sz w:val="28"/>
          <w:szCs w:val="28"/>
        </w:rPr>
        <w:t>兒童權利委員會，第</w:t>
      </w:r>
      <w:r w:rsidRPr="005E758A">
        <w:rPr>
          <w:rFonts w:ascii="Times New Roman" w:eastAsia="標楷體" w:hAnsi="Times New Roman"/>
          <w:sz w:val="28"/>
          <w:szCs w:val="28"/>
        </w:rPr>
        <w:t>7</w:t>
      </w:r>
      <w:r w:rsidRPr="005E758A">
        <w:rPr>
          <w:rFonts w:ascii="Times New Roman" w:eastAsia="標楷體" w:hAnsi="Times New Roman"/>
          <w:sz w:val="28"/>
          <w:szCs w:val="28"/>
        </w:rPr>
        <w:t>號一般性意見「在幼兒期落實兒童權利」。</w:t>
      </w:r>
      <w:r w:rsidRPr="005E758A">
        <w:rPr>
          <w:rFonts w:ascii="Times New Roman" w:eastAsia="標楷體" w:hAnsi="Times New Roman"/>
          <w:sz w:val="28"/>
          <w:szCs w:val="28"/>
        </w:rPr>
        <w:lastRenderedPageBreak/>
        <w:t>(Committee on the Rights of the Child, General Comment No. 7: Implementing Child Rights in Early Childhood, U.N. Doc. CRC/C/GC/7/Rev.1 (Sept. 20, 2006).)</w:t>
      </w:r>
    </w:p>
    <w:p w14:paraId="321CF897" w14:textId="77777777" w:rsidR="009F66C9" w:rsidRPr="005E758A" w:rsidRDefault="009F66C9" w:rsidP="00EA57D7">
      <w:pPr>
        <w:pStyle w:val="a0"/>
        <w:numPr>
          <w:ilvl w:val="0"/>
          <w:numId w:val="213"/>
        </w:numPr>
        <w:snapToGrid w:val="0"/>
        <w:ind w:leftChars="0"/>
        <w:jc w:val="both"/>
        <w:rPr>
          <w:rFonts w:ascii="Times New Roman" w:eastAsia="標楷體" w:hAnsi="Times New Roman"/>
          <w:sz w:val="28"/>
          <w:szCs w:val="28"/>
        </w:rPr>
      </w:pPr>
      <w:r w:rsidRPr="005E758A">
        <w:rPr>
          <w:rFonts w:ascii="Times New Roman" w:eastAsia="標楷體" w:hAnsi="Times New Roman"/>
          <w:sz w:val="28"/>
          <w:szCs w:val="28"/>
        </w:rPr>
        <w:t>林沛君，兒少人權向前行，臺北市，台灣展翅協會，</w:t>
      </w:r>
      <w:r w:rsidRPr="005E758A">
        <w:rPr>
          <w:rFonts w:ascii="Times New Roman" w:eastAsia="標楷體" w:hAnsi="Times New Roman"/>
          <w:sz w:val="28"/>
          <w:szCs w:val="28"/>
        </w:rPr>
        <w:t>2015</w:t>
      </w:r>
      <w:r w:rsidRPr="005E758A">
        <w:rPr>
          <w:rFonts w:ascii="Times New Roman" w:eastAsia="標楷體" w:hAnsi="Times New Roman"/>
          <w:sz w:val="28"/>
          <w:szCs w:val="28"/>
        </w:rPr>
        <w:t>年</w:t>
      </w:r>
      <w:r w:rsidRPr="005E758A">
        <w:rPr>
          <w:rFonts w:ascii="Times New Roman" w:eastAsia="標楷體" w:hAnsi="Times New Roman"/>
          <w:sz w:val="28"/>
          <w:szCs w:val="28"/>
        </w:rPr>
        <w:t>4</w:t>
      </w:r>
      <w:r w:rsidRPr="005E758A">
        <w:rPr>
          <w:rFonts w:ascii="Times New Roman" w:eastAsia="標楷體" w:hAnsi="Times New Roman"/>
          <w:sz w:val="28"/>
          <w:szCs w:val="28"/>
        </w:rPr>
        <w:t>月。</w:t>
      </w:r>
    </w:p>
    <w:p w14:paraId="1C7999BE" w14:textId="77777777" w:rsidR="009F66C9" w:rsidRPr="005E758A" w:rsidRDefault="009F66C9" w:rsidP="00EA57D7">
      <w:pPr>
        <w:pStyle w:val="a0"/>
        <w:numPr>
          <w:ilvl w:val="0"/>
          <w:numId w:val="213"/>
        </w:numPr>
        <w:snapToGrid w:val="0"/>
        <w:ind w:leftChars="0"/>
        <w:jc w:val="both"/>
        <w:rPr>
          <w:rFonts w:ascii="Times New Roman" w:eastAsia="標楷體" w:hAnsi="Times New Roman"/>
          <w:sz w:val="28"/>
          <w:szCs w:val="28"/>
        </w:rPr>
      </w:pPr>
      <w:r w:rsidRPr="005E758A">
        <w:rPr>
          <w:rFonts w:ascii="Times New Roman" w:eastAsia="標楷體" w:hAnsi="Times New Roman"/>
          <w:sz w:val="28"/>
          <w:szCs w:val="28"/>
        </w:rPr>
        <w:t>經濟社會文化權利委員會，第</w:t>
      </w:r>
      <w:r w:rsidRPr="005E758A">
        <w:rPr>
          <w:rFonts w:ascii="Times New Roman" w:eastAsia="標楷體" w:hAnsi="Times New Roman"/>
          <w:sz w:val="28"/>
          <w:szCs w:val="28"/>
        </w:rPr>
        <w:t>7</w:t>
      </w:r>
      <w:r w:rsidRPr="005E758A">
        <w:rPr>
          <w:rFonts w:ascii="Times New Roman" w:eastAsia="標楷體" w:hAnsi="Times New Roman"/>
          <w:sz w:val="28"/>
          <w:szCs w:val="28"/>
        </w:rPr>
        <w:t>號一般性意見「第十一條第一項：適當住房權</w:t>
      </w:r>
      <w:proofErr w:type="gramStart"/>
      <w:r w:rsidRPr="005E758A">
        <w:rPr>
          <w:rFonts w:ascii="Times New Roman" w:eastAsia="標楷體" w:hAnsi="Times New Roman"/>
          <w:sz w:val="28"/>
          <w:szCs w:val="28"/>
        </w:rPr>
        <w:t>—</w:t>
      </w:r>
      <w:proofErr w:type="gramEnd"/>
      <w:r w:rsidRPr="005E758A">
        <w:rPr>
          <w:rFonts w:ascii="Times New Roman" w:eastAsia="標楷體" w:hAnsi="Times New Roman"/>
          <w:sz w:val="28"/>
          <w:szCs w:val="28"/>
        </w:rPr>
        <w:t>強制驅逐」。</w:t>
      </w:r>
      <w:r w:rsidRPr="005E758A">
        <w:rPr>
          <w:rFonts w:ascii="Times New Roman" w:eastAsia="標楷體" w:hAnsi="Times New Roman"/>
          <w:sz w:val="28"/>
          <w:szCs w:val="28"/>
        </w:rPr>
        <w:t>(Committee on Economic, Social and Cultural Rights, General Comment No. 7: The Right to Adequate Housing (Art. 11 (1) of the Covenant): Forced Evictions, U.N. Doc. HRI/GEN/1/Rev.9 (Vol. I), at 38 (May 27, 2008).)</w:t>
      </w:r>
    </w:p>
    <w:p w14:paraId="000BBC2F" w14:textId="77777777" w:rsidR="009F66C9" w:rsidRPr="005E758A" w:rsidRDefault="009F66C9" w:rsidP="00EA57D7">
      <w:pPr>
        <w:pStyle w:val="a0"/>
        <w:numPr>
          <w:ilvl w:val="0"/>
          <w:numId w:val="213"/>
        </w:numPr>
        <w:snapToGrid w:val="0"/>
        <w:ind w:leftChars="0"/>
        <w:jc w:val="both"/>
        <w:rPr>
          <w:rFonts w:ascii="Times New Roman" w:eastAsia="標楷體" w:hAnsi="Times New Roman"/>
          <w:sz w:val="28"/>
          <w:szCs w:val="28"/>
        </w:rPr>
      </w:pPr>
      <w:r w:rsidRPr="005E758A">
        <w:rPr>
          <w:rFonts w:ascii="Times New Roman" w:eastAsia="標楷體" w:hAnsi="Times New Roman"/>
          <w:sz w:val="28"/>
          <w:szCs w:val="28"/>
        </w:rPr>
        <w:t>經濟社會文化權利委員會，第</w:t>
      </w:r>
      <w:r w:rsidRPr="005E758A">
        <w:rPr>
          <w:rFonts w:ascii="Times New Roman" w:eastAsia="標楷體" w:hAnsi="Times New Roman"/>
          <w:sz w:val="28"/>
          <w:szCs w:val="28"/>
        </w:rPr>
        <w:t>12</w:t>
      </w:r>
      <w:r w:rsidRPr="005E758A">
        <w:rPr>
          <w:rFonts w:ascii="Times New Roman" w:eastAsia="標楷體" w:hAnsi="Times New Roman"/>
          <w:sz w:val="28"/>
          <w:szCs w:val="28"/>
        </w:rPr>
        <w:t>號一般性意見「第十一條：取得適當食物的權利」。</w:t>
      </w:r>
      <w:r w:rsidRPr="005E758A">
        <w:rPr>
          <w:rFonts w:ascii="Times New Roman" w:eastAsia="標楷體" w:hAnsi="Times New Roman"/>
          <w:sz w:val="28"/>
          <w:szCs w:val="28"/>
        </w:rPr>
        <w:t>(Committee on Economic, Social and Cultural Rights, General Comment No. 12: The Right to Adequate Food (Art. 11), U.N. Doc. E/C.12/1999/5 (May 12, 1999).)</w:t>
      </w:r>
    </w:p>
    <w:p w14:paraId="5D3F065A" w14:textId="77777777" w:rsidR="00EA57D7" w:rsidRPr="005E758A" w:rsidRDefault="00EA57D7" w:rsidP="009F66C9">
      <w:pPr>
        <w:snapToGrid w:val="0"/>
        <w:spacing w:before="100" w:beforeAutospacing="1" w:after="100" w:afterAutospacing="1"/>
        <w:jc w:val="both"/>
        <w:rPr>
          <w:sz w:val="28"/>
        </w:rPr>
      </w:pPr>
    </w:p>
    <w:p w14:paraId="55E39C23" w14:textId="77777777" w:rsidR="009F66C9" w:rsidRPr="005E758A" w:rsidRDefault="009F66C9" w:rsidP="009F66C9">
      <w:pPr>
        <w:snapToGrid w:val="0"/>
        <w:spacing w:before="100" w:beforeAutospacing="1" w:after="100" w:afterAutospacing="1"/>
        <w:jc w:val="both"/>
      </w:pPr>
      <w:r w:rsidRPr="005E758A">
        <w:rPr>
          <w:sz w:val="28"/>
        </w:rPr>
        <w:t>關鍵詞：健康權、</w:t>
      </w:r>
      <w:r w:rsidRPr="005E758A">
        <w:rPr>
          <w:sz w:val="28"/>
          <w:szCs w:val="28"/>
        </w:rPr>
        <w:t>可達到的最高標準健康</w:t>
      </w:r>
    </w:p>
    <w:p w14:paraId="17E9D258" w14:textId="77777777" w:rsidR="009F66C9" w:rsidRPr="005E758A" w:rsidRDefault="009F66C9" w:rsidP="009F66C9">
      <w:pPr>
        <w:pStyle w:val="1"/>
        <w:sectPr w:rsidR="009F66C9" w:rsidRPr="005E758A" w:rsidSect="00135FC9">
          <w:footnotePr>
            <w:numRestart w:val="eachSect"/>
          </w:footnotePr>
          <w:endnotePr>
            <w:numFmt w:val="decimal"/>
            <w:numRestart w:val="eachSect"/>
          </w:endnotePr>
          <w:pgSz w:w="11906" w:h="16838"/>
          <w:pgMar w:top="1440" w:right="1797" w:bottom="1440" w:left="1797" w:header="851" w:footer="992" w:gutter="0"/>
          <w:cols w:space="425"/>
          <w:docGrid w:linePitch="360"/>
        </w:sectPr>
      </w:pPr>
    </w:p>
    <w:p w14:paraId="00373577" w14:textId="77777777" w:rsidR="00071D23" w:rsidRDefault="00071D23" w:rsidP="00071D23">
      <w:pPr>
        <w:pStyle w:val="1"/>
        <w:rPr>
          <w:sz w:val="28"/>
        </w:rPr>
      </w:pPr>
      <w:bookmarkStart w:id="81" w:name="_Toc431072744"/>
      <w:r w:rsidRPr="005E758A">
        <w:lastRenderedPageBreak/>
        <w:t>第</w:t>
      </w:r>
      <w:r w:rsidRPr="005E758A">
        <w:t>28</w:t>
      </w:r>
      <w:r w:rsidRPr="005E758A">
        <w:t>條</w:t>
      </w:r>
      <w:r>
        <w:rPr>
          <w:rFonts w:hint="eastAsia"/>
        </w:rPr>
        <w:t xml:space="preserve">　教育權</w:t>
      </w:r>
      <w:bookmarkEnd w:id="81"/>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20"/>
      </w:tblGrid>
      <w:tr w:rsidR="00071D23" w:rsidRPr="005E758A" w14:paraId="0C460CC6" w14:textId="77777777" w:rsidTr="002B035C">
        <w:trPr>
          <w:jc w:val="center"/>
        </w:trPr>
        <w:tc>
          <w:tcPr>
            <w:tcW w:w="8220" w:type="dxa"/>
            <w:shd w:val="clear" w:color="auto" w:fill="auto"/>
          </w:tcPr>
          <w:p w14:paraId="610AD23F" w14:textId="77777777" w:rsidR="00071D23" w:rsidRPr="005E758A" w:rsidRDefault="00071D23" w:rsidP="002B035C">
            <w:pPr>
              <w:pStyle w:val="a0"/>
              <w:numPr>
                <w:ilvl w:val="0"/>
                <w:numId w:val="171"/>
              </w:numPr>
              <w:snapToGrid w:val="0"/>
              <w:spacing w:before="100" w:beforeAutospacing="1" w:after="100" w:afterAutospacing="1" w:line="0" w:lineRule="atLeast"/>
              <w:ind w:leftChars="0"/>
              <w:jc w:val="both"/>
              <w:rPr>
                <w:rFonts w:ascii="Times New Roman" w:eastAsia="標楷體" w:hAnsi="Times New Roman"/>
                <w:b/>
                <w:sz w:val="28"/>
              </w:rPr>
            </w:pPr>
            <w:r w:rsidRPr="005E758A">
              <w:rPr>
                <w:rFonts w:ascii="Times New Roman" w:eastAsia="標楷體" w:hAnsi="Times New Roman"/>
                <w:sz w:val="28"/>
                <w:shd w:val="clear" w:color="auto" w:fill="FFFFFF"/>
              </w:rPr>
              <w:t>締約國確認兒童有接受教育之權利，為使此項權利能於機會平等之基礎上逐步實現，締約國尤應：</w:t>
            </w:r>
          </w:p>
          <w:p w14:paraId="7730A7AE" w14:textId="77777777" w:rsidR="00071D23" w:rsidRPr="005E758A" w:rsidRDefault="00071D23" w:rsidP="002B035C">
            <w:pPr>
              <w:pStyle w:val="a0"/>
              <w:numPr>
                <w:ilvl w:val="5"/>
                <w:numId w:val="1"/>
              </w:numPr>
              <w:snapToGrid w:val="0"/>
              <w:spacing w:before="100" w:beforeAutospacing="1" w:after="100" w:afterAutospacing="1" w:line="0" w:lineRule="atLeast"/>
              <w:ind w:leftChars="0" w:left="880"/>
              <w:jc w:val="both"/>
              <w:rPr>
                <w:rFonts w:ascii="Times New Roman" w:eastAsia="標楷體" w:hAnsi="Times New Roman"/>
                <w:b/>
                <w:sz w:val="28"/>
              </w:rPr>
            </w:pPr>
            <w:r w:rsidRPr="005E758A">
              <w:rPr>
                <w:rFonts w:ascii="Times New Roman" w:eastAsia="標楷體" w:hAnsi="Times New Roman"/>
                <w:sz w:val="28"/>
                <w:shd w:val="clear" w:color="auto" w:fill="FFFFFF"/>
              </w:rPr>
              <w:t>實現全面的免費義務小學教育；</w:t>
            </w:r>
          </w:p>
          <w:p w14:paraId="209DC2E9" w14:textId="77777777" w:rsidR="00071D23" w:rsidRPr="005E758A" w:rsidRDefault="00071D23" w:rsidP="002B035C">
            <w:pPr>
              <w:pStyle w:val="a0"/>
              <w:numPr>
                <w:ilvl w:val="5"/>
                <w:numId w:val="1"/>
              </w:numPr>
              <w:snapToGrid w:val="0"/>
              <w:spacing w:before="100" w:beforeAutospacing="1" w:after="100" w:afterAutospacing="1" w:line="0" w:lineRule="atLeast"/>
              <w:ind w:leftChars="0" w:left="880"/>
              <w:jc w:val="both"/>
              <w:rPr>
                <w:rFonts w:ascii="Times New Roman" w:eastAsia="標楷體" w:hAnsi="Times New Roman"/>
                <w:b/>
                <w:sz w:val="28"/>
              </w:rPr>
            </w:pPr>
            <w:r w:rsidRPr="005E758A">
              <w:rPr>
                <w:rFonts w:ascii="Times New Roman" w:eastAsia="標楷體" w:hAnsi="Times New Roman"/>
                <w:sz w:val="28"/>
                <w:shd w:val="clear" w:color="auto" w:fill="FFFFFF"/>
              </w:rPr>
              <w:t>鼓勵發展不同形態之中等教育、包括普通教育與職業教育，使所有</w:t>
            </w:r>
            <w:proofErr w:type="gramStart"/>
            <w:r w:rsidRPr="005E758A">
              <w:rPr>
                <w:rFonts w:ascii="Times New Roman" w:eastAsia="標楷體" w:hAnsi="Times New Roman"/>
                <w:sz w:val="28"/>
                <w:shd w:val="clear" w:color="auto" w:fill="FFFFFF"/>
              </w:rPr>
              <w:t>兒童均能進入</w:t>
            </w:r>
            <w:proofErr w:type="gramEnd"/>
            <w:r w:rsidRPr="005E758A">
              <w:rPr>
                <w:rFonts w:ascii="Times New Roman" w:eastAsia="標楷體" w:hAnsi="Times New Roman"/>
                <w:sz w:val="28"/>
                <w:shd w:val="clear" w:color="auto" w:fill="FFFFFF"/>
              </w:rPr>
              <w:t>就讀，並採取適當措施，諸如實行免費教育以及對有需求者提供財務協助；</w:t>
            </w:r>
          </w:p>
          <w:p w14:paraId="5F4B327E" w14:textId="77777777" w:rsidR="00071D23" w:rsidRPr="005E758A" w:rsidRDefault="00071D23" w:rsidP="002B035C">
            <w:pPr>
              <w:pStyle w:val="a0"/>
              <w:numPr>
                <w:ilvl w:val="5"/>
                <w:numId w:val="1"/>
              </w:numPr>
              <w:snapToGrid w:val="0"/>
              <w:spacing w:before="100" w:beforeAutospacing="1" w:after="100" w:afterAutospacing="1" w:line="0" w:lineRule="atLeast"/>
              <w:ind w:leftChars="0" w:left="880"/>
              <w:jc w:val="both"/>
              <w:rPr>
                <w:rFonts w:ascii="Times New Roman" w:eastAsia="標楷體" w:hAnsi="Times New Roman"/>
                <w:b/>
                <w:sz w:val="28"/>
              </w:rPr>
            </w:pPr>
            <w:r w:rsidRPr="005E758A">
              <w:rPr>
                <w:rFonts w:ascii="Times New Roman" w:eastAsia="標楷體" w:hAnsi="Times New Roman"/>
                <w:sz w:val="28"/>
                <w:shd w:val="clear" w:color="auto" w:fill="FFFFFF"/>
              </w:rPr>
              <w:t>以一切適當方式，使所有兒童依照其能力都能接受高等教育；</w:t>
            </w:r>
          </w:p>
          <w:p w14:paraId="62DD0169" w14:textId="77777777" w:rsidR="00071D23" w:rsidRPr="005E758A" w:rsidRDefault="00071D23" w:rsidP="002B035C">
            <w:pPr>
              <w:pStyle w:val="a0"/>
              <w:numPr>
                <w:ilvl w:val="5"/>
                <w:numId w:val="1"/>
              </w:numPr>
              <w:snapToGrid w:val="0"/>
              <w:spacing w:before="100" w:beforeAutospacing="1" w:after="100" w:afterAutospacing="1" w:line="0" w:lineRule="atLeast"/>
              <w:ind w:leftChars="0" w:left="880"/>
              <w:jc w:val="both"/>
              <w:rPr>
                <w:rFonts w:ascii="Times New Roman" w:eastAsia="標楷體" w:hAnsi="Times New Roman"/>
                <w:b/>
                <w:sz w:val="28"/>
              </w:rPr>
            </w:pPr>
            <w:r w:rsidRPr="005E758A">
              <w:rPr>
                <w:rFonts w:ascii="Times New Roman" w:eastAsia="標楷體" w:hAnsi="Times New Roman"/>
                <w:sz w:val="28"/>
                <w:shd w:val="clear" w:color="auto" w:fill="FFFFFF"/>
              </w:rPr>
              <w:t>使所有</w:t>
            </w:r>
            <w:proofErr w:type="gramStart"/>
            <w:r w:rsidRPr="005E758A">
              <w:rPr>
                <w:rFonts w:ascii="Times New Roman" w:eastAsia="標楷體" w:hAnsi="Times New Roman"/>
                <w:sz w:val="28"/>
                <w:shd w:val="clear" w:color="auto" w:fill="FFFFFF"/>
              </w:rPr>
              <w:t>兒童均能獲得</w:t>
            </w:r>
            <w:proofErr w:type="gramEnd"/>
            <w:r w:rsidRPr="005E758A">
              <w:rPr>
                <w:rFonts w:ascii="Times New Roman" w:eastAsia="標楷體" w:hAnsi="Times New Roman"/>
                <w:sz w:val="28"/>
                <w:shd w:val="clear" w:color="auto" w:fill="FFFFFF"/>
              </w:rPr>
              <w:t>教育與職業方面之訊息及引導；</w:t>
            </w:r>
          </w:p>
          <w:p w14:paraId="538BF9BA" w14:textId="77777777" w:rsidR="00071D23" w:rsidRPr="005E758A" w:rsidRDefault="00071D23" w:rsidP="002B035C">
            <w:pPr>
              <w:pStyle w:val="a0"/>
              <w:numPr>
                <w:ilvl w:val="5"/>
                <w:numId w:val="1"/>
              </w:numPr>
              <w:snapToGrid w:val="0"/>
              <w:spacing w:before="100" w:beforeAutospacing="1" w:after="100" w:afterAutospacing="1" w:line="0" w:lineRule="atLeast"/>
              <w:ind w:leftChars="0" w:left="880"/>
              <w:jc w:val="both"/>
              <w:rPr>
                <w:rFonts w:ascii="Times New Roman" w:eastAsia="標楷體" w:hAnsi="Times New Roman"/>
                <w:b/>
                <w:sz w:val="28"/>
              </w:rPr>
            </w:pPr>
            <w:r w:rsidRPr="005E758A">
              <w:rPr>
                <w:rFonts w:ascii="Times New Roman" w:eastAsia="標楷體" w:hAnsi="Times New Roman"/>
                <w:sz w:val="28"/>
                <w:shd w:val="clear" w:color="auto" w:fill="FFFFFF"/>
              </w:rPr>
              <w:t>採取措施鼓勵正常到校並降低輟學率。</w:t>
            </w:r>
          </w:p>
          <w:p w14:paraId="3BF83394" w14:textId="77777777" w:rsidR="00071D23" w:rsidRPr="005E758A" w:rsidRDefault="00071D23" w:rsidP="002B035C">
            <w:pPr>
              <w:pStyle w:val="a0"/>
              <w:numPr>
                <w:ilvl w:val="0"/>
                <w:numId w:val="171"/>
              </w:numPr>
              <w:snapToGrid w:val="0"/>
              <w:spacing w:before="100" w:beforeAutospacing="1" w:after="100" w:afterAutospacing="1" w:line="0" w:lineRule="atLeast"/>
              <w:ind w:leftChars="0"/>
              <w:jc w:val="both"/>
              <w:rPr>
                <w:rFonts w:ascii="Times New Roman" w:eastAsia="標楷體" w:hAnsi="Times New Roman"/>
                <w:sz w:val="28"/>
                <w:shd w:val="clear" w:color="auto" w:fill="FFFFFF"/>
              </w:rPr>
            </w:pPr>
            <w:r w:rsidRPr="005E758A">
              <w:rPr>
                <w:rFonts w:ascii="Times New Roman" w:eastAsia="標楷體" w:hAnsi="Times New Roman"/>
                <w:sz w:val="28"/>
                <w:shd w:val="clear" w:color="auto" w:fill="FFFFFF"/>
              </w:rPr>
              <w:t>締約國應採取一切適當措施，確保學校執行紀律之方式，係符合兒童之人格尊嚴及本公約規定。</w:t>
            </w:r>
          </w:p>
          <w:p w14:paraId="3BDF9AE5" w14:textId="77777777" w:rsidR="00071D23" w:rsidRPr="005E758A" w:rsidRDefault="00071D23" w:rsidP="002B035C">
            <w:pPr>
              <w:pStyle w:val="a0"/>
              <w:numPr>
                <w:ilvl w:val="0"/>
                <w:numId w:val="171"/>
              </w:numPr>
              <w:snapToGrid w:val="0"/>
              <w:spacing w:before="100" w:beforeAutospacing="1" w:after="100" w:afterAutospacing="1" w:line="0" w:lineRule="atLeast"/>
              <w:ind w:leftChars="0"/>
              <w:jc w:val="both"/>
              <w:rPr>
                <w:rFonts w:ascii="Times New Roman" w:eastAsia="標楷體" w:hAnsi="Times New Roman"/>
                <w:b/>
              </w:rPr>
            </w:pPr>
            <w:r w:rsidRPr="005E758A">
              <w:rPr>
                <w:rFonts w:ascii="Times New Roman" w:eastAsia="標楷體" w:hAnsi="Times New Roman"/>
                <w:sz w:val="28"/>
                <w:shd w:val="clear" w:color="auto" w:fill="FFFFFF"/>
              </w:rPr>
              <w:t>締約國應促進與鼓勵有關教育事項之國際合作，特別著眼於消除全世界無知及文盲，並促進使用科技知識及現代教學方法。就此，尤應特別考慮到發展中國家之需要。</w:t>
            </w:r>
          </w:p>
        </w:tc>
      </w:tr>
    </w:tbl>
    <w:p w14:paraId="7664C9A4" w14:textId="77777777" w:rsidR="00071D23" w:rsidRPr="00071D23" w:rsidRDefault="00071D23" w:rsidP="00071D23">
      <w:pPr>
        <w:snapToGrid w:val="0"/>
        <w:spacing w:before="100" w:beforeAutospacing="1" w:after="100" w:afterAutospacing="1"/>
        <w:jc w:val="both"/>
        <w:rPr>
          <w:sz w:val="28"/>
        </w:rPr>
      </w:pPr>
    </w:p>
    <w:p w14:paraId="13987DE2" w14:textId="77777777" w:rsidR="00725277" w:rsidRPr="005E758A" w:rsidRDefault="00725277" w:rsidP="00071D23">
      <w:pPr>
        <w:pStyle w:val="2"/>
        <w:numPr>
          <w:ilvl w:val="0"/>
          <w:numId w:val="85"/>
        </w:numPr>
      </w:pPr>
      <w:r w:rsidRPr="005E758A">
        <w:t>規範宗旨</w:t>
      </w:r>
    </w:p>
    <w:p w14:paraId="5C2210C1" w14:textId="77777777" w:rsidR="00725277" w:rsidRPr="005E758A" w:rsidRDefault="00725277" w:rsidP="00725277">
      <w:pPr>
        <w:pStyle w:val="a0"/>
        <w:snapToGrid w:val="0"/>
        <w:spacing w:before="100" w:beforeAutospacing="1" w:after="100" w:afterAutospacing="1"/>
        <w:ind w:leftChars="0" w:left="0" w:firstLineChars="200" w:firstLine="560"/>
        <w:jc w:val="both"/>
        <w:rPr>
          <w:rFonts w:ascii="Times New Roman" w:eastAsia="標楷體" w:hAnsi="Times New Roman"/>
          <w:sz w:val="28"/>
          <w:szCs w:val="28"/>
        </w:rPr>
      </w:pPr>
      <w:r w:rsidRPr="005E758A">
        <w:rPr>
          <w:rFonts w:ascii="Times New Roman" w:eastAsia="標楷體" w:hAnsi="Times New Roman"/>
          <w:sz w:val="28"/>
          <w:szCs w:val="28"/>
        </w:rPr>
        <w:t>本條所保障之兒童教育權與第</w:t>
      </w:r>
      <w:r w:rsidRPr="005E758A">
        <w:rPr>
          <w:rFonts w:ascii="Times New Roman" w:eastAsia="標楷體" w:hAnsi="Times New Roman"/>
          <w:sz w:val="28"/>
          <w:szCs w:val="28"/>
        </w:rPr>
        <w:t>29</w:t>
      </w:r>
      <w:r w:rsidRPr="005E758A">
        <w:rPr>
          <w:rFonts w:ascii="Times New Roman" w:eastAsia="標楷體" w:hAnsi="Times New Roman"/>
          <w:sz w:val="28"/>
          <w:szCs w:val="28"/>
        </w:rPr>
        <w:t>條兒童教育之目標密切相關，故於解釋本條內容時應一併參照第</w:t>
      </w:r>
      <w:r w:rsidRPr="005E758A">
        <w:rPr>
          <w:rFonts w:ascii="Times New Roman" w:eastAsia="標楷體" w:hAnsi="Times New Roman"/>
          <w:sz w:val="28"/>
          <w:szCs w:val="28"/>
        </w:rPr>
        <w:t>29</w:t>
      </w:r>
      <w:r w:rsidRPr="005E758A">
        <w:rPr>
          <w:rFonts w:ascii="Times New Roman" w:eastAsia="標楷體" w:hAnsi="Times New Roman"/>
          <w:sz w:val="28"/>
          <w:szCs w:val="28"/>
        </w:rPr>
        <w:t>條之規定。本條之重點在於建立締約國教育體系及確保兒童參與教育之義務；第</w:t>
      </w:r>
      <w:r w:rsidRPr="005E758A">
        <w:rPr>
          <w:rFonts w:ascii="Times New Roman" w:eastAsia="標楷體" w:hAnsi="Times New Roman"/>
          <w:sz w:val="28"/>
          <w:szCs w:val="28"/>
        </w:rPr>
        <w:t>29</w:t>
      </w:r>
      <w:r w:rsidRPr="005E758A">
        <w:rPr>
          <w:rFonts w:ascii="Times New Roman" w:eastAsia="標楷體" w:hAnsi="Times New Roman"/>
          <w:sz w:val="28"/>
          <w:szCs w:val="28"/>
        </w:rPr>
        <w:t>條則強調了享有特定教育質量的</w:t>
      </w:r>
      <w:proofErr w:type="gramStart"/>
      <w:r w:rsidRPr="005E758A">
        <w:rPr>
          <w:rFonts w:ascii="Times New Roman" w:eastAsia="標楷體" w:hAnsi="Times New Roman"/>
          <w:sz w:val="28"/>
          <w:szCs w:val="28"/>
        </w:rPr>
        <w:t>個</w:t>
      </w:r>
      <w:proofErr w:type="gramEnd"/>
      <w:r w:rsidRPr="005E758A">
        <w:rPr>
          <w:rFonts w:ascii="Times New Roman" w:eastAsia="標楷體" w:hAnsi="Times New Roman"/>
          <w:sz w:val="28"/>
          <w:szCs w:val="28"/>
        </w:rPr>
        <w:t>人和主體權利</w:t>
      </w:r>
      <w:r w:rsidRPr="005E758A">
        <w:rPr>
          <w:rStyle w:val="af3"/>
          <w:rFonts w:ascii="Times New Roman" w:eastAsia="標楷體" w:hAnsi="Times New Roman"/>
          <w:sz w:val="28"/>
          <w:szCs w:val="28"/>
        </w:rPr>
        <w:endnoteReference w:id="368"/>
      </w:r>
      <w:r w:rsidRPr="005E758A">
        <w:rPr>
          <w:rFonts w:ascii="Times New Roman" w:eastAsia="標楷體" w:hAnsi="Times New Roman"/>
          <w:sz w:val="28"/>
          <w:szCs w:val="28"/>
        </w:rPr>
        <w:t>。</w:t>
      </w:r>
    </w:p>
    <w:p w14:paraId="21E9AB29" w14:textId="77777777" w:rsidR="00725277" w:rsidRPr="005E758A" w:rsidRDefault="00725277" w:rsidP="00725277">
      <w:pPr>
        <w:pStyle w:val="2"/>
      </w:pPr>
      <w:r w:rsidRPr="005E758A">
        <w:t>條文要義</w:t>
      </w:r>
    </w:p>
    <w:p w14:paraId="1C57FEB7" w14:textId="77777777" w:rsidR="00725277" w:rsidRPr="005E758A" w:rsidRDefault="00725277" w:rsidP="00D2135A">
      <w:pPr>
        <w:pStyle w:val="3"/>
        <w:numPr>
          <w:ilvl w:val="0"/>
          <w:numId w:val="86"/>
        </w:numPr>
      </w:pPr>
      <w:r w:rsidRPr="005E758A">
        <w:t>第</w:t>
      </w:r>
      <w:r w:rsidRPr="005E758A">
        <w:t>28</w:t>
      </w:r>
      <w:r w:rsidRPr="005E758A">
        <w:t>條第</w:t>
      </w:r>
      <w:r w:rsidRPr="005E758A">
        <w:t>1</w:t>
      </w:r>
      <w:r w:rsidRPr="005E758A">
        <w:t>項</w:t>
      </w:r>
    </w:p>
    <w:p w14:paraId="76D37C82" w14:textId="77777777" w:rsidR="00725277" w:rsidRPr="005E758A" w:rsidRDefault="00725277" w:rsidP="00D2135A">
      <w:pPr>
        <w:pStyle w:val="4"/>
        <w:numPr>
          <w:ilvl w:val="2"/>
          <w:numId w:val="86"/>
        </w:numPr>
      </w:pPr>
      <w:r w:rsidRPr="005E758A">
        <w:t>教育：</w:t>
      </w:r>
    </w:p>
    <w:p w14:paraId="2A5C72C0" w14:textId="77777777" w:rsidR="00725277" w:rsidRPr="005E758A" w:rsidRDefault="00725277" w:rsidP="00725277">
      <w:pPr>
        <w:pStyle w:val="a0"/>
        <w:snapToGrid w:val="0"/>
        <w:spacing w:before="100" w:beforeAutospacing="1" w:after="100" w:afterAutospacing="1"/>
        <w:ind w:leftChars="0" w:left="0" w:firstLineChars="200" w:firstLine="560"/>
        <w:jc w:val="both"/>
        <w:rPr>
          <w:rFonts w:ascii="Times New Roman" w:eastAsia="標楷體" w:hAnsi="Times New Roman"/>
          <w:sz w:val="28"/>
          <w:szCs w:val="28"/>
        </w:rPr>
      </w:pPr>
      <w:r w:rsidRPr="005E758A">
        <w:rPr>
          <w:rFonts w:ascii="Times New Roman" w:eastAsia="標楷體" w:hAnsi="Times New Roman"/>
          <w:sz w:val="28"/>
          <w:szCs w:val="28"/>
        </w:rPr>
        <w:t>公約雖未就「教育」一詞予以定義，但依據兒童權利委員會第</w:t>
      </w:r>
      <w:r w:rsidRPr="005E758A">
        <w:rPr>
          <w:rFonts w:ascii="Times New Roman" w:eastAsia="標楷體" w:hAnsi="Times New Roman"/>
          <w:sz w:val="28"/>
          <w:szCs w:val="28"/>
        </w:rPr>
        <w:t>1</w:t>
      </w:r>
      <w:r w:rsidRPr="005E758A">
        <w:rPr>
          <w:rFonts w:ascii="Times New Roman" w:eastAsia="標楷體" w:hAnsi="Times New Roman"/>
          <w:sz w:val="28"/>
          <w:szCs w:val="28"/>
        </w:rPr>
        <w:t>號一般性意見之說明，教育不限於由學校提供的正規教育，而是包括「可以促使兒童（不論是個別兒童或兒童群體）發展其人格、天賦、能力以及在社會中擁有完整與滿意生活的廣泛生命經歷與學習過程」</w:t>
      </w:r>
      <w:r w:rsidRPr="005E758A">
        <w:rPr>
          <w:rStyle w:val="af3"/>
          <w:rFonts w:ascii="Times New Roman" w:eastAsia="標楷體" w:hAnsi="Times New Roman"/>
          <w:sz w:val="28"/>
          <w:szCs w:val="28"/>
        </w:rPr>
        <w:endnoteReference w:id="369"/>
      </w:r>
      <w:r w:rsidRPr="005E758A">
        <w:rPr>
          <w:rFonts w:ascii="Times New Roman" w:eastAsia="標楷體" w:hAnsi="Times New Roman"/>
          <w:sz w:val="28"/>
          <w:szCs w:val="28"/>
        </w:rPr>
        <w:t>。</w:t>
      </w:r>
    </w:p>
    <w:p w14:paraId="37AAFC67" w14:textId="77777777" w:rsidR="00725277" w:rsidRPr="005E758A" w:rsidRDefault="00725277" w:rsidP="00725277">
      <w:pPr>
        <w:pStyle w:val="a0"/>
        <w:snapToGrid w:val="0"/>
        <w:spacing w:before="100" w:beforeAutospacing="1" w:after="100" w:afterAutospacing="1"/>
        <w:ind w:leftChars="0" w:left="0" w:firstLineChars="200" w:firstLine="560"/>
        <w:jc w:val="both"/>
        <w:rPr>
          <w:rFonts w:ascii="Times New Roman" w:eastAsia="標楷體" w:hAnsi="Times New Roman"/>
          <w:sz w:val="28"/>
          <w:szCs w:val="28"/>
        </w:rPr>
      </w:pPr>
      <w:r w:rsidRPr="005E758A">
        <w:rPr>
          <w:rFonts w:ascii="Times New Roman" w:eastAsia="標楷體" w:hAnsi="Times New Roman"/>
          <w:sz w:val="28"/>
          <w:szCs w:val="28"/>
        </w:rPr>
        <w:lastRenderedPageBreak/>
        <w:t>第</w:t>
      </w:r>
      <w:r w:rsidRPr="005E758A">
        <w:rPr>
          <w:rFonts w:ascii="Times New Roman" w:eastAsia="標楷體" w:hAnsi="Times New Roman"/>
          <w:sz w:val="28"/>
          <w:szCs w:val="28"/>
        </w:rPr>
        <w:t>1</w:t>
      </w:r>
      <w:r w:rsidRPr="005E758A">
        <w:rPr>
          <w:rFonts w:ascii="Times New Roman" w:eastAsia="標楷體" w:hAnsi="Times New Roman"/>
          <w:sz w:val="28"/>
          <w:szCs w:val="28"/>
        </w:rPr>
        <w:t>號一般性意見中提出教育應「以兒童為中心」之觀念，教育的關鍵目標是培養每</w:t>
      </w:r>
      <w:proofErr w:type="gramStart"/>
      <w:r w:rsidRPr="005E758A">
        <w:rPr>
          <w:rFonts w:ascii="Times New Roman" w:eastAsia="標楷體" w:hAnsi="Times New Roman"/>
          <w:sz w:val="28"/>
          <w:szCs w:val="28"/>
        </w:rPr>
        <w:t>個</w:t>
      </w:r>
      <w:proofErr w:type="gramEnd"/>
      <w:r w:rsidRPr="005E758A">
        <w:rPr>
          <w:rFonts w:ascii="Times New Roman" w:eastAsia="標楷體" w:hAnsi="Times New Roman"/>
          <w:sz w:val="28"/>
          <w:szCs w:val="28"/>
        </w:rPr>
        <w:t>兒童的品性、才智和能力，確認每</w:t>
      </w:r>
      <w:proofErr w:type="gramStart"/>
      <w:r w:rsidRPr="005E758A">
        <w:rPr>
          <w:rFonts w:ascii="Times New Roman" w:eastAsia="標楷體" w:hAnsi="Times New Roman"/>
          <w:sz w:val="28"/>
          <w:szCs w:val="28"/>
        </w:rPr>
        <w:t>個兒童均有獨特</w:t>
      </w:r>
      <w:proofErr w:type="gramEnd"/>
      <w:r w:rsidRPr="005E758A">
        <w:rPr>
          <w:rFonts w:ascii="Times New Roman" w:eastAsia="標楷體" w:hAnsi="Times New Roman"/>
          <w:sz w:val="28"/>
          <w:szCs w:val="28"/>
        </w:rPr>
        <w:t>的性格、興趣、能力和學習需要。因此，教學大綱必須與兒童的社會、文化、環境和經濟情況直接聯繫，與兒童的現在與未來直接聯結，並充分考慮到兒童的發展能力。教學方法應當兼顧不同兒童的需要。教學目標必須是確保每</w:t>
      </w:r>
      <w:proofErr w:type="gramStart"/>
      <w:r w:rsidRPr="005E758A">
        <w:rPr>
          <w:rFonts w:ascii="Times New Roman" w:eastAsia="標楷體" w:hAnsi="Times New Roman"/>
          <w:sz w:val="28"/>
          <w:szCs w:val="28"/>
        </w:rPr>
        <w:t>個</w:t>
      </w:r>
      <w:proofErr w:type="gramEnd"/>
      <w:r w:rsidRPr="005E758A">
        <w:rPr>
          <w:rFonts w:ascii="Times New Roman" w:eastAsia="標楷體" w:hAnsi="Times New Roman"/>
          <w:sz w:val="28"/>
          <w:szCs w:val="28"/>
        </w:rPr>
        <w:t>兒童學會基本的生活技能，不應有兒童在離校時還沒有掌握應付生活挑戰的能力。基本技能不僅包括識字和算術，而且也包括生活技能，例如有能力作出妥善的決定，以非暴力方式解決衝突，培養健康的生活方式，良好的社會關係和責任，辨別是非，創造才能及使兒童掌握追求生活目標的工具的其他能力</w:t>
      </w:r>
      <w:r w:rsidRPr="005E758A">
        <w:rPr>
          <w:rStyle w:val="af3"/>
          <w:rFonts w:ascii="Times New Roman" w:eastAsia="標楷體" w:hAnsi="Times New Roman"/>
          <w:sz w:val="28"/>
          <w:szCs w:val="28"/>
        </w:rPr>
        <w:endnoteReference w:id="370"/>
      </w:r>
      <w:r w:rsidRPr="005E758A">
        <w:rPr>
          <w:rFonts w:ascii="Times New Roman" w:eastAsia="標楷體" w:hAnsi="Times New Roman"/>
          <w:sz w:val="28"/>
          <w:szCs w:val="28"/>
        </w:rPr>
        <w:t>。</w:t>
      </w:r>
    </w:p>
    <w:p w14:paraId="35A1CE4A" w14:textId="77777777" w:rsidR="0004190A" w:rsidRPr="005E758A" w:rsidRDefault="00725277" w:rsidP="00D2135A">
      <w:pPr>
        <w:pStyle w:val="4"/>
        <w:numPr>
          <w:ilvl w:val="2"/>
          <w:numId w:val="86"/>
        </w:numPr>
      </w:pPr>
      <w:r w:rsidRPr="005E758A">
        <w:t>教育權之實踐應立基於「機會平</w:t>
      </w:r>
      <w:r w:rsidR="0004190A" w:rsidRPr="005E758A">
        <w:t>等之基礎上」</w:t>
      </w:r>
    </w:p>
    <w:p w14:paraId="1B73C2AE" w14:textId="77777777" w:rsidR="00725277" w:rsidRPr="005E758A" w:rsidRDefault="00725277" w:rsidP="0004190A">
      <w:pPr>
        <w:pStyle w:val="a0"/>
        <w:snapToGrid w:val="0"/>
        <w:spacing w:before="100" w:beforeAutospacing="1" w:after="100" w:afterAutospacing="1"/>
        <w:ind w:leftChars="0" w:left="0" w:firstLineChars="200" w:firstLine="560"/>
        <w:jc w:val="both"/>
        <w:rPr>
          <w:rFonts w:ascii="Times New Roman" w:eastAsia="標楷體" w:hAnsi="Times New Roman"/>
          <w:sz w:val="28"/>
          <w:szCs w:val="28"/>
        </w:rPr>
      </w:pPr>
      <w:r w:rsidRPr="005E758A">
        <w:rPr>
          <w:rFonts w:ascii="Times New Roman" w:eastAsia="標楷體" w:hAnsi="Times New Roman"/>
          <w:sz w:val="28"/>
          <w:szCs w:val="28"/>
        </w:rPr>
        <w:t>此處所強調的是公約第</w:t>
      </w:r>
      <w:r w:rsidRPr="005E758A">
        <w:rPr>
          <w:rFonts w:ascii="Times New Roman" w:eastAsia="標楷體" w:hAnsi="Times New Roman"/>
          <w:sz w:val="28"/>
          <w:szCs w:val="28"/>
        </w:rPr>
        <w:t>2</w:t>
      </w:r>
      <w:r w:rsidRPr="005E758A">
        <w:rPr>
          <w:rFonts w:ascii="Times New Roman" w:eastAsia="標楷體" w:hAnsi="Times New Roman"/>
          <w:sz w:val="28"/>
          <w:szCs w:val="28"/>
        </w:rPr>
        <w:t>條禁止歧視之原則。因為自身特殊處境而格外可能導致其受教權遭受影響的兒童族群包括：女童、偏遠地區兒童、少數族群兒童、身心障礙兒童、</w:t>
      </w:r>
      <w:proofErr w:type="gramStart"/>
      <w:r w:rsidRPr="005E758A">
        <w:rPr>
          <w:rFonts w:ascii="Times New Roman" w:eastAsia="標楷體" w:hAnsi="Times New Roman"/>
          <w:sz w:val="28"/>
          <w:szCs w:val="28"/>
        </w:rPr>
        <w:t>愛滋病</w:t>
      </w:r>
      <w:proofErr w:type="gramEnd"/>
      <w:r w:rsidRPr="005E758A">
        <w:rPr>
          <w:rFonts w:ascii="Times New Roman" w:eastAsia="標楷體" w:hAnsi="Times New Roman"/>
          <w:sz w:val="28"/>
          <w:szCs w:val="28"/>
        </w:rPr>
        <w:t>兒童</w:t>
      </w:r>
      <w:r w:rsidRPr="005E758A">
        <w:rPr>
          <w:rStyle w:val="af3"/>
          <w:rFonts w:ascii="Times New Roman" w:eastAsia="標楷體" w:hAnsi="Times New Roman"/>
          <w:sz w:val="28"/>
          <w:szCs w:val="28"/>
        </w:rPr>
        <w:endnoteReference w:id="371"/>
      </w:r>
      <w:r w:rsidRPr="005E758A">
        <w:rPr>
          <w:rFonts w:ascii="Times New Roman" w:eastAsia="標楷體" w:hAnsi="Times New Roman"/>
          <w:sz w:val="28"/>
          <w:szCs w:val="28"/>
        </w:rPr>
        <w:t>、因觸法而遭受監禁之兒童、遠離原籍國無人陪伴和無父母陪伴之兒童</w:t>
      </w:r>
      <w:r w:rsidRPr="005E758A">
        <w:rPr>
          <w:rStyle w:val="af3"/>
          <w:rFonts w:ascii="Times New Roman" w:eastAsia="標楷體" w:hAnsi="Times New Roman"/>
          <w:sz w:val="28"/>
          <w:szCs w:val="28"/>
        </w:rPr>
        <w:endnoteReference w:id="372"/>
      </w:r>
      <w:r w:rsidRPr="005E758A">
        <w:rPr>
          <w:rFonts w:ascii="Times New Roman" w:eastAsia="標楷體" w:hAnsi="Times New Roman"/>
          <w:sz w:val="28"/>
          <w:szCs w:val="28"/>
        </w:rPr>
        <w:t>等。</w:t>
      </w:r>
    </w:p>
    <w:p w14:paraId="43003FDD" w14:textId="77777777" w:rsidR="00725277" w:rsidRPr="005E758A" w:rsidRDefault="00725277" w:rsidP="0004190A">
      <w:pPr>
        <w:pStyle w:val="3"/>
      </w:pPr>
      <w:r w:rsidRPr="005E758A">
        <w:t>第</w:t>
      </w:r>
      <w:r w:rsidRPr="005E758A">
        <w:t>28</w:t>
      </w:r>
      <w:r w:rsidRPr="005E758A">
        <w:t>條第</w:t>
      </w:r>
      <w:r w:rsidRPr="005E758A">
        <w:t>2</w:t>
      </w:r>
      <w:r w:rsidRPr="005E758A">
        <w:t>項</w:t>
      </w:r>
    </w:p>
    <w:p w14:paraId="7B9ED307" w14:textId="77777777" w:rsidR="00725277" w:rsidRPr="005E758A" w:rsidRDefault="00725277" w:rsidP="0004190A">
      <w:pPr>
        <w:pStyle w:val="a0"/>
        <w:snapToGrid w:val="0"/>
        <w:spacing w:before="100" w:beforeAutospacing="1" w:after="100" w:afterAutospacing="1"/>
        <w:ind w:leftChars="0" w:left="0" w:firstLineChars="200" w:firstLine="560"/>
        <w:jc w:val="both"/>
        <w:rPr>
          <w:rFonts w:ascii="Times New Roman" w:eastAsia="標楷體" w:hAnsi="Times New Roman"/>
          <w:sz w:val="28"/>
          <w:szCs w:val="28"/>
        </w:rPr>
      </w:pPr>
      <w:r w:rsidRPr="005E758A">
        <w:rPr>
          <w:rFonts w:ascii="Times New Roman" w:eastAsia="標楷體" w:hAnsi="Times New Roman"/>
          <w:sz w:val="28"/>
          <w:szCs w:val="28"/>
        </w:rPr>
        <w:tab/>
      </w:r>
      <w:r w:rsidRPr="005E758A">
        <w:rPr>
          <w:rFonts w:ascii="Times New Roman" w:eastAsia="標楷體" w:hAnsi="Times New Roman"/>
          <w:sz w:val="28"/>
          <w:szCs w:val="28"/>
        </w:rPr>
        <w:t>本項要求國家應確保「學校執行紀律之方式，係符合兒童之人格尊嚴及本公約規定」。第</w:t>
      </w:r>
      <w:r w:rsidRPr="005E758A">
        <w:rPr>
          <w:rFonts w:ascii="Times New Roman" w:eastAsia="標楷體" w:hAnsi="Times New Roman"/>
          <w:sz w:val="28"/>
          <w:szCs w:val="28"/>
        </w:rPr>
        <w:t>28</w:t>
      </w:r>
      <w:r w:rsidRPr="005E758A">
        <w:rPr>
          <w:rFonts w:ascii="Times New Roman" w:eastAsia="標楷體" w:hAnsi="Times New Roman"/>
          <w:sz w:val="28"/>
          <w:szCs w:val="28"/>
        </w:rPr>
        <w:t>條第</w:t>
      </w:r>
      <w:r w:rsidRPr="005E758A">
        <w:rPr>
          <w:rFonts w:ascii="Times New Roman" w:eastAsia="標楷體" w:hAnsi="Times New Roman"/>
          <w:sz w:val="28"/>
          <w:szCs w:val="28"/>
        </w:rPr>
        <w:t>2</w:t>
      </w:r>
      <w:r w:rsidRPr="005E758A">
        <w:rPr>
          <w:rFonts w:ascii="Times New Roman" w:eastAsia="標楷體" w:hAnsi="Times New Roman"/>
          <w:sz w:val="28"/>
          <w:szCs w:val="28"/>
        </w:rPr>
        <w:t>款並未明確地提及體罰，公約的準備工作文件也沒有紀錄說明在起草會議的討論</w:t>
      </w:r>
      <w:proofErr w:type="gramStart"/>
      <w:r w:rsidRPr="005E758A">
        <w:rPr>
          <w:rFonts w:ascii="Times New Roman" w:eastAsia="標楷體" w:hAnsi="Times New Roman"/>
          <w:sz w:val="28"/>
          <w:szCs w:val="28"/>
        </w:rPr>
        <w:t>期間，</w:t>
      </w:r>
      <w:proofErr w:type="gramEnd"/>
      <w:r w:rsidRPr="005E758A">
        <w:rPr>
          <w:rFonts w:ascii="Times New Roman" w:eastAsia="標楷體" w:hAnsi="Times New Roman"/>
          <w:sz w:val="28"/>
          <w:szCs w:val="28"/>
        </w:rPr>
        <w:t>對體罰問題進行過任何討論。但是本公約與所有其他人權文件一樣，都必須被視為</w:t>
      </w:r>
      <w:proofErr w:type="gramStart"/>
      <w:r w:rsidRPr="005E758A">
        <w:rPr>
          <w:rFonts w:ascii="Times New Roman" w:eastAsia="標楷體" w:hAnsi="Times New Roman"/>
          <w:sz w:val="28"/>
          <w:szCs w:val="28"/>
        </w:rPr>
        <w:t>一項活的文件</w:t>
      </w:r>
      <w:proofErr w:type="gramEnd"/>
      <w:r w:rsidRPr="005E758A">
        <w:rPr>
          <w:rFonts w:ascii="Times New Roman" w:eastAsia="標楷體" w:hAnsi="Times New Roman"/>
          <w:sz w:val="28"/>
          <w:szCs w:val="28"/>
        </w:rPr>
        <w:t>，對文件的解釋應與時俱進。通過本公約規定的報告程序和各國人權機構和非政府組織等各方面展開的研究和倡議，已更加明顯地表明了，兒童在其家庭、學校及其他機構中遭受體罰的情況十分普遍</w:t>
      </w:r>
      <w:r w:rsidRPr="005E758A">
        <w:rPr>
          <w:rStyle w:val="af3"/>
          <w:rFonts w:ascii="Times New Roman" w:eastAsia="標楷體" w:hAnsi="Times New Roman"/>
          <w:sz w:val="28"/>
          <w:szCs w:val="28"/>
        </w:rPr>
        <w:endnoteReference w:id="373"/>
      </w:r>
      <w:r w:rsidRPr="005E758A">
        <w:rPr>
          <w:rFonts w:ascii="Times New Roman" w:eastAsia="標楷體" w:hAnsi="Times New Roman"/>
          <w:sz w:val="28"/>
          <w:szCs w:val="28"/>
        </w:rPr>
        <w:t>。學校對兒童之體罰明顯與本規定有所牴觸，但其他類型的紀律方式亦可能對兒童之人格尊嚴造成侵害，例如公然對兒童使用羞辱性之言語等。</w:t>
      </w:r>
      <w:proofErr w:type="gramStart"/>
      <w:r w:rsidRPr="005E758A">
        <w:rPr>
          <w:rFonts w:ascii="Times New Roman" w:eastAsia="標楷體" w:hAnsi="Times New Roman"/>
          <w:sz w:val="28"/>
          <w:szCs w:val="28"/>
        </w:rPr>
        <w:t>此外，</w:t>
      </w:r>
      <w:proofErr w:type="gramEnd"/>
      <w:r w:rsidRPr="005E758A">
        <w:rPr>
          <w:rFonts w:ascii="Times New Roman" w:eastAsia="標楷體" w:hAnsi="Times New Roman"/>
          <w:sz w:val="28"/>
          <w:szCs w:val="28"/>
        </w:rPr>
        <w:t>聯合國經濟、社會和文化權利委員會也曾指出「任何形式的紀律手段皆不得與公約之其他權利項目有所牴觸，例如獲得食物之權利。締約國應確保其境內之公、私立學校不採取該等違反公約之紀律手段。」</w:t>
      </w:r>
      <w:r w:rsidRPr="005E758A">
        <w:rPr>
          <w:rStyle w:val="af3"/>
          <w:rFonts w:ascii="Times New Roman" w:eastAsia="標楷體" w:hAnsi="Times New Roman"/>
          <w:sz w:val="28"/>
          <w:szCs w:val="28"/>
        </w:rPr>
        <w:endnoteReference w:id="374"/>
      </w:r>
    </w:p>
    <w:p w14:paraId="1712BA44" w14:textId="77777777" w:rsidR="00725277" w:rsidRPr="005E758A" w:rsidRDefault="00725277" w:rsidP="0004190A">
      <w:pPr>
        <w:pStyle w:val="a0"/>
        <w:snapToGrid w:val="0"/>
        <w:spacing w:before="100" w:beforeAutospacing="1" w:after="100" w:afterAutospacing="1"/>
        <w:ind w:leftChars="0" w:left="0" w:firstLineChars="200" w:firstLine="560"/>
        <w:jc w:val="both"/>
        <w:rPr>
          <w:rFonts w:ascii="Times New Roman" w:eastAsia="標楷體" w:hAnsi="Times New Roman"/>
          <w:sz w:val="28"/>
          <w:szCs w:val="28"/>
        </w:rPr>
      </w:pPr>
      <w:r w:rsidRPr="005E758A">
        <w:rPr>
          <w:rFonts w:ascii="Times New Roman" w:eastAsia="標楷體" w:hAnsi="Times New Roman"/>
          <w:sz w:val="28"/>
          <w:szCs w:val="28"/>
        </w:rPr>
        <w:t>另一方面，由於開除學籍係屬學校可能</w:t>
      </w:r>
      <w:proofErr w:type="gramStart"/>
      <w:r w:rsidRPr="005E758A">
        <w:rPr>
          <w:rFonts w:ascii="Times New Roman" w:eastAsia="標楷體" w:hAnsi="Times New Roman"/>
          <w:sz w:val="28"/>
          <w:szCs w:val="28"/>
        </w:rPr>
        <w:t>採</w:t>
      </w:r>
      <w:proofErr w:type="gramEnd"/>
      <w:r w:rsidRPr="005E758A">
        <w:rPr>
          <w:rFonts w:ascii="Times New Roman" w:eastAsia="標楷體" w:hAnsi="Times New Roman"/>
          <w:sz w:val="28"/>
          <w:szCs w:val="28"/>
        </w:rPr>
        <w:t>行之最嚴厲紀律方式，因此應具備程序之正當性；不論是暫時性或永久性之處分，兒童事前應有陳述意見之權利，且亦得提出申訴，而國家則應確保該兒童於遭受開除學籍後仍有機會持續地接受全職教育</w:t>
      </w:r>
      <w:r w:rsidRPr="005E758A">
        <w:rPr>
          <w:rStyle w:val="af3"/>
          <w:rFonts w:ascii="Times New Roman" w:eastAsia="標楷體" w:hAnsi="Times New Roman"/>
          <w:sz w:val="28"/>
          <w:szCs w:val="28"/>
        </w:rPr>
        <w:endnoteReference w:id="375"/>
      </w:r>
      <w:r w:rsidRPr="005E758A">
        <w:rPr>
          <w:rFonts w:ascii="Times New Roman" w:eastAsia="標楷體" w:hAnsi="Times New Roman"/>
          <w:sz w:val="28"/>
          <w:szCs w:val="28"/>
        </w:rPr>
        <w:t>。</w:t>
      </w:r>
    </w:p>
    <w:p w14:paraId="44808CF5" w14:textId="77777777" w:rsidR="00725277" w:rsidRPr="005E758A" w:rsidRDefault="00725277" w:rsidP="0004190A">
      <w:pPr>
        <w:pStyle w:val="3"/>
      </w:pPr>
      <w:r w:rsidRPr="005E758A">
        <w:lastRenderedPageBreak/>
        <w:t>第</w:t>
      </w:r>
      <w:r w:rsidRPr="005E758A">
        <w:t>28</w:t>
      </w:r>
      <w:r w:rsidRPr="005E758A">
        <w:t>條第</w:t>
      </w:r>
      <w:r w:rsidRPr="005E758A">
        <w:t>3</w:t>
      </w:r>
      <w:r w:rsidRPr="005E758A">
        <w:t>項</w:t>
      </w:r>
    </w:p>
    <w:p w14:paraId="12AC6D12" w14:textId="77777777" w:rsidR="00725277" w:rsidRPr="005E758A" w:rsidRDefault="00725277" w:rsidP="0004190A">
      <w:pPr>
        <w:pStyle w:val="a0"/>
        <w:snapToGrid w:val="0"/>
        <w:spacing w:before="100" w:beforeAutospacing="1" w:after="100" w:afterAutospacing="1"/>
        <w:ind w:leftChars="0" w:left="0" w:firstLineChars="200" w:firstLine="560"/>
        <w:jc w:val="both"/>
        <w:rPr>
          <w:rFonts w:ascii="Times New Roman" w:eastAsia="標楷體" w:hAnsi="Times New Roman"/>
          <w:sz w:val="28"/>
          <w:szCs w:val="28"/>
        </w:rPr>
      </w:pPr>
      <w:r w:rsidRPr="005E758A">
        <w:rPr>
          <w:rFonts w:ascii="Times New Roman" w:eastAsia="標楷體" w:hAnsi="Times New Roman"/>
          <w:sz w:val="28"/>
          <w:szCs w:val="28"/>
        </w:rPr>
        <w:t>教育事項之「國際合作」方面，國家則應透過經驗分享，包括師資訓練、符合科學之現代教學方法等教育技能之交流，彼此相互學習，以提升教學品質。</w:t>
      </w:r>
    </w:p>
    <w:p w14:paraId="7BE10BC0" w14:textId="77777777" w:rsidR="00725277" w:rsidRPr="005E758A" w:rsidRDefault="00725277" w:rsidP="0004190A">
      <w:pPr>
        <w:pStyle w:val="2"/>
      </w:pPr>
      <w:r w:rsidRPr="005E758A">
        <w:t>案例介紹</w:t>
      </w:r>
    </w:p>
    <w:p w14:paraId="038CB825" w14:textId="77777777" w:rsidR="00EA57D7" w:rsidRPr="005E758A" w:rsidRDefault="00EA57D7" w:rsidP="00EA57D7">
      <w:pPr>
        <w:pStyle w:val="3"/>
        <w:numPr>
          <w:ilvl w:val="0"/>
          <w:numId w:val="87"/>
        </w:numPr>
      </w:pPr>
      <w:r w:rsidRPr="005E758A">
        <w:t>2015</w:t>
      </w:r>
      <w:r w:rsidRPr="005E758A">
        <w:t>年歐洲社會權委員會管教權案：</w:t>
      </w:r>
      <w:r w:rsidRPr="005E758A">
        <w:t>Association for the Protection of All Children (APPROACH) v. France</w:t>
      </w:r>
      <w:r w:rsidRPr="005E758A">
        <w:rPr>
          <w:rStyle w:val="af3"/>
          <w:szCs w:val="28"/>
        </w:rPr>
        <w:endnoteReference w:id="376"/>
      </w:r>
    </w:p>
    <w:p w14:paraId="48810C6D" w14:textId="77777777" w:rsidR="00EA57D7" w:rsidRPr="005E758A" w:rsidRDefault="00EA57D7" w:rsidP="00EA57D7">
      <w:pPr>
        <w:pStyle w:val="a0"/>
        <w:snapToGrid w:val="0"/>
        <w:spacing w:before="100" w:beforeAutospacing="1" w:after="100" w:afterAutospacing="1"/>
        <w:ind w:leftChars="0" w:left="0" w:firstLineChars="200" w:firstLine="560"/>
        <w:jc w:val="both"/>
        <w:rPr>
          <w:rFonts w:ascii="Times New Roman" w:eastAsia="標楷體" w:hAnsi="Times New Roman"/>
          <w:sz w:val="28"/>
          <w:szCs w:val="28"/>
        </w:rPr>
      </w:pPr>
      <w:r w:rsidRPr="005E758A">
        <w:rPr>
          <w:rFonts w:ascii="Times New Roman" w:eastAsia="標楷體" w:hAnsi="Times New Roman"/>
          <w:sz w:val="28"/>
          <w:szCs w:val="28"/>
        </w:rPr>
        <w:t>長久以來，法國法院皆認定「管教權</w:t>
      </w:r>
      <w:r w:rsidRPr="005E758A">
        <w:rPr>
          <w:rFonts w:ascii="Times New Roman" w:eastAsia="標楷體" w:hAnsi="Times New Roman"/>
          <w:sz w:val="28"/>
          <w:szCs w:val="28"/>
        </w:rPr>
        <w:t>(right of correction)</w:t>
      </w:r>
      <w:r w:rsidRPr="005E758A">
        <w:rPr>
          <w:rFonts w:ascii="Times New Roman" w:eastAsia="標楷體" w:hAnsi="Times New Roman"/>
          <w:sz w:val="28"/>
          <w:szCs w:val="28"/>
        </w:rPr>
        <w:t>」存在於習慣法中，亦即有許多種體罰係屬合法，有些存在家庭中，有些存在於替代照護或學校中。因此，法國國內法中，包含</w:t>
      </w:r>
      <w:proofErr w:type="gramStart"/>
      <w:r w:rsidRPr="005E758A">
        <w:rPr>
          <w:rFonts w:ascii="Times New Roman" w:eastAsia="標楷體" w:hAnsi="Times New Roman"/>
          <w:sz w:val="28"/>
          <w:szCs w:val="28"/>
        </w:rPr>
        <w:t>民法及刑法典</w:t>
      </w:r>
      <w:proofErr w:type="gramEnd"/>
      <w:r w:rsidRPr="005E758A">
        <w:rPr>
          <w:rFonts w:ascii="Times New Roman" w:eastAsia="標楷體" w:hAnsi="Times New Roman"/>
          <w:sz w:val="28"/>
          <w:szCs w:val="28"/>
        </w:rPr>
        <w:t>裡關於暴力及兒童暴力之規定並不符合禁止所有形式之體罰。</w:t>
      </w:r>
    </w:p>
    <w:p w14:paraId="19C69927" w14:textId="77777777" w:rsidR="00EA57D7" w:rsidRPr="005E758A" w:rsidRDefault="00EA57D7" w:rsidP="00EA57D7">
      <w:pPr>
        <w:pStyle w:val="a0"/>
        <w:snapToGrid w:val="0"/>
        <w:spacing w:before="100" w:beforeAutospacing="1" w:after="100" w:afterAutospacing="1"/>
        <w:ind w:leftChars="0" w:left="0" w:firstLineChars="200" w:firstLine="560"/>
        <w:jc w:val="both"/>
        <w:rPr>
          <w:rFonts w:ascii="Times New Roman" w:eastAsia="標楷體" w:hAnsi="Times New Roman"/>
          <w:sz w:val="28"/>
          <w:szCs w:val="28"/>
        </w:rPr>
      </w:pPr>
      <w:r w:rsidRPr="005E758A">
        <w:rPr>
          <w:rFonts w:ascii="Times New Roman" w:eastAsia="標楷體" w:hAnsi="Times New Roman"/>
          <w:sz w:val="28"/>
          <w:szCs w:val="28"/>
        </w:rPr>
        <w:t>本案原告</w:t>
      </w:r>
      <w:r w:rsidRPr="005E758A">
        <w:rPr>
          <w:rFonts w:ascii="Times New Roman" w:eastAsia="標楷體" w:hAnsi="Times New Roman"/>
          <w:sz w:val="28"/>
          <w:szCs w:val="28"/>
        </w:rPr>
        <w:t>APPROACH</w:t>
      </w:r>
      <w:r w:rsidRPr="005E758A">
        <w:rPr>
          <w:rFonts w:ascii="Times New Roman" w:eastAsia="標楷體" w:hAnsi="Times New Roman"/>
          <w:sz w:val="28"/>
          <w:szCs w:val="28"/>
        </w:rPr>
        <w:t>為致力於禁止所有對兒童之體罰之團體，其向歐洲議會</w:t>
      </w:r>
      <w:r w:rsidRPr="005E758A">
        <w:rPr>
          <w:rFonts w:ascii="Times New Roman" w:eastAsia="標楷體" w:hAnsi="Times New Roman"/>
          <w:sz w:val="28"/>
          <w:szCs w:val="28"/>
        </w:rPr>
        <w:t>(Council of Europe)</w:t>
      </w:r>
      <w:r w:rsidRPr="005E758A">
        <w:rPr>
          <w:rFonts w:ascii="Times New Roman" w:eastAsia="標楷體" w:hAnsi="Times New Roman"/>
          <w:sz w:val="28"/>
          <w:szCs w:val="28"/>
        </w:rPr>
        <w:t>下之社會權利委員會</w:t>
      </w:r>
      <w:r w:rsidRPr="005E758A">
        <w:rPr>
          <w:rFonts w:ascii="Times New Roman" w:eastAsia="標楷體" w:hAnsi="Times New Roman"/>
          <w:sz w:val="28"/>
          <w:szCs w:val="28"/>
        </w:rPr>
        <w:t>(European Committee of Social Rights)</w:t>
      </w:r>
      <w:r w:rsidRPr="005E758A">
        <w:rPr>
          <w:rFonts w:ascii="Times New Roman" w:eastAsia="標楷體" w:hAnsi="Times New Roman"/>
          <w:sz w:val="28"/>
          <w:szCs w:val="28"/>
        </w:rPr>
        <w:t>提告，認為法國民</w:t>
      </w:r>
      <w:proofErr w:type="gramStart"/>
      <w:r w:rsidRPr="005E758A">
        <w:rPr>
          <w:rFonts w:ascii="Times New Roman" w:eastAsia="標楷體" w:hAnsi="Times New Roman"/>
          <w:sz w:val="28"/>
          <w:szCs w:val="28"/>
        </w:rPr>
        <w:t>法典及刑法典</w:t>
      </w:r>
      <w:proofErr w:type="gramEnd"/>
      <w:r w:rsidRPr="005E758A">
        <w:rPr>
          <w:rFonts w:ascii="Times New Roman" w:eastAsia="標楷體" w:hAnsi="Times New Roman"/>
          <w:sz w:val="28"/>
          <w:szCs w:val="28"/>
        </w:rPr>
        <w:t>之相關規定違反「修正後之歐洲社會憲章</w:t>
      </w:r>
      <w:r w:rsidRPr="005E758A">
        <w:rPr>
          <w:rFonts w:ascii="Times New Roman" w:eastAsia="標楷體" w:hAnsi="Times New Roman"/>
          <w:sz w:val="28"/>
          <w:szCs w:val="28"/>
        </w:rPr>
        <w:t>(Revised European Social Charter)</w:t>
      </w:r>
      <w:r w:rsidRPr="005E758A">
        <w:rPr>
          <w:rFonts w:ascii="Times New Roman" w:eastAsia="標楷體" w:hAnsi="Times New Roman"/>
          <w:sz w:val="28"/>
          <w:szCs w:val="28"/>
        </w:rPr>
        <w:t>」第</w:t>
      </w:r>
      <w:r w:rsidRPr="005E758A">
        <w:rPr>
          <w:rFonts w:ascii="Times New Roman" w:eastAsia="標楷體" w:hAnsi="Times New Roman"/>
          <w:sz w:val="28"/>
          <w:szCs w:val="28"/>
        </w:rPr>
        <w:t>17</w:t>
      </w:r>
      <w:r w:rsidRPr="005E758A">
        <w:rPr>
          <w:rFonts w:ascii="Times New Roman" w:eastAsia="標楷體" w:hAnsi="Times New Roman"/>
          <w:sz w:val="28"/>
          <w:szCs w:val="28"/>
        </w:rPr>
        <w:t>條之規定，係因其未明白且有效的禁止所有在家庭、學校或其他場所對兒童之體罰，故法國並未履行其忠實義務以改善實際上發生的體罰。</w:t>
      </w:r>
    </w:p>
    <w:p w14:paraId="72EE21B1" w14:textId="77777777" w:rsidR="00EA57D7" w:rsidRPr="005E758A" w:rsidRDefault="00EA57D7" w:rsidP="00EA57D7">
      <w:pPr>
        <w:pStyle w:val="a0"/>
        <w:snapToGrid w:val="0"/>
        <w:spacing w:before="100" w:beforeAutospacing="1" w:after="100" w:afterAutospacing="1"/>
        <w:ind w:leftChars="0" w:left="0" w:firstLineChars="200" w:firstLine="560"/>
        <w:jc w:val="both"/>
        <w:rPr>
          <w:rFonts w:ascii="Times New Roman" w:eastAsia="標楷體" w:hAnsi="Times New Roman"/>
          <w:sz w:val="28"/>
          <w:szCs w:val="28"/>
        </w:rPr>
      </w:pPr>
      <w:r w:rsidRPr="005E758A">
        <w:rPr>
          <w:rFonts w:ascii="Times New Roman" w:eastAsia="標楷體" w:hAnsi="Times New Roman"/>
          <w:sz w:val="28"/>
          <w:szCs w:val="28"/>
        </w:rPr>
        <w:t>本案爭點在於國內法所承認之體罰是否為歐洲人權公約所接受。委員會指出在歐洲法及國際法中對於兒童的體罰應被禁止之意旨相當雷同，特別是根據聯合國兒童權利委員會第</w:t>
      </w:r>
      <w:r w:rsidRPr="005E758A">
        <w:rPr>
          <w:rFonts w:ascii="Times New Roman" w:eastAsia="標楷體" w:hAnsi="Times New Roman"/>
          <w:sz w:val="28"/>
          <w:szCs w:val="28"/>
        </w:rPr>
        <w:t>8</w:t>
      </w:r>
      <w:r w:rsidRPr="005E758A">
        <w:rPr>
          <w:rFonts w:ascii="Times New Roman" w:eastAsia="標楷體" w:hAnsi="Times New Roman"/>
          <w:sz w:val="28"/>
          <w:szCs w:val="28"/>
        </w:rPr>
        <w:t>號一般性意見及第</w:t>
      </w:r>
      <w:r w:rsidRPr="005E758A">
        <w:rPr>
          <w:rFonts w:ascii="Times New Roman" w:eastAsia="標楷體" w:hAnsi="Times New Roman"/>
          <w:sz w:val="28"/>
          <w:szCs w:val="28"/>
        </w:rPr>
        <w:t>13</w:t>
      </w:r>
      <w:r w:rsidRPr="005E758A">
        <w:rPr>
          <w:rFonts w:ascii="Times New Roman" w:eastAsia="標楷體" w:hAnsi="Times New Roman"/>
          <w:sz w:val="28"/>
          <w:szCs w:val="28"/>
        </w:rPr>
        <w:t>號意見。本案委員會依循先例</w:t>
      </w:r>
      <w:r w:rsidRPr="005E758A">
        <w:rPr>
          <w:rStyle w:val="af3"/>
          <w:rFonts w:ascii="Times New Roman" w:eastAsia="標楷體" w:hAnsi="Times New Roman"/>
          <w:sz w:val="28"/>
          <w:szCs w:val="28"/>
        </w:rPr>
        <w:endnoteReference w:id="377"/>
      </w:r>
      <w:r w:rsidRPr="005E758A">
        <w:rPr>
          <w:rFonts w:ascii="Times New Roman" w:eastAsia="標楷體" w:hAnsi="Times New Roman"/>
          <w:sz w:val="28"/>
          <w:szCs w:val="28"/>
        </w:rPr>
        <w:t>，認為國家之國內法應禁止並處罰對兒童所有形式之暴力，如行為或舉動可能影響兒童之生理</w:t>
      </w:r>
      <w:proofErr w:type="gramStart"/>
      <w:r w:rsidRPr="005E758A">
        <w:rPr>
          <w:rFonts w:ascii="Times New Roman" w:eastAsia="標楷體" w:hAnsi="Times New Roman"/>
          <w:sz w:val="28"/>
          <w:szCs w:val="28"/>
        </w:rPr>
        <w:t>健全、</w:t>
      </w:r>
      <w:proofErr w:type="gramEnd"/>
      <w:r w:rsidRPr="005E758A">
        <w:rPr>
          <w:rFonts w:ascii="Times New Roman" w:eastAsia="標楷體" w:hAnsi="Times New Roman"/>
          <w:sz w:val="28"/>
          <w:szCs w:val="28"/>
        </w:rPr>
        <w:t>尊嚴或發展，或心理狀態等。相關禁令應清楚明白，且須具拘束力，以使法院無從排除適用任何對兒童之暴力。甚者，國家應盡其忠實義務確保此暴力能盡力被消除。</w:t>
      </w:r>
    </w:p>
    <w:p w14:paraId="348F69CE" w14:textId="77777777" w:rsidR="00EA57D7" w:rsidRPr="005E758A" w:rsidRDefault="00EA57D7" w:rsidP="00EA57D7">
      <w:pPr>
        <w:pStyle w:val="a0"/>
        <w:snapToGrid w:val="0"/>
        <w:spacing w:before="100" w:beforeAutospacing="1" w:after="100" w:afterAutospacing="1"/>
        <w:ind w:leftChars="0" w:left="0" w:firstLineChars="200" w:firstLine="560"/>
        <w:jc w:val="both"/>
        <w:rPr>
          <w:rFonts w:ascii="Times New Roman" w:eastAsia="標楷體" w:hAnsi="Times New Roman"/>
          <w:sz w:val="28"/>
          <w:szCs w:val="28"/>
        </w:rPr>
      </w:pPr>
      <w:r w:rsidRPr="005E758A">
        <w:rPr>
          <w:rFonts w:ascii="Times New Roman" w:eastAsia="標楷體" w:hAnsi="Times New Roman"/>
          <w:sz w:val="28"/>
          <w:szCs w:val="28"/>
        </w:rPr>
        <w:t>委員會肯認法國法中對於嚴重之兒童暴力行為之禁止，且國內法院亦會制裁達到一定嚴重程度之體罰。</w:t>
      </w:r>
      <w:proofErr w:type="gramStart"/>
      <w:r w:rsidRPr="005E758A">
        <w:rPr>
          <w:rFonts w:ascii="Times New Roman" w:eastAsia="標楷體" w:hAnsi="Times New Roman"/>
          <w:sz w:val="28"/>
          <w:szCs w:val="28"/>
        </w:rPr>
        <w:t>惟</w:t>
      </w:r>
      <w:proofErr w:type="gramEnd"/>
      <w:r w:rsidRPr="005E758A">
        <w:rPr>
          <w:rFonts w:ascii="Times New Roman" w:eastAsia="標楷體" w:hAnsi="Times New Roman"/>
          <w:sz w:val="28"/>
          <w:szCs w:val="28"/>
        </w:rPr>
        <w:t>前述規範皆未禁止所有形式之體罰，可能造成兒童之生理</w:t>
      </w:r>
      <w:proofErr w:type="gramStart"/>
      <w:r w:rsidRPr="005E758A">
        <w:rPr>
          <w:rFonts w:ascii="Times New Roman" w:eastAsia="標楷體" w:hAnsi="Times New Roman"/>
          <w:sz w:val="28"/>
          <w:szCs w:val="28"/>
        </w:rPr>
        <w:t>健全、</w:t>
      </w:r>
      <w:proofErr w:type="gramEnd"/>
      <w:r w:rsidRPr="005E758A">
        <w:rPr>
          <w:rFonts w:ascii="Times New Roman" w:eastAsia="標楷體" w:hAnsi="Times New Roman"/>
          <w:sz w:val="28"/>
          <w:szCs w:val="28"/>
        </w:rPr>
        <w:t>尊嚴或發展，或心理狀態受影響。且司法上確認之「管教權」是否繼續存在並不明確，亦無明確之案例禁止實施體罰。因此，委員會認定法國違反修正歐洲社會憲章第</w:t>
      </w:r>
      <w:r w:rsidRPr="005E758A">
        <w:rPr>
          <w:rFonts w:ascii="Times New Roman" w:eastAsia="標楷體" w:hAnsi="Times New Roman"/>
          <w:sz w:val="28"/>
          <w:szCs w:val="28"/>
        </w:rPr>
        <w:t>17</w:t>
      </w:r>
      <w:r w:rsidRPr="005E758A">
        <w:rPr>
          <w:rFonts w:ascii="Times New Roman" w:eastAsia="標楷體" w:hAnsi="Times New Roman"/>
          <w:sz w:val="28"/>
          <w:szCs w:val="28"/>
        </w:rPr>
        <w:t>條之規定。</w:t>
      </w:r>
    </w:p>
    <w:p w14:paraId="7CDAC9E4" w14:textId="77777777" w:rsidR="00725277" w:rsidRPr="005E758A" w:rsidRDefault="00725277" w:rsidP="00D2135A">
      <w:pPr>
        <w:pStyle w:val="3"/>
        <w:numPr>
          <w:ilvl w:val="0"/>
          <w:numId w:val="87"/>
        </w:numPr>
      </w:pPr>
      <w:r w:rsidRPr="005E758A">
        <w:lastRenderedPageBreak/>
        <w:t>2009</w:t>
      </w:r>
      <w:r w:rsidRPr="005E758A">
        <w:t>年史瓦濟蘭</w:t>
      </w:r>
      <w:r w:rsidR="00EA57D7" w:rsidRPr="005E758A">
        <w:t>高等法院</w:t>
      </w:r>
      <w:r w:rsidRPr="005E758A">
        <w:t>初等教育</w:t>
      </w:r>
      <w:r w:rsidRPr="005E758A">
        <w:rPr>
          <w:shd w:val="clear" w:color="auto" w:fill="FFFFFF"/>
        </w:rPr>
        <w:t>案</w:t>
      </w:r>
      <w:r w:rsidR="00EA57D7" w:rsidRPr="005E758A">
        <w:t>：</w:t>
      </w:r>
      <w:r w:rsidRPr="005E758A">
        <w:rPr>
          <w:shd w:val="clear" w:color="auto" w:fill="FFFFFF"/>
        </w:rPr>
        <w:t>Swaziland National Ex-Miners Workers Association v. The Minister of Education and Others</w:t>
      </w:r>
      <w:r w:rsidRPr="005E758A">
        <w:rPr>
          <w:rStyle w:val="af3"/>
          <w:szCs w:val="28"/>
          <w:shd w:val="clear" w:color="auto" w:fill="FFFFFF"/>
        </w:rPr>
        <w:endnoteReference w:id="378"/>
      </w:r>
    </w:p>
    <w:p w14:paraId="708029A9" w14:textId="77777777" w:rsidR="00725277" w:rsidRPr="005E758A" w:rsidRDefault="00725277" w:rsidP="0004190A">
      <w:pPr>
        <w:pStyle w:val="a0"/>
        <w:snapToGrid w:val="0"/>
        <w:spacing w:before="100" w:beforeAutospacing="1" w:after="100" w:afterAutospacing="1"/>
        <w:ind w:leftChars="0" w:left="0" w:firstLineChars="200" w:firstLine="560"/>
        <w:jc w:val="both"/>
        <w:rPr>
          <w:rFonts w:ascii="Times New Roman" w:eastAsia="標楷體" w:hAnsi="Times New Roman"/>
          <w:sz w:val="28"/>
          <w:szCs w:val="28"/>
        </w:rPr>
      </w:pPr>
      <w:r w:rsidRPr="005E758A">
        <w:rPr>
          <w:rFonts w:ascii="Times New Roman" w:eastAsia="標楷體" w:hAnsi="Times New Roman"/>
          <w:sz w:val="28"/>
          <w:szCs w:val="28"/>
        </w:rPr>
        <w:t>一個由前礦工與學齡兒童家長組成之協會向法院遞交一份請求，要求史瓦濟蘭政府在公立學校提供每位史瓦濟蘭兒童免費教育，這係基於史國憲法第</w:t>
      </w:r>
      <w:r w:rsidRPr="005E758A">
        <w:rPr>
          <w:rFonts w:ascii="Times New Roman" w:eastAsia="標楷體" w:hAnsi="Times New Roman"/>
          <w:sz w:val="28"/>
          <w:szCs w:val="28"/>
        </w:rPr>
        <w:t>29</w:t>
      </w:r>
      <w:r w:rsidRPr="005E758A">
        <w:rPr>
          <w:rFonts w:ascii="Times New Roman" w:eastAsia="標楷體" w:hAnsi="Times New Roman"/>
          <w:sz w:val="28"/>
          <w:szCs w:val="28"/>
        </w:rPr>
        <w:t>條第</w:t>
      </w:r>
      <w:r w:rsidRPr="005E758A">
        <w:rPr>
          <w:rFonts w:ascii="Times New Roman" w:eastAsia="標楷體" w:hAnsi="Times New Roman"/>
          <w:sz w:val="28"/>
          <w:szCs w:val="28"/>
        </w:rPr>
        <w:t>6</w:t>
      </w:r>
      <w:r w:rsidRPr="005E758A">
        <w:rPr>
          <w:rFonts w:ascii="Times New Roman" w:eastAsia="標楷體" w:hAnsi="Times New Roman"/>
          <w:sz w:val="28"/>
          <w:szCs w:val="28"/>
        </w:rPr>
        <w:t>項之規定：「所有史瓦濟蘭兒童基於本憲法實行後三年內有權於公立學校享有免費教育，自一年級至初等學校結束前」</w:t>
      </w:r>
      <w:r w:rsidRPr="005E758A">
        <w:rPr>
          <w:rStyle w:val="af3"/>
          <w:rFonts w:ascii="Times New Roman" w:eastAsia="標楷體" w:hAnsi="Times New Roman"/>
          <w:shd w:val="clear" w:color="auto" w:fill="FFFFFF"/>
        </w:rPr>
        <w:endnoteReference w:id="379"/>
      </w:r>
      <w:r w:rsidRPr="005E758A">
        <w:rPr>
          <w:rFonts w:ascii="Times New Roman" w:eastAsia="標楷體" w:hAnsi="Times New Roman"/>
          <w:sz w:val="28"/>
          <w:szCs w:val="28"/>
        </w:rPr>
        <w:t>。該協會亦請求法院強制政府制定教育政策以符合憲法規定。</w:t>
      </w:r>
    </w:p>
    <w:p w14:paraId="7FCB1FB8" w14:textId="77777777" w:rsidR="00725277" w:rsidRPr="005E758A" w:rsidRDefault="00725277" w:rsidP="0004190A">
      <w:pPr>
        <w:pStyle w:val="a0"/>
        <w:snapToGrid w:val="0"/>
        <w:spacing w:before="100" w:beforeAutospacing="1" w:after="100" w:afterAutospacing="1"/>
        <w:ind w:leftChars="0" w:left="0" w:firstLineChars="200" w:firstLine="560"/>
        <w:jc w:val="both"/>
        <w:rPr>
          <w:rFonts w:ascii="Times New Roman" w:eastAsia="標楷體" w:hAnsi="Times New Roman"/>
          <w:sz w:val="28"/>
          <w:szCs w:val="28"/>
        </w:rPr>
      </w:pPr>
      <w:r w:rsidRPr="005E758A">
        <w:rPr>
          <w:rFonts w:ascii="Times New Roman" w:eastAsia="標楷體" w:hAnsi="Times New Roman"/>
          <w:sz w:val="28"/>
          <w:szCs w:val="28"/>
        </w:rPr>
        <w:t>本案爭點在於史瓦濟蘭政府是否有義務提供免費初等教育。法院認為憲法第</w:t>
      </w:r>
      <w:r w:rsidRPr="005E758A">
        <w:rPr>
          <w:rFonts w:ascii="Times New Roman" w:eastAsia="標楷體" w:hAnsi="Times New Roman"/>
          <w:sz w:val="28"/>
          <w:szCs w:val="28"/>
        </w:rPr>
        <w:t>29</w:t>
      </w:r>
      <w:r w:rsidRPr="005E758A">
        <w:rPr>
          <w:rFonts w:ascii="Times New Roman" w:eastAsia="標楷體" w:hAnsi="Times New Roman"/>
          <w:sz w:val="28"/>
          <w:szCs w:val="28"/>
        </w:rPr>
        <w:t>條第</w:t>
      </w:r>
      <w:r w:rsidRPr="005E758A">
        <w:rPr>
          <w:rFonts w:ascii="Times New Roman" w:eastAsia="標楷體" w:hAnsi="Times New Roman"/>
          <w:sz w:val="28"/>
          <w:szCs w:val="28"/>
        </w:rPr>
        <w:t>6</w:t>
      </w:r>
      <w:r w:rsidRPr="005E758A">
        <w:rPr>
          <w:rFonts w:ascii="Times New Roman" w:eastAsia="標楷體" w:hAnsi="Times New Roman"/>
          <w:sz w:val="28"/>
          <w:szCs w:val="28"/>
        </w:rPr>
        <w:t>項已明文使政府具有提供使兒童</w:t>
      </w:r>
      <w:proofErr w:type="gramStart"/>
      <w:r w:rsidRPr="005E758A">
        <w:rPr>
          <w:rFonts w:ascii="Times New Roman" w:eastAsia="標楷體" w:hAnsi="Times New Roman"/>
          <w:sz w:val="28"/>
          <w:szCs w:val="28"/>
        </w:rPr>
        <w:t>免於付費</w:t>
      </w:r>
      <w:proofErr w:type="gramEnd"/>
      <w:r w:rsidRPr="005E758A">
        <w:rPr>
          <w:rFonts w:ascii="Times New Roman" w:eastAsia="標楷體" w:hAnsi="Times New Roman"/>
          <w:sz w:val="28"/>
          <w:szCs w:val="28"/>
        </w:rPr>
        <w:t>或任何形式之款項之免費初等教育義務。此項義務包含學費、教科書，甚至是練習本或文具</w:t>
      </w:r>
      <w:r w:rsidRPr="005E758A">
        <w:rPr>
          <w:rFonts w:ascii="Times New Roman" w:eastAsia="標楷體" w:hAnsi="Times New Roman"/>
          <w:sz w:val="28"/>
          <w:szCs w:val="28"/>
        </w:rPr>
        <w:t>(</w:t>
      </w:r>
      <w:r w:rsidRPr="005E758A">
        <w:rPr>
          <w:rFonts w:ascii="Times New Roman" w:eastAsia="標楷體" w:hAnsi="Times New Roman"/>
          <w:sz w:val="28"/>
          <w:szCs w:val="28"/>
        </w:rPr>
        <w:t>不含學校制服</w:t>
      </w:r>
      <w:r w:rsidRPr="005E758A">
        <w:rPr>
          <w:rFonts w:ascii="Times New Roman" w:eastAsia="標楷體" w:hAnsi="Times New Roman"/>
          <w:sz w:val="28"/>
          <w:szCs w:val="28"/>
        </w:rPr>
        <w:t>)</w:t>
      </w:r>
      <w:r w:rsidRPr="005E758A">
        <w:rPr>
          <w:rFonts w:ascii="Times New Roman" w:eastAsia="標楷體" w:hAnsi="Times New Roman"/>
          <w:sz w:val="28"/>
          <w:szCs w:val="28"/>
        </w:rPr>
        <w:t>。依照</w:t>
      </w:r>
      <w:proofErr w:type="gramStart"/>
      <w:r w:rsidRPr="005E758A">
        <w:rPr>
          <w:rFonts w:ascii="Times New Roman" w:eastAsia="標楷體" w:hAnsi="Times New Roman"/>
          <w:sz w:val="28"/>
          <w:szCs w:val="28"/>
        </w:rPr>
        <w:t>社會通念</w:t>
      </w:r>
      <w:proofErr w:type="gramEnd"/>
      <w:r w:rsidRPr="005E758A">
        <w:rPr>
          <w:rFonts w:ascii="Times New Roman" w:eastAsia="標楷體" w:hAnsi="Times New Roman"/>
          <w:sz w:val="28"/>
          <w:szCs w:val="28"/>
        </w:rPr>
        <w:t>，此項免費教育之權利屬於每一位史瓦濟蘭兒童，特別當其成為一年級生時。因此，政府有義務提供每一位進入公立初等學校之史瓦濟蘭兒童，不論其為</w:t>
      </w:r>
      <w:proofErr w:type="gramStart"/>
      <w:r w:rsidRPr="005E758A">
        <w:rPr>
          <w:rFonts w:ascii="Times New Roman" w:eastAsia="標楷體" w:hAnsi="Times New Roman"/>
          <w:sz w:val="28"/>
          <w:szCs w:val="28"/>
        </w:rPr>
        <w:t>幾年級</w:t>
      </w:r>
      <w:proofErr w:type="gramEnd"/>
      <w:r w:rsidRPr="005E758A">
        <w:rPr>
          <w:rFonts w:ascii="Times New Roman" w:eastAsia="標楷體" w:hAnsi="Times New Roman"/>
          <w:sz w:val="28"/>
          <w:szCs w:val="28"/>
        </w:rPr>
        <w:t>生。政府之責任係強制的，而非任意的，也不應藉預算短缺或缺乏師資等理由而未實踐。政府亦不應排除其對於孤兒或弱勢兒童之免費教育。</w:t>
      </w:r>
    </w:p>
    <w:p w14:paraId="2E8CC244" w14:textId="77777777" w:rsidR="00725277" w:rsidRPr="005E758A" w:rsidRDefault="00725277" w:rsidP="0004190A">
      <w:pPr>
        <w:pStyle w:val="2"/>
      </w:pPr>
      <w:r w:rsidRPr="005E758A">
        <w:t>綜合分析</w:t>
      </w:r>
    </w:p>
    <w:p w14:paraId="69057E3F" w14:textId="77777777" w:rsidR="00725277" w:rsidRPr="005E758A" w:rsidRDefault="00725277" w:rsidP="0004190A">
      <w:pPr>
        <w:pStyle w:val="a0"/>
        <w:snapToGrid w:val="0"/>
        <w:spacing w:before="100" w:beforeAutospacing="1" w:after="100" w:afterAutospacing="1"/>
        <w:ind w:leftChars="0" w:left="0" w:firstLineChars="200" w:firstLine="560"/>
        <w:jc w:val="both"/>
        <w:rPr>
          <w:rFonts w:ascii="Times New Roman" w:eastAsia="標楷體" w:hAnsi="Times New Roman"/>
          <w:sz w:val="28"/>
          <w:szCs w:val="28"/>
        </w:rPr>
      </w:pPr>
      <w:r w:rsidRPr="005E758A">
        <w:rPr>
          <w:rFonts w:ascii="Times New Roman" w:eastAsia="標楷體" w:hAnsi="Times New Roman"/>
          <w:sz w:val="28"/>
          <w:szCs w:val="28"/>
        </w:rPr>
        <w:t>兒童教育權之落實必須搭配相當財政資源之投入，故必須以漸進的方式來達成。儘管如此，本條仍提出以下根本性最低標準</w:t>
      </w:r>
      <w:r w:rsidRPr="005E758A">
        <w:rPr>
          <w:rFonts w:ascii="Times New Roman" w:eastAsia="標楷體" w:hAnsi="Times New Roman"/>
          <w:sz w:val="28"/>
          <w:szCs w:val="28"/>
        </w:rPr>
        <w:t>(core minimum)</w:t>
      </w:r>
      <w:r w:rsidRPr="005E758A">
        <w:rPr>
          <w:rFonts w:ascii="Times New Roman" w:eastAsia="標楷體" w:hAnsi="Times New Roman"/>
          <w:sz w:val="28"/>
          <w:szCs w:val="28"/>
        </w:rPr>
        <w:t>：（一）應提供兒童免費之義務初等教育；（二）使兒童能獲得不同類型之中學教育及職業指導；（三）依據兒童個別能力，使其獲得接受高等教育的機會。在台灣，政府基於有教無類，因材施教</w:t>
      </w:r>
      <w:proofErr w:type="gramStart"/>
      <w:r w:rsidRPr="005E758A">
        <w:rPr>
          <w:rFonts w:ascii="Times New Roman" w:eastAsia="標楷體" w:hAnsi="Times New Roman"/>
          <w:sz w:val="28"/>
          <w:szCs w:val="28"/>
        </w:rPr>
        <w:t>適性揚才</w:t>
      </w:r>
      <w:proofErr w:type="gramEnd"/>
      <w:r w:rsidRPr="005E758A">
        <w:rPr>
          <w:rFonts w:ascii="Times New Roman" w:eastAsia="標楷體" w:hAnsi="Times New Roman"/>
          <w:sz w:val="28"/>
          <w:szCs w:val="28"/>
        </w:rPr>
        <w:t>，多元進路及優質銜接等五項原則，於</w:t>
      </w:r>
      <w:proofErr w:type="gramStart"/>
      <w:r w:rsidRPr="005E758A">
        <w:rPr>
          <w:rFonts w:ascii="Times New Roman" w:eastAsia="標楷體" w:hAnsi="Times New Roman"/>
          <w:sz w:val="28"/>
          <w:szCs w:val="28"/>
        </w:rPr>
        <w:t>研</w:t>
      </w:r>
      <w:proofErr w:type="gramEnd"/>
      <w:r w:rsidRPr="005E758A">
        <w:rPr>
          <w:rFonts w:ascii="Times New Roman" w:eastAsia="標楷體" w:hAnsi="Times New Roman"/>
          <w:sz w:val="28"/>
          <w:szCs w:val="28"/>
        </w:rPr>
        <w:t>擬多年後，於</w:t>
      </w:r>
      <w:r w:rsidRPr="005E758A">
        <w:rPr>
          <w:rFonts w:ascii="Times New Roman" w:eastAsia="標楷體" w:hAnsi="Times New Roman"/>
          <w:sz w:val="28"/>
          <w:szCs w:val="28"/>
        </w:rPr>
        <w:t>2014</w:t>
      </w:r>
      <w:r w:rsidRPr="005E758A">
        <w:rPr>
          <w:rFonts w:ascii="Times New Roman" w:eastAsia="標楷體" w:hAnsi="Times New Roman"/>
          <w:sz w:val="28"/>
          <w:szCs w:val="28"/>
        </w:rPr>
        <w:t>年起，將過去的</w:t>
      </w:r>
      <w:r w:rsidRPr="005E758A">
        <w:rPr>
          <w:rFonts w:ascii="Times New Roman" w:eastAsia="標楷體" w:hAnsi="Times New Roman"/>
          <w:sz w:val="28"/>
          <w:szCs w:val="28"/>
        </w:rPr>
        <w:t>9</w:t>
      </w:r>
      <w:r w:rsidRPr="005E758A">
        <w:rPr>
          <w:rFonts w:ascii="Times New Roman" w:eastAsia="標楷體" w:hAnsi="Times New Roman"/>
          <w:sz w:val="28"/>
          <w:szCs w:val="28"/>
        </w:rPr>
        <w:t>年國民教育延長為</w:t>
      </w:r>
      <w:r w:rsidRPr="005E758A">
        <w:rPr>
          <w:rFonts w:ascii="Times New Roman" w:eastAsia="標楷體" w:hAnsi="Times New Roman"/>
          <w:sz w:val="28"/>
          <w:szCs w:val="28"/>
        </w:rPr>
        <w:t>12</w:t>
      </w:r>
      <w:r w:rsidRPr="005E758A">
        <w:rPr>
          <w:rFonts w:ascii="Times New Roman" w:eastAsia="標楷體" w:hAnsi="Times New Roman"/>
          <w:sz w:val="28"/>
          <w:szCs w:val="28"/>
        </w:rPr>
        <w:t>年，體現了公約的精神。另外，教育部亦已明令禁止對國中小學生實施體罰，公私部門在這方面也逐漸形成社會</w:t>
      </w:r>
      <w:r w:rsidR="00324ACA" w:rsidRPr="005E758A">
        <w:rPr>
          <w:rFonts w:ascii="Times New Roman" w:eastAsia="標楷體" w:hAnsi="Times New Roman"/>
          <w:sz w:val="28"/>
          <w:szCs w:val="28"/>
        </w:rPr>
        <w:t>共識。就此而言，台灣在教育權的規範上，與公約之原則及精神已趨</w:t>
      </w:r>
      <w:r w:rsidRPr="005E758A">
        <w:rPr>
          <w:rFonts w:ascii="Times New Roman" w:eastAsia="標楷體" w:hAnsi="Times New Roman"/>
          <w:sz w:val="28"/>
          <w:szCs w:val="28"/>
        </w:rPr>
        <w:t>。</w:t>
      </w:r>
    </w:p>
    <w:p w14:paraId="12C92509" w14:textId="77777777" w:rsidR="00725277" w:rsidRPr="005E758A" w:rsidRDefault="00725277" w:rsidP="0004190A">
      <w:pPr>
        <w:pStyle w:val="2"/>
      </w:pPr>
      <w:r w:rsidRPr="005E758A">
        <w:t>參考資料</w:t>
      </w:r>
    </w:p>
    <w:p w14:paraId="499E7E32" w14:textId="77777777" w:rsidR="00725277" w:rsidRPr="005E758A" w:rsidRDefault="00725277" w:rsidP="00D2135A">
      <w:pPr>
        <w:pStyle w:val="a0"/>
        <w:numPr>
          <w:ilvl w:val="0"/>
          <w:numId w:val="84"/>
        </w:numPr>
        <w:snapToGrid w:val="0"/>
        <w:spacing w:before="100" w:beforeAutospacing="1" w:after="100" w:afterAutospacing="1"/>
        <w:ind w:leftChars="0" w:left="450" w:hanging="450"/>
        <w:jc w:val="both"/>
        <w:rPr>
          <w:rFonts w:ascii="Times New Roman" w:eastAsia="標楷體" w:hAnsi="Times New Roman"/>
          <w:sz w:val="28"/>
          <w:szCs w:val="28"/>
        </w:rPr>
      </w:pPr>
      <w:r w:rsidRPr="005E758A">
        <w:rPr>
          <w:rFonts w:ascii="Times New Roman" w:eastAsia="標楷體" w:hAnsi="Times New Roman"/>
          <w:smallCaps/>
          <w:sz w:val="28"/>
          <w:szCs w:val="28"/>
        </w:rPr>
        <w:t>UNICEF, Implementation Handbook for the Convention on the Rights of the Child</w:t>
      </w:r>
      <w:r w:rsidRPr="005E758A">
        <w:rPr>
          <w:rFonts w:ascii="Times New Roman" w:eastAsia="標楷體" w:hAnsi="Times New Roman"/>
          <w:sz w:val="28"/>
          <w:szCs w:val="28"/>
        </w:rPr>
        <w:t xml:space="preserve"> (3d ed. 2007)</w:t>
      </w:r>
    </w:p>
    <w:p w14:paraId="605C1948" w14:textId="77777777" w:rsidR="00725277" w:rsidRPr="005E758A" w:rsidRDefault="00725277" w:rsidP="00D2135A">
      <w:pPr>
        <w:pStyle w:val="a0"/>
        <w:numPr>
          <w:ilvl w:val="0"/>
          <w:numId w:val="84"/>
        </w:numPr>
        <w:snapToGrid w:val="0"/>
        <w:spacing w:before="100" w:beforeAutospacing="1" w:after="100" w:afterAutospacing="1"/>
        <w:ind w:leftChars="0" w:left="450" w:hanging="450"/>
        <w:jc w:val="both"/>
        <w:rPr>
          <w:rFonts w:ascii="Times New Roman" w:eastAsia="標楷體" w:hAnsi="Times New Roman"/>
          <w:sz w:val="28"/>
          <w:szCs w:val="28"/>
        </w:rPr>
      </w:pPr>
      <w:r w:rsidRPr="005E758A">
        <w:rPr>
          <w:rFonts w:ascii="Times New Roman" w:eastAsia="標楷體" w:hAnsi="Times New Roman"/>
          <w:sz w:val="28"/>
          <w:szCs w:val="28"/>
        </w:rPr>
        <w:t>兒童權利委員會，第</w:t>
      </w:r>
      <w:r w:rsidRPr="005E758A">
        <w:rPr>
          <w:rFonts w:ascii="Times New Roman" w:eastAsia="標楷體" w:hAnsi="Times New Roman"/>
          <w:sz w:val="28"/>
          <w:szCs w:val="28"/>
        </w:rPr>
        <w:t>1</w:t>
      </w:r>
      <w:r w:rsidRPr="005E758A">
        <w:rPr>
          <w:rFonts w:ascii="Times New Roman" w:eastAsia="標楷體" w:hAnsi="Times New Roman"/>
          <w:sz w:val="28"/>
          <w:szCs w:val="28"/>
        </w:rPr>
        <w:t>號一般性意見「教育的目的」。</w:t>
      </w:r>
      <w:r w:rsidRPr="005E758A">
        <w:rPr>
          <w:rFonts w:ascii="Times New Roman" w:eastAsia="標楷體" w:hAnsi="Times New Roman"/>
          <w:sz w:val="28"/>
          <w:szCs w:val="28"/>
        </w:rPr>
        <w:t>(Committee on the Rights of the Child, General Comment No. 1: The Aims of Education, U.N. Doc. CRC/GC/2001/1 (Apr. 17, 2001).)</w:t>
      </w:r>
    </w:p>
    <w:p w14:paraId="4842C62F" w14:textId="77777777" w:rsidR="00725277" w:rsidRPr="005E758A" w:rsidRDefault="00725277" w:rsidP="00D2135A">
      <w:pPr>
        <w:pStyle w:val="a0"/>
        <w:numPr>
          <w:ilvl w:val="0"/>
          <w:numId w:val="84"/>
        </w:numPr>
        <w:snapToGrid w:val="0"/>
        <w:spacing w:before="100" w:beforeAutospacing="1" w:after="100" w:afterAutospacing="1"/>
        <w:ind w:leftChars="0" w:left="450" w:hanging="450"/>
        <w:jc w:val="both"/>
        <w:rPr>
          <w:rFonts w:ascii="Times New Roman" w:eastAsia="標楷體" w:hAnsi="Times New Roman"/>
          <w:sz w:val="28"/>
          <w:szCs w:val="28"/>
        </w:rPr>
      </w:pPr>
      <w:r w:rsidRPr="005E758A">
        <w:rPr>
          <w:rFonts w:ascii="Times New Roman" w:eastAsia="標楷體" w:hAnsi="Times New Roman"/>
          <w:sz w:val="28"/>
          <w:szCs w:val="28"/>
        </w:rPr>
        <w:t>兒童權利委員會，第</w:t>
      </w:r>
      <w:r w:rsidRPr="005E758A">
        <w:rPr>
          <w:rFonts w:ascii="Times New Roman" w:eastAsia="標楷體" w:hAnsi="Times New Roman"/>
          <w:sz w:val="28"/>
          <w:szCs w:val="28"/>
        </w:rPr>
        <w:t>3</w:t>
      </w:r>
      <w:r w:rsidRPr="005E758A">
        <w:rPr>
          <w:rFonts w:ascii="Times New Roman" w:eastAsia="標楷體" w:hAnsi="Times New Roman"/>
          <w:sz w:val="28"/>
          <w:szCs w:val="28"/>
        </w:rPr>
        <w:t>號一般性意見「</w:t>
      </w:r>
      <w:proofErr w:type="gramStart"/>
      <w:r w:rsidRPr="005E758A">
        <w:rPr>
          <w:rFonts w:ascii="Times New Roman" w:eastAsia="標楷體" w:hAnsi="Times New Roman"/>
          <w:sz w:val="28"/>
          <w:szCs w:val="28"/>
        </w:rPr>
        <w:t>愛滋病</w:t>
      </w:r>
      <w:proofErr w:type="gramEnd"/>
      <w:r w:rsidRPr="005E758A">
        <w:rPr>
          <w:rFonts w:ascii="Times New Roman" w:eastAsia="標楷體" w:hAnsi="Times New Roman"/>
          <w:sz w:val="28"/>
          <w:szCs w:val="28"/>
        </w:rPr>
        <w:t>與兒童權利」。</w:t>
      </w:r>
      <w:r w:rsidRPr="005E758A">
        <w:rPr>
          <w:rFonts w:ascii="Times New Roman" w:eastAsia="標楷體" w:hAnsi="Times New Roman"/>
          <w:sz w:val="28"/>
          <w:szCs w:val="28"/>
        </w:rPr>
        <w:lastRenderedPageBreak/>
        <w:t>(Committee on the Rights of the Child, General Comment No. 3: HIV/AIDS and the Rights of the Child, U.N. Doc. CRC/GC/2003/3 (Mar. 17, 2003).)</w:t>
      </w:r>
    </w:p>
    <w:p w14:paraId="44B9C98C" w14:textId="77777777" w:rsidR="00725277" w:rsidRPr="005E758A" w:rsidRDefault="00725277" w:rsidP="00D2135A">
      <w:pPr>
        <w:pStyle w:val="a0"/>
        <w:numPr>
          <w:ilvl w:val="0"/>
          <w:numId w:val="84"/>
        </w:numPr>
        <w:snapToGrid w:val="0"/>
        <w:spacing w:before="100" w:beforeAutospacing="1" w:after="100" w:afterAutospacing="1"/>
        <w:ind w:leftChars="0" w:left="450" w:hanging="450"/>
        <w:jc w:val="both"/>
        <w:rPr>
          <w:rFonts w:ascii="Times New Roman" w:eastAsia="標楷體" w:hAnsi="Times New Roman"/>
          <w:sz w:val="28"/>
          <w:szCs w:val="28"/>
        </w:rPr>
      </w:pPr>
      <w:r w:rsidRPr="005E758A">
        <w:rPr>
          <w:rFonts w:ascii="Times New Roman" w:eastAsia="標楷體" w:hAnsi="Times New Roman"/>
          <w:sz w:val="28"/>
          <w:szCs w:val="28"/>
        </w:rPr>
        <w:t>兒童權利委員會，第</w:t>
      </w:r>
      <w:r w:rsidRPr="005E758A">
        <w:rPr>
          <w:rFonts w:ascii="Times New Roman" w:eastAsia="標楷體" w:hAnsi="Times New Roman"/>
          <w:sz w:val="28"/>
          <w:szCs w:val="28"/>
        </w:rPr>
        <w:t>6</w:t>
      </w:r>
      <w:r w:rsidRPr="005E758A">
        <w:rPr>
          <w:rFonts w:ascii="Times New Roman" w:eastAsia="標楷體" w:hAnsi="Times New Roman"/>
          <w:sz w:val="28"/>
          <w:szCs w:val="28"/>
        </w:rPr>
        <w:t>號一般性意見「遠離原籍國無人陪伴和無父母陪伴的兒童待遇」。</w:t>
      </w:r>
      <w:r w:rsidRPr="005E758A">
        <w:rPr>
          <w:rFonts w:ascii="Times New Roman" w:eastAsia="標楷體" w:hAnsi="Times New Roman"/>
          <w:sz w:val="28"/>
          <w:szCs w:val="28"/>
        </w:rPr>
        <w:t>(Committee on the Rights of the Child, General Comment No. 6: Treatment of Unaccompanied and Separated Children Outside Their Country of Origin, U.N. Doc. CRC/GC/2005/6 (Sep. 1, 2005).)</w:t>
      </w:r>
    </w:p>
    <w:p w14:paraId="2675DCD9" w14:textId="77777777" w:rsidR="00725277" w:rsidRPr="005E758A" w:rsidRDefault="00725277" w:rsidP="00D2135A">
      <w:pPr>
        <w:pStyle w:val="a0"/>
        <w:numPr>
          <w:ilvl w:val="0"/>
          <w:numId w:val="84"/>
        </w:numPr>
        <w:snapToGrid w:val="0"/>
        <w:spacing w:before="100" w:beforeAutospacing="1" w:after="100" w:afterAutospacing="1"/>
        <w:ind w:leftChars="0" w:left="450" w:hanging="450"/>
        <w:jc w:val="both"/>
        <w:rPr>
          <w:rFonts w:ascii="Times New Roman" w:eastAsia="標楷體" w:hAnsi="Times New Roman"/>
          <w:sz w:val="28"/>
          <w:szCs w:val="28"/>
        </w:rPr>
      </w:pPr>
      <w:r w:rsidRPr="005E758A">
        <w:rPr>
          <w:rFonts w:ascii="Times New Roman" w:eastAsia="標楷體" w:hAnsi="Times New Roman"/>
          <w:sz w:val="28"/>
          <w:szCs w:val="28"/>
        </w:rPr>
        <w:t>兒童權利委員會，第</w:t>
      </w:r>
      <w:r w:rsidRPr="005E758A">
        <w:rPr>
          <w:rFonts w:ascii="Times New Roman" w:eastAsia="標楷體" w:hAnsi="Times New Roman"/>
          <w:sz w:val="28"/>
          <w:szCs w:val="28"/>
        </w:rPr>
        <w:t>8</w:t>
      </w:r>
      <w:r w:rsidRPr="005E758A">
        <w:rPr>
          <w:rFonts w:ascii="Times New Roman" w:eastAsia="標楷體" w:hAnsi="Times New Roman"/>
          <w:sz w:val="28"/>
          <w:szCs w:val="28"/>
        </w:rPr>
        <w:t>號一般性意見「兒童受保護免遭體罰和其他殘忍或不人道形式懲罰的權利」。</w:t>
      </w:r>
      <w:r w:rsidRPr="005E758A">
        <w:rPr>
          <w:rFonts w:ascii="Times New Roman" w:eastAsia="標楷體" w:hAnsi="Times New Roman"/>
          <w:sz w:val="28"/>
          <w:szCs w:val="28"/>
        </w:rPr>
        <w:t>Committee on the Rights of the Child, General Comment No.8: The Right of the Child to Protection from Corporal Punishment and Other Cruel or Degrading Forms of Punishment, U.N. Doc. CRC/C/GC/8 (Mar. 2, 2007).</w:t>
      </w:r>
    </w:p>
    <w:p w14:paraId="12A63445" w14:textId="77777777" w:rsidR="00725277" w:rsidRPr="005E758A" w:rsidRDefault="0004190A" w:rsidP="00D2135A">
      <w:pPr>
        <w:pStyle w:val="a0"/>
        <w:numPr>
          <w:ilvl w:val="0"/>
          <w:numId w:val="84"/>
        </w:numPr>
        <w:snapToGrid w:val="0"/>
        <w:spacing w:before="100" w:beforeAutospacing="1" w:after="100" w:afterAutospacing="1"/>
        <w:ind w:leftChars="0" w:left="450" w:hanging="450"/>
        <w:jc w:val="both"/>
        <w:rPr>
          <w:rFonts w:ascii="Times New Roman" w:eastAsia="標楷體" w:hAnsi="Times New Roman"/>
          <w:sz w:val="28"/>
          <w:szCs w:val="28"/>
        </w:rPr>
      </w:pPr>
      <w:r w:rsidRPr="005E758A">
        <w:rPr>
          <w:rFonts w:ascii="Times New Roman" w:eastAsia="標楷體" w:hAnsi="Times New Roman"/>
          <w:sz w:val="28"/>
          <w:szCs w:val="28"/>
        </w:rPr>
        <w:t>林沛君，兒少人權向前行，臺北市，台灣展翅協會，</w:t>
      </w:r>
      <w:r w:rsidRPr="005E758A">
        <w:rPr>
          <w:rFonts w:ascii="Times New Roman" w:eastAsia="標楷體" w:hAnsi="Times New Roman"/>
          <w:sz w:val="28"/>
          <w:szCs w:val="28"/>
        </w:rPr>
        <w:t>2015</w:t>
      </w:r>
      <w:r w:rsidRPr="005E758A">
        <w:rPr>
          <w:rFonts w:ascii="Times New Roman" w:eastAsia="標楷體" w:hAnsi="Times New Roman"/>
          <w:sz w:val="28"/>
          <w:szCs w:val="28"/>
        </w:rPr>
        <w:t>年</w:t>
      </w:r>
      <w:r w:rsidRPr="005E758A">
        <w:rPr>
          <w:rFonts w:ascii="Times New Roman" w:eastAsia="標楷體" w:hAnsi="Times New Roman"/>
          <w:sz w:val="28"/>
          <w:szCs w:val="28"/>
        </w:rPr>
        <w:t>4</w:t>
      </w:r>
      <w:r w:rsidRPr="005E758A">
        <w:rPr>
          <w:rFonts w:ascii="Times New Roman" w:eastAsia="標楷體" w:hAnsi="Times New Roman"/>
          <w:sz w:val="28"/>
          <w:szCs w:val="28"/>
        </w:rPr>
        <w:t>月。</w:t>
      </w:r>
    </w:p>
    <w:p w14:paraId="0D3000D4" w14:textId="77777777" w:rsidR="00725277" w:rsidRPr="005E758A" w:rsidRDefault="00725277" w:rsidP="00D2135A">
      <w:pPr>
        <w:pStyle w:val="a0"/>
        <w:numPr>
          <w:ilvl w:val="0"/>
          <w:numId w:val="84"/>
        </w:numPr>
        <w:snapToGrid w:val="0"/>
        <w:spacing w:before="100" w:beforeAutospacing="1" w:after="100" w:afterAutospacing="1"/>
        <w:ind w:leftChars="0" w:left="450" w:hanging="450"/>
        <w:jc w:val="both"/>
        <w:rPr>
          <w:rFonts w:ascii="Times New Roman" w:eastAsia="標楷體" w:hAnsi="Times New Roman"/>
          <w:sz w:val="28"/>
          <w:szCs w:val="28"/>
        </w:rPr>
      </w:pPr>
      <w:r w:rsidRPr="005E758A">
        <w:rPr>
          <w:rFonts w:ascii="Times New Roman" w:eastAsia="標楷體" w:hAnsi="Times New Roman"/>
          <w:sz w:val="28"/>
          <w:szCs w:val="28"/>
        </w:rPr>
        <w:t>經濟社會及文化委員會，第</w:t>
      </w:r>
      <w:r w:rsidRPr="005E758A">
        <w:rPr>
          <w:rFonts w:ascii="Times New Roman" w:eastAsia="標楷體" w:hAnsi="Times New Roman"/>
          <w:sz w:val="28"/>
          <w:szCs w:val="28"/>
        </w:rPr>
        <w:t>11</w:t>
      </w:r>
      <w:r w:rsidRPr="005E758A">
        <w:rPr>
          <w:rFonts w:ascii="Times New Roman" w:eastAsia="標楷體" w:hAnsi="Times New Roman"/>
          <w:sz w:val="28"/>
          <w:szCs w:val="28"/>
        </w:rPr>
        <w:t>號一般性意見「初級教育行動計畫」。</w:t>
      </w:r>
      <w:r w:rsidRPr="005E758A">
        <w:rPr>
          <w:rFonts w:ascii="Times New Roman" w:eastAsia="標楷體" w:hAnsi="Times New Roman"/>
          <w:sz w:val="28"/>
          <w:szCs w:val="28"/>
        </w:rPr>
        <w:t>Committee on Economic, Social and Cultural Rights, General Comment No. 11: Plans of Action for Primary Education, U.N. Doc. HRI/GEN/1/Rev.9 (Vol. I), at 52 (May 27, 2008).</w:t>
      </w:r>
    </w:p>
    <w:p w14:paraId="059C7C9E" w14:textId="77777777" w:rsidR="00725277" w:rsidRPr="005E758A" w:rsidRDefault="00725277" w:rsidP="00725277">
      <w:pPr>
        <w:snapToGrid w:val="0"/>
        <w:rPr>
          <w:sz w:val="28"/>
          <w:szCs w:val="28"/>
        </w:rPr>
      </w:pPr>
    </w:p>
    <w:p w14:paraId="5F656455" w14:textId="77777777" w:rsidR="00725277" w:rsidRPr="005E758A" w:rsidRDefault="00725277" w:rsidP="00725277">
      <w:pPr>
        <w:snapToGrid w:val="0"/>
        <w:rPr>
          <w:sz w:val="28"/>
          <w:szCs w:val="28"/>
        </w:rPr>
      </w:pPr>
      <w:r w:rsidRPr="005E758A">
        <w:rPr>
          <w:sz w:val="28"/>
          <w:szCs w:val="28"/>
        </w:rPr>
        <w:t>關鍵字：教育權、初級教育、體罰、學籍</w:t>
      </w:r>
    </w:p>
    <w:p w14:paraId="4FC6EDCA" w14:textId="77777777" w:rsidR="00745DE3" w:rsidRPr="005E758A" w:rsidRDefault="00745DE3" w:rsidP="00745DE3">
      <w:pPr>
        <w:sectPr w:rsidR="00745DE3" w:rsidRPr="005E758A" w:rsidSect="00135FC9">
          <w:footnotePr>
            <w:numRestart w:val="eachSect"/>
          </w:footnotePr>
          <w:endnotePr>
            <w:numFmt w:val="decimal"/>
            <w:numRestart w:val="eachSect"/>
          </w:endnotePr>
          <w:pgSz w:w="11906" w:h="16838"/>
          <w:pgMar w:top="1440" w:right="1797" w:bottom="1440" w:left="1797" w:header="851" w:footer="992" w:gutter="0"/>
          <w:cols w:space="425"/>
          <w:docGrid w:linePitch="360"/>
        </w:sectPr>
      </w:pPr>
    </w:p>
    <w:p w14:paraId="1D9D4137" w14:textId="77777777" w:rsidR="00071D23" w:rsidRDefault="00071D23" w:rsidP="00071D23">
      <w:pPr>
        <w:pStyle w:val="1"/>
        <w:rPr>
          <w:sz w:val="28"/>
        </w:rPr>
      </w:pPr>
      <w:bookmarkStart w:id="82" w:name="_Toc431072745"/>
      <w:r w:rsidRPr="005E758A">
        <w:lastRenderedPageBreak/>
        <w:t>第</w:t>
      </w:r>
      <w:r w:rsidRPr="005E758A">
        <w:t>29</w:t>
      </w:r>
      <w:r w:rsidRPr="005E758A">
        <w:t>條</w:t>
      </w:r>
      <w:r>
        <w:rPr>
          <w:rFonts w:hint="eastAsia"/>
        </w:rPr>
        <w:t xml:space="preserve">　教育之目的</w:t>
      </w:r>
      <w:bookmarkEnd w:id="82"/>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20"/>
      </w:tblGrid>
      <w:tr w:rsidR="00071D23" w:rsidRPr="005E758A" w14:paraId="13B7F004" w14:textId="77777777" w:rsidTr="002B035C">
        <w:trPr>
          <w:jc w:val="center"/>
        </w:trPr>
        <w:tc>
          <w:tcPr>
            <w:tcW w:w="8220" w:type="dxa"/>
            <w:shd w:val="clear" w:color="auto" w:fill="auto"/>
          </w:tcPr>
          <w:p w14:paraId="34DBA4DC" w14:textId="77777777" w:rsidR="00071D23" w:rsidRPr="005E758A" w:rsidRDefault="00071D23" w:rsidP="002B035C">
            <w:pPr>
              <w:pStyle w:val="a0"/>
              <w:numPr>
                <w:ilvl w:val="0"/>
                <w:numId w:val="88"/>
              </w:numPr>
              <w:snapToGrid w:val="0"/>
              <w:spacing w:before="100" w:beforeAutospacing="1" w:after="100" w:afterAutospacing="1"/>
              <w:ind w:leftChars="0"/>
              <w:rPr>
                <w:rFonts w:ascii="Times New Roman" w:eastAsia="標楷體" w:hAnsi="Times New Roman"/>
                <w:color w:val="000000" w:themeColor="text1"/>
                <w:sz w:val="28"/>
                <w:szCs w:val="28"/>
                <w:shd w:val="clear" w:color="auto" w:fill="FFFFFF"/>
              </w:rPr>
            </w:pPr>
            <w:r w:rsidRPr="005E758A">
              <w:rPr>
                <w:rFonts w:ascii="Times New Roman" w:eastAsia="標楷體" w:hAnsi="Times New Roman"/>
                <w:color w:val="000000" w:themeColor="text1"/>
                <w:sz w:val="28"/>
                <w:szCs w:val="28"/>
                <w:shd w:val="clear" w:color="auto" w:fill="FFFFFF"/>
              </w:rPr>
              <w:t>締約國一致認為兒童教育之目標為：</w:t>
            </w:r>
          </w:p>
          <w:p w14:paraId="69506981" w14:textId="77777777" w:rsidR="00071D23" w:rsidRPr="005E758A" w:rsidRDefault="00071D23" w:rsidP="002B035C">
            <w:pPr>
              <w:pStyle w:val="a0"/>
              <w:numPr>
                <w:ilvl w:val="0"/>
                <w:numId w:val="89"/>
              </w:numPr>
              <w:snapToGrid w:val="0"/>
              <w:spacing w:before="100" w:beforeAutospacing="1" w:after="100" w:afterAutospacing="1"/>
              <w:ind w:leftChars="0"/>
              <w:rPr>
                <w:rFonts w:ascii="Times New Roman" w:eastAsia="標楷體" w:hAnsi="Times New Roman"/>
                <w:color w:val="000000" w:themeColor="text1"/>
                <w:sz w:val="28"/>
                <w:szCs w:val="28"/>
                <w:shd w:val="clear" w:color="auto" w:fill="FFFFFF"/>
              </w:rPr>
            </w:pPr>
            <w:r w:rsidRPr="005E758A">
              <w:rPr>
                <w:rFonts w:ascii="Times New Roman" w:eastAsia="標楷體" w:hAnsi="Times New Roman"/>
                <w:color w:val="000000" w:themeColor="text1"/>
                <w:sz w:val="28"/>
                <w:szCs w:val="28"/>
                <w:shd w:val="clear" w:color="auto" w:fill="FFFFFF"/>
              </w:rPr>
              <w:t>使兒童之人格、才能以及精神、身體之潛能獲得最大程度之發展；</w:t>
            </w:r>
          </w:p>
          <w:p w14:paraId="4CEC750C" w14:textId="77777777" w:rsidR="00071D23" w:rsidRPr="005E758A" w:rsidRDefault="00071D23" w:rsidP="002B035C">
            <w:pPr>
              <w:pStyle w:val="a0"/>
              <w:numPr>
                <w:ilvl w:val="0"/>
                <w:numId w:val="89"/>
              </w:numPr>
              <w:snapToGrid w:val="0"/>
              <w:spacing w:before="100" w:beforeAutospacing="1" w:after="100" w:afterAutospacing="1"/>
              <w:ind w:leftChars="0"/>
              <w:rPr>
                <w:rFonts w:ascii="Times New Roman" w:eastAsia="標楷體" w:hAnsi="Times New Roman"/>
                <w:color w:val="000000" w:themeColor="text1"/>
                <w:sz w:val="28"/>
                <w:szCs w:val="28"/>
              </w:rPr>
            </w:pPr>
            <w:r w:rsidRPr="005E758A">
              <w:rPr>
                <w:rFonts w:ascii="Times New Roman" w:eastAsia="標楷體" w:hAnsi="Times New Roman"/>
                <w:color w:val="000000" w:themeColor="text1"/>
                <w:sz w:val="28"/>
                <w:szCs w:val="28"/>
                <w:shd w:val="clear" w:color="auto" w:fill="FFFFFF"/>
              </w:rPr>
              <w:t>培養對人權、基本自由以及聯合國憲章所揭</w:t>
            </w:r>
            <w:proofErr w:type="gramStart"/>
            <w:r w:rsidRPr="005E758A">
              <w:rPr>
                <w:rFonts w:ascii="Times New Roman" w:eastAsia="標楷體" w:hAnsi="Times New Roman"/>
                <w:color w:val="000000" w:themeColor="text1"/>
                <w:sz w:val="28"/>
                <w:szCs w:val="28"/>
                <w:shd w:val="clear" w:color="auto" w:fill="FFFFFF"/>
              </w:rPr>
              <w:t>櫫</w:t>
            </w:r>
            <w:proofErr w:type="gramEnd"/>
            <w:r w:rsidRPr="005E758A">
              <w:rPr>
                <w:rFonts w:ascii="Times New Roman" w:eastAsia="標楷體" w:hAnsi="Times New Roman"/>
                <w:color w:val="000000" w:themeColor="text1"/>
                <w:sz w:val="28"/>
                <w:szCs w:val="28"/>
                <w:shd w:val="clear" w:color="auto" w:fill="FFFFFF"/>
              </w:rPr>
              <w:t>各項原則之尊重；</w:t>
            </w:r>
          </w:p>
          <w:p w14:paraId="26531884" w14:textId="77777777" w:rsidR="00071D23" w:rsidRPr="005E758A" w:rsidRDefault="00071D23" w:rsidP="002B035C">
            <w:pPr>
              <w:pStyle w:val="a0"/>
              <w:numPr>
                <w:ilvl w:val="0"/>
                <w:numId w:val="89"/>
              </w:numPr>
              <w:snapToGrid w:val="0"/>
              <w:spacing w:before="100" w:beforeAutospacing="1" w:after="100" w:afterAutospacing="1"/>
              <w:ind w:leftChars="0"/>
              <w:rPr>
                <w:rFonts w:ascii="Times New Roman" w:eastAsia="標楷體" w:hAnsi="Times New Roman"/>
                <w:color w:val="000000" w:themeColor="text1"/>
                <w:sz w:val="28"/>
                <w:szCs w:val="28"/>
              </w:rPr>
            </w:pPr>
            <w:r w:rsidRPr="005E758A">
              <w:rPr>
                <w:rFonts w:ascii="Times New Roman" w:eastAsia="標楷體" w:hAnsi="Times New Roman"/>
                <w:color w:val="000000" w:themeColor="text1"/>
                <w:sz w:val="28"/>
                <w:szCs w:val="28"/>
                <w:shd w:val="clear" w:color="auto" w:fill="FFFFFF"/>
              </w:rPr>
              <w:t>培養對兒童之父母、兒童自身的文化認同、語言與價值觀，兒童所居住國家之民族價值觀、其原籍國以及不同於其本國文明之尊重；</w:t>
            </w:r>
          </w:p>
          <w:p w14:paraId="5CE03A8C" w14:textId="77777777" w:rsidR="00071D23" w:rsidRPr="005E758A" w:rsidRDefault="00071D23" w:rsidP="002B035C">
            <w:pPr>
              <w:pStyle w:val="a0"/>
              <w:numPr>
                <w:ilvl w:val="0"/>
                <w:numId w:val="89"/>
              </w:numPr>
              <w:snapToGrid w:val="0"/>
              <w:spacing w:before="100" w:beforeAutospacing="1" w:after="100" w:afterAutospacing="1"/>
              <w:ind w:leftChars="0"/>
              <w:rPr>
                <w:rFonts w:ascii="Times New Roman" w:eastAsia="標楷體" w:hAnsi="Times New Roman"/>
                <w:color w:val="000000" w:themeColor="text1"/>
                <w:sz w:val="28"/>
                <w:szCs w:val="28"/>
                <w:shd w:val="clear" w:color="auto" w:fill="FFFFFF"/>
              </w:rPr>
            </w:pPr>
            <w:r w:rsidRPr="005E758A">
              <w:rPr>
                <w:rFonts w:ascii="Times New Roman" w:eastAsia="標楷體" w:hAnsi="Times New Roman"/>
                <w:color w:val="000000" w:themeColor="text1"/>
                <w:sz w:val="28"/>
                <w:szCs w:val="28"/>
                <w:shd w:val="clear" w:color="auto" w:fill="FFFFFF"/>
              </w:rPr>
              <w:t>培養兒童本著理解、和平、寬容、性別平等與所有人民、種族、民族、宗教及原住民間友好的精神，於自由社會中，過負責任之生活；</w:t>
            </w:r>
          </w:p>
          <w:p w14:paraId="2132E859" w14:textId="77777777" w:rsidR="00071D23" w:rsidRPr="005E758A" w:rsidRDefault="00071D23" w:rsidP="002B035C">
            <w:pPr>
              <w:pStyle w:val="a0"/>
              <w:numPr>
                <w:ilvl w:val="0"/>
                <w:numId w:val="89"/>
              </w:numPr>
              <w:snapToGrid w:val="0"/>
              <w:spacing w:before="100" w:beforeAutospacing="1" w:after="100" w:afterAutospacing="1"/>
              <w:ind w:leftChars="0"/>
              <w:rPr>
                <w:rFonts w:ascii="Times New Roman" w:eastAsia="標楷體" w:hAnsi="Times New Roman"/>
                <w:color w:val="000000" w:themeColor="text1"/>
                <w:sz w:val="28"/>
                <w:szCs w:val="28"/>
                <w:shd w:val="clear" w:color="auto" w:fill="FFFFFF"/>
              </w:rPr>
            </w:pPr>
            <w:r w:rsidRPr="005E758A">
              <w:rPr>
                <w:rFonts w:ascii="Times New Roman" w:eastAsia="標楷體" w:hAnsi="Times New Roman"/>
                <w:color w:val="000000" w:themeColor="text1"/>
                <w:sz w:val="28"/>
                <w:szCs w:val="28"/>
                <w:shd w:val="clear" w:color="auto" w:fill="FFFFFF"/>
              </w:rPr>
              <w:t>培養對自然環境的尊重。</w:t>
            </w:r>
          </w:p>
          <w:p w14:paraId="39086FDB" w14:textId="77777777" w:rsidR="00071D23" w:rsidRPr="005E758A" w:rsidRDefault="00071D23" w:rsidP="002B035C">
            <w:pPr>
              <w:pStyle w:val="a0"/>
              <w:numPr>
                <w:ilvl w:val="0"/>
                <w:numId w:val="88"/>
              </w:numPr>
              <w:snapToGrid w:val="0"/>
              <w:spacing w:before="100" w:beforeAutospacing="1" w:after="100" w:afterAutospacing="1"/>
              <w:ind w:leftChars="0"/>
              <w:rPr>
                <w:rFonts w:ascii="Times New Roman" w:eastAsia="標楷體" w:hAnsi="Times New Roman"/>
                <w:i/>
                <w:sz w:val="28"/>
                <w:szCs w:val="28"/>
              </w:rPr>
            </w:pPr>
            <w:r w:rsidRPr="005E758A">
              <w:rPr>
                <w:rFonts w:ascii="Times New Roman" w:eastAsia="標楷體" w:hAnsi="Times New Roman"/>
                <w:color w:val="000000" w:themeColor="text1"/>
                <w:sz w:val="28"/>
                <w:szCs w:val="28"/>
                <w:shd w:val="clear" w:color="auto" w:fill="FFFFFF"/>
              </w:rPr>
              <w:t>本條或第</w:t>
            </w:r>
            <w:r w:rsidRPr="005E758A">
              <w:rPr>
                <w:rFonts w:ascii="Times New Roman" w:eastAsia="標楷體" w:hAnsi="Times New Roman"/>
                <w:color w:val="000000" w:themeColor="text1"/>
                <w:sz w:val="28"/>
                <w:szCs w:val="28"/>
                <w:shd w:val="clear" w:color="auto" w:fill="FFFFFF"/>
              </w:rPr>
              <w:t>28</w:t>
            </w:r>
            <w:r w:rsidRPr="005E758A">
              <w:rPr>
                <w:rFonts w:ascii="Times New Roman" w:eastAsia="標楷體" w:hAnsi="Times New Roman"/>
                <w:color w:val="000000" w:themeColor="text1"/>
                <w:sz w:val="28"/>
                <w:szCs w:val="28"/>
                <w:shd w:val="clear" w:color="auto" w:fill="FFFFFF"/>
              </w:rPr>
              <w:t>條之所有規定，皆不得被解釋為干涉個人與團體設置及管理教育機構之自由，惟須完全遵守本條第</w:t>
            </w:r>
            <w:r w:rsidRPr="005E758A">
              <w:rPr>
                <w:rFonts w:ascii="Times New Roman" w:eastAsia="標楷體" w:hAnsi="Times New Roman"/>
                <w:color w:val="000000" w:themeColor="text1"/>
                <w:sz w:val="28"/>
                <w:szCs w:val="28"/>
                <w:shd w:val="clear" w:color="auto" w:fill="FFFFFF"/>
              </w:rPr>
              <w:t>1</w:t>
            </w:r>
            <w:r w:rsidRPr="005E758A">
              <w:rPr>
                <w:rFonts w:ascii="Times New Roman" w:eastAsia="標楷體" w:hAnsi="Times New Roman"/>
                <w:color w:val="000000" w:themeColor="text1"/>
                <w:sz w:val="28"/>
                <w:szCs w:val="28"/>
                <w:shd w:val="clear" w:color="auto" w:fill="FFFFFF"/>
              </w:rPr>
              <w:t>項所規定之原則，並符合國家就該等機構所實施之教育所制定之最低標準。</w:t>
            </w:r>
          </w:p>
        </w:tc>
      </w:tr>
    </w:tbl>
    <w:p w14:paraId="127F798F" w14:textId="77777777" w:rsidR="00071D23" w:rsidRPr="00071D23" w:rsidRDefault="00071D23" w:rsidP="00071D23">
      <w:pPr>
        <w:snapToGrid w:val="0"/>
        <w:spacing w:before="100" w:beforeAutospacing="1" w:after="100" w:afterAutospacing="1"/>
        <w:jc w:val="both"/>
        <w:rPr>
          <w:sz w:val="28"/>
        </w:rPr>
      </w:pPr>
    </w:p>
    <w:p w14:paraId="3F672DF4" w14:textId="77777777" w:rsidR="001169AF" w:rsidRPr="005E758A" w:rsidRDefault="001169AF" w:rsidP="00D2135A">
      <w:pPr>
        <w:pStyle w:val="2"/>
        <w:numPr>
          <w:ilvl w:val="0"/>
          <w:numId w:val="90"/>
        </w:numPr>
      </w:pPr>
      <w:r w:rsidRPr="005E758A">
        <w:t>規範宗旨</w:t>
      </w:r>
    </w:p>
    <w:p w14:paraId="745ABCA9" w14:textId="77777777" w:rsidR="001169AF" w:rsidRPr="005E758A" w:rsidRDefault="001169AF" w:rsidP="001169AF">
      <w:pPr>
        <w:pStyle w:val="a0"/>
        <w:snapToGrid w:val="0"/>
        <w:spacing w:before="100" w:beforeAutospacing="1" w:after="100" w:afterAutospacing="1"/>
        <w:ind w:leftChars="0" w:left="0" w:firstLineChars="200" w:firstLine="560"/>
        <w:jc w:val="both"/>
        <w:rPr>
          <w:rFonts w:ascii="Times New Roman" w:eastAsia="標楷體" w:hAnsi="Times New Roman"/>
          <w:sz w:val="28"/>
          <w:szCs w:val="28"/>
        </w:rPr>
      </w:pPr>
      <w:r w:rsidRPr="005E758A">
        <w:rPr>
          <w:rFonts w:ascii="Times New Roman" w:eastAsia="標楷體" w:hAnsi="Times New Roman"/>
          <w:sz w:val="28"/>
          <w:szCs w:val="28"/>
        </w:rPr>
        <w:t>本條明文揭</w:t>
      </w:r>
      <w:proofErr w:type="gramStart"/>
      <w:r w:rsidRPr="005E758A">
        <w:rPr>
          <w:rFonts w:ascii="Times New Roman" w:eastAsia="標楷體" w:hAnsi="Times New Roman"/>
          <w:sz w:val="28"/>
          <w:szCs w:val="28"/>
        </w:rPr>
        <w:t>櫫</w:t>
      </w:r>
      <w:proofErr w:type="gramEnd"/>
      <w:r w:rsidRPr="005E758A">
        <w:rPr>
          <w:rFonts w:ascii="Times New Roman" w:eastAsia="標楷體" w:hAnsi="Times New Roman"/>
          <w:sz w:val="28"/>
          <w:szCs w:val="28"/>
        </w:rPr>
        <w:t>了國際間對於兒童教育基本目的所達成之共識，而兒童權利委員會更是以「教育的目標」作為其第</w:t>
      </w:r>
      <w:r w:rsidRPr="005E758A">
        <w:rPr>
          <w:rFonts w:ascii="Times New Roman" w:eastAsia="標楷體" w:hAnsi="Times New Roman"/>
          <w:sz w:val="28"/>
          <w:szCs w:val="28"/>
        </w:rPr>
        <w:t>1</w:t>
      </w:r>
      <w:r w:rsidRPr="005E758A">
        <w:rPr>
          <w:rFonts w:ascii="Times New Roman" w:eastAsia="標楷體" w:hAnsi="Times New Roman"/>
          <w:sz w:val="28"/>
          <w:szCs w:val="28"/>
        </w:rPr>
        <w:t>號一般性意見的議題，足見其重要性。值得注意者，兒童權利委員會認為，相對於兒童於受教過程中所發展的讀寫能力與吸收知識等工具性學習，重點應置於</w:t>
      </w:r>
      <w:proofErr w:type="gramStart"/>
      <w:r w:rsidRPr="005E758A">
        <w:rPr>
          <w:rFonts w:ascii="Times New Roman" w:eastAsia="標楷體" w:hAnsi="Times New Roman"/>
          <w:sz w:val="28"/>
          <w:szCs w:val="28"/>
        </w:rPr>
        <w:t>釐</w:t>
      </w:r>
      <w:proofErr w:type="gramEnd"/>
      <w:r w:rsidRPr="005E758A">
        <w:rPr>
          <w:rFonts w:ascii="Times New Roman" w:eastAsia="標楷體" w:hAnsi="Times New Roman"/>
          <w:sz w:val="28"/>
          <w:szCs w:val="28"/>
        </w:rPr>
        <w:t>清教育的基本目標，即透過發展兒童的技能、學習能力、人性尊嚴、自尊與自信心的教育讓兒童獲得足以自主的能力。</w:t>
      </w:r>
    </w:p>
    <w:p w14:paraId="5804831F" w14:textId="77777777" w:rsidR="001169AF" w:rsidRPr="005E758A" w:rsidRDefault="001169AF" w:rsidP="001169AF">
      <w:pPr>
        <w:pStyle w:val="2"/>
      </w:pPr>
      <w:r w:rsidRPr="005E758A">
        <w:t>條文要義</w:t>
      </w:r>
    </w:p>
    <w:p w14:paraId="40273379" w14:textId="77777777" w:rsidR="001169AF" w:rsidRPr="005E758A" w:rsidRDefault="001169AF" w:rsidP="00D2135A">
      <w:pPr>
        <w:pStyle w:val="3"/>
        <w:numPr>
          <w:ilvl w:val="0"/>
          <w:numId w:val="91"/>
        </w:numPr>
      </w:pPr>
      <w:r w:rsidRPr="005E758A">
        <w:t>第</w:t>
      </w:r>
      <w:r w:rsidRPr="005E758A">
        <w:t>29</w:t>
      </w:r>
      <w:r w:rsidRPr="005E758A">
        <w:t>條第</w:t>
      </w:r>
      <w:r w:rsidRPr="005E758A">
        <w:t>1</w:t>
      </w:r>
      <w:r w:rsidRPr="005E758A">
        <w:t>項</w:t>
      </w:r>
    </w:p>
    <w:p w14:paraId="3AEE826C" w14:textId="77777777" w:rsidR="001169AF" w:rsidRPr="005E758A" w:rsidRDefault="001169AF" w:rsidP="001169AF">
      <w:pPr>
        <w:pStyle w:val="a0"/>
        <w:snapToGrid w:val="0"/>
        <w:spacing w:before="100" w:beforeAutospacing="1" w:after="100" w:afterAutospacing="1"/>
        <w:ind w:leftChars="0" w:left="0" w:firstLineChars="200" w:firstLine="560"/>
        <w:jc w:val="both"/>
        <w:rPr>
          <w:rFonts w:ascii="Times New Roman" w:eastAsia="標楷體" w:hAnsi="Times New Roman"/>
          <w:sz w:val="28"/>
          <w:szCs w:val="28"/>
        </w:rPr>
      </w:pPr>
      <w:r w:rsidRPr="005E758A">
        <w:rPr>
          <w:rFonts w:ascii="Times New Roman" w:eastAsia="標楷體" w:hAnsi="Times New Roman"/>
          <w:sz w:val="28"/>
          <w:szCs w:val="28"/>
        </w:rPr>
        <w:t>依據兒童權利委員會第</w:t>
      </w:r>
      <w:r w:rsidRPr="005E758A">
        <w:rPr>
          <w:rFonts w:ascii="Times New Roman" w:eastAsia="標楷體" w:hAnsi="Times New Roman"/>
          <w:sz w:val="28"/>
          <w:szCs w:val="28"/>
        </w:rPr>
        <w:t>1</w:t>
      </w:r>
      <w:r w:rsidRPr="005E758A">
        <w:rPr>
          <w:rFonts w:ascii="Times New Roman" w:eastAsia="標楷體" w:hAnsi="Times New Roman"/>
          <w:sz w:val="28"/>
          <w:szCs w:val="28"/>
        </w:rPr>
        <w:t>號一般性意見，第</w:t>
      </w:r>
      <w:r w:rsidRPr="005E758A">
        <w:rPr>
          <w:rFonts w:ascii="Times New Roman" w:eastAsia="標楷體" w:hAnsi="Times New Roman"/>
          <w:sz w:val="28"/>
          <w:szCs w:val="28"/>
        </w:rPr>
        <w:t>29</w:t>
      </w:r>
      <w:r w:rsidRPr="005E758A">
        <w:rPr>
          <w:rFonts w:ascii="Times New Roman" w:eastAsia="標楷體" w:hAnsi="Times New Roman"/>
          <w:sz w:val="28"/>
          <w:szCs w:val="28"/>
        </w:rPr>
        <w:t>條第</w:t>
      </w:r>
      <w:r w:rsidRPr="005E758A">
        <w:rPr>
          <w:rFonts w:ascii="Times New Roman" w:eastAsia="標楷體" w:hAnsi="Times New Roman"/>
          <w:sz w:val="28"/>
          <w:szCs w:val="28"/>
        </w:rPr>
        <w:t>1</w:t>
      </w:r>
      <w:r w:rsidRPr="005E758A">
        <w:rPr>
          <w:rFonts w:ascii="Times New Roman" w:eastAsia="標楷體" w:hAnsi="Times New Roman"/>
          <w:sz w:val="28"/>
          <w:szCs w:val="28"/>
        </w:rPr>
        <w:t>項具有深遠的重大意義，其中部分重要內容摘要如下：</w:t>
      </w:r>
    </w:p>
    <w:p w14:paraId="6B0E3E6D" w14:textId="77777777" w:rsidR="001169AF" w:rsidRPr="005E758A" w:rsidRDefault="001169AF" w:rsidP="001169AF">
      <w:pPr>
        <w:pStyle w:val="a0"/>
        <w:snapToGrid w:val="0"/>
        <w:spacing w:before="100" w:beforeAutospacing="1" w:after="100" w:afterAutospacing="1"/>
        <w:ind w:leftChars="0" w:left="567" w:right="567"/>
        <w:jc w:val="both"/>
        <w:rPr>
          <w:rFonts w:ascii="Times New Roman" w:eastAsia="標楷體" w:hAnsi="Times New Roman"/>
          <w:sz w:val="28"/>
          <w:szCs w:val="28"/>
        </w:rPr>
      </w:pPr>
      <w:r w:rsidRPr="005E758A">
        <w:rPr>
          <w:rFonts w:ascii="Times New Roman" w:eastAsia="標楷體" w:hAnsi="Times New Roman"/>
          <w:sz w:val="28"/>
          <w:szCs w:val="28"/>
        </w:rPr>
        <w:lastRenderedPageBreak/>
        <w:t>公約第</w:t>
      </w:r>
      <w:r w:rsidRPr="005E758A">
        <w:rPr>
          <w:rFonts w:ascii="Times New Roman" w:eastAsia="標楷體" w:hAnsi="Times New Roman"/>
          <w:sz w:val="28"/>
          <w:szCs w:val="28"/>
        </w:rPr>
        <w:t>29</w:t>
      </w:r>
      <w:r w:rsidRPr="005E758A">
        <w:rPr>
          <w:rFonts w:ascii="Times New Roman" w:eastAsia="標楷體" w:hAnsi="Times New Roman"/>
          <w:sz w:val="28"/>
          <w:szCs w:val="28"/>
        </w:rPr>
        <w:t>條第</w:t>
      </w:r>
      <w:r w:rsidRPr="005E758A">
        <w:rPr>
          <w:rFonts w:ascii="Times New Roman" w:eastAsia="標楷體" w:hAnsi="Times New Roman"/>
          <w:sz w:val="28"/>
          <w:szCs w:val="28"/>
        </w:rPr>
        <w:t>1</w:t>
      </w:r>
      <w:r w:rsidRPr="005E758A">
        <w:rPr>
          <w:rFonts w:ascii="Times New Roman" w:eastAsia="標楷體" w:hAnsi="Times New Roman"/>
          <w:sz w:val="28"/>
          <w:szCs w:val="28"/>
        </w:rPr>
        <w:t>項</w:t>
      </w:r>
      <w:r w:rsidRPr="005E758A">
        <w:rPr>
          <w:rFonts w:ascii="Times New Roman" w:eastAsia="標楷體" w:hAnsi="Times New Roman"/>
          <w:sz w:val="28"/>
          <w:szCs w:val="28"/>
        </w:rPr>
        <w:t>…</w:t>
      </w:r>
      <w:r w:rsidRPr="005E758A">
        <w:rPr>
          <w:rFonts w:ascii="Times New Roman" w:eastAsia="標楷體" w:hAnsi="Times New Roman"/>
          <w:sz w:val="28"/>
          <w:szCs w:val="28"/>
        </w:rPr>
        <w:t>所列的教育目標在於促進、支持及維護公約的核心價值：即每</w:t>
      </w:r>
      <w:proofErr w:type="gramStart"/>
      <w:r w:rsidRPr="005E758A">
        <w:rPr>
          <w:rFonts w:ascii="Times New Roman" w:eastAsia="標楷體" w:hAnsi="Times New Roman"/>
          <w:sz w:val="28"/>
          <w:szCs w:val="28"/>
        </w:rPr>
        <w:t>個</w:t>
      </w:r>
      <w:proofErr w:type="gramEnd"/>
      <w:r w:rsidRPr="005E758A">
        <w:rPr>
          <w:rFonts w:ascii="Times New Roman" w:eastAsia="標楷體" w:hAnsi="Times New Roman"/>
          <w:sz w:val="28"/>
          <w:szCs w:val="28"/>
        </w:rPr>
        <w:t>兒童固有的人性尊嚴及其平等與不可剝奪的權利。第</w:t>
      </w:r>
      <w:r w:rsidRPr="005E758A">
        <w:rPr>
          <w:rFonts w:ascii="Times New Roman" w:eastAsia="標楷體" w:hAnsi="Times New Roman"/>
          <w:sz w:val="28"/>
          <w:szCs w:val="28"/>
        </w:rPr>
        <w:t>29</w:t>
      </w:r>
      <w:r w:rsidRPr="005E758A">
        <w:rPr>
          <w:rFonts w:ascii="Times New Roman" w:eastAsia="標楷體" w:hAnsi="Times New Roman"/>
          <w:sz w:val="28"/>
          <w:szCs w:val="28"/>
        </w:rPr>
        <w:t>條第</w:t>
      </w:r>
      <w:r w:rsidRPr="005E758A">
        <w:rPr>
          <w:rFonts w:ascii="Times New Roman" w:eastAsia="標楷體" w:hAnsi="Times New Roman"/>
          <w:sz w:val="28"/>
          <w:szCs w:val="28"/>
        </w:rPr>
        <w:t>1</w:t>
      </w:r>
      <w:r w:rsidRPr="005E758A">
        <w:rPr>
          <w:rFonts w:ascii="Times New Roman" w:eastAsia="標楷體" w:hAnsi="Times New Roman"/>
          <w:sz w:val="28"/>
          <w:szCs w:val="28"/>
        </w:rPr>
        <w:t>項共</w:t>
      </w:r>
      <w:r w:rsidRPr="005E758A">
        <w:rPr>
          <w:rFonts w:ascii="Times New Roman" w:eastAsia="標楷體" w:hAnsi="Times New Roman"/>
          <w:sz w:val="28"/>
          <w:szCs w:val="28"/>
        </w:rPr>
        <w:t>5</w:t>
      </w:r>
      <w:r w:rsidRPr="005E758A">
        <w:rPr>
          <w:rFonts w:ascii="Times New Roman" w:eastAsia="標楷體" w:hAnsi="Times New Roman"/>
          <w:sz w:val="28"/>
          <w:szCs w:val="28"/>
        </w:rPr>
        <w:t>款所列的目標皆與實現兒童的人性尊嚴和權利直接相關，並同時慮及兒童特殊發展的需要與多元的發展能力。教育的目標在於兒童完整潛力之全面發展（第</w:t>
      </w:r>
      <w:r w:rsidRPr="005E758A">
        <w:rPr>
          <w:rFonts w:ascii="Times New Roman" w:eastAsia="標楷體" w:hAnsi="Times New Roman"/>
          <w:sz w:val="28"/>
          <w:szCs w:val="28"/>
        </w:rPr>
        <w:t>1</w:t>
      </w:r>
      <w:r w:rsidRPr="005E758A">
        <w:rPr>
          <w:rFonts w:ascii="Times New Roman" w:eastAsia="標楷體" w:hAnsi="Times New Roman"/>
          <w:sz w:val="28"/>
          <w:szCs w:val="28"/>
        </w:rPr>
        <w:t>款）包括：培養對人權的尊重（第</w:t>
      </w:r>
      <w:r w:rsidRPr="005E758A">
        <w:rPr>
          <w:rFonts w:ascii="Times New Roman" w:eastAsia="標楷體" w:hAnsi="Times New Roman"/>
          <w:sz w:val="28"/>
          <w:szCs w:val="28"/>
        </w:rPr>
        <w:t>2</w:t>
      </w:r>
      <w:r w:rsidRPr="005E758A">
        <w:rPr>
          <w:rFonts w:ascii="Times New Roman" w:eastAsia="標楷體" w:hAnsi="Times New Roman"/>
          <w:sz w:val="28"/>
          <w:szCs w:val="28"/>
        </w:rPr>
        <w:t>款）、增強對個別身分和群體關係的意識（第</w:t>
      </w:r>
      <w:r w:rsidRPr="005E758A">
        <w:rPr>
          <w:rFonts w:ascii="Times New Roman" w:eastAsia="標楷體" w:hAnsi="Times New Roman"/>
          <w:sz w:val="28"/>
          <w:szCs w:val="28"/>
        </w:rPr>
        <w:t>3</w:t>
      </w:r>
      <w:r w:rsidRPr="005E758A">
        <w:rPr>
          <w:rFonts w:ascii="Times New Roman" w:eastAsia="標楷體" w:hAnsi="Times New Roman"/>
          <w:sz w:val="28"/>
          <w:szCs w:val="28"/>
        </w:rPr>
        <w:t>款）、兒童的社會化及與他人的互動（第</w:t>
      </w:r>
      <w:r w:rsidRPr="005E758A">
        <w:rPr>
          <w:rFonts w:ascii="Times New Roman" w:eastAsia="標楷體" w:hAnsi="Times New Roman"/>
          <w:sz w:val="28"/>
          <w:szCs w:val="28"/>
        </w:rPr>
        <w:t>4</w:t>
      </w:r>
      <w:r w:rsidRPr="005E758A">
        <w:rPr>
          <w:rFonts w:ascii="Times New Roman" w:eastAsia="標楷體" w:hAnsi="Times New Roman"/>
          <w:sz w:val="28"/>
          <w:szCs w:val="28"/>
        </w:rPr>
        <w:t>款）及對環境的尊重（第</w:t>
      </w:r>
      <w:r w:rsidRPr="005E758A">
        <w:rPr>
          <w:rFonts w:ascii="Times New Roman" w:eastAsia="標楷體" w:hAnsi="Times New Roman"/>
          <w:sz w:val="28"/>
          <w:szCs w:val="28"/>
        </w:rPr>
        <w:t>5</w:t>
      </w:r>
      <w:r w:rsidRPr="005E758A">
        <w:rPr>
          <w:rFonts w:ascii="Times New Roman" w:eastAsia="標楷體" w:hAnsi="Times New Roman"/>
          <w:sz w:val="28"/>
          <w:szCs w:val="28"/>
        </w:rPr>
        <w:t>款）。</w:t>
      </w:r>
      <w:bookmarkStart w:id="83" w:name="_Ref429386285"/>
      <w:r w:rsidRPr="005E758A">
        <w:rPr>
          <w:rStyle w:val="af3"/>
          <w:rFonts w:ascii="Times New Roman" w:eastAsia="標楷體" w:hAnsi="Times New Roman"/>
        </w:rPr>
        <w:endnoteReference w:id="380"/>
      </w:r>
      <w:bookmarkEnd w:id="83"/>
    </w:p>
    <w:p w14:paraId="1C7DC998" w14:textId="77777777" w:rsidR="001169AF" w:rsidRPr="005E758A" w:rsidRDefault="001169AF" w:rsidP="001169AF">
      <w:pPr>
        <w:pStyle w:val="a0"/>
        <w:snapToGrid w:val="0"/>
        <w:spacing w:before="100" w:beforeAutospacing="1" w:after="100" w:afterAutospacing="1"/>
        <w:ind w:leftChars="0" w:left="567" w:right="567"/>
        <w:jc w:val="both"/>
        <w:rPr>
          <w:rFonts w:ascii="Times New Roman" w:eastAsia="標楷體" w:hAnsi="Times New Roman"/>
          <w:sz w:val="28"/>
          <w:szCs w:val="28"/>
        </w:rPr>
      </w:pPr>
      <w:r w:rsidRPr="005E758A">
        <w:rPr>
          <w:rFonts w:ascii="Times New Roman" w:eastAsia="標楷體" w:hAnsi="Times New Roman"/>
          <w:sz w:val="28"/>
          <w:szCs w:val="28"/>
        </w:rPr>
        <w:t>第</w:t>
      </w:r>
      <w:r w:rsidRPr="005E758A">
        <w:rPr>
          <w:rFonts w:ascii="Times New Roman" w:eastAsia="標楷體" w:hAnsi="Times New Roman"/>
          <w:sz w:val="28"/>
          <w:szCs w:val="28"/>
        </w:rPr>
        <w:t>29</w:t>
      </w:r>
      <w:r w:rsidRPr="005E758A">
        <w:rPr>
          <w:rFonts w:ascii="Times New Roman" w:eastAsia="標楷體" w:hAnsi="Times New Roman"/>
          <w:sz w:val="28"/>
          <w:szCs w:val="28"/>
        </w:rPr>
        <w:t>條第</w:t>
      </w:r>
      <w:r w:rsidRPr="005E758A">
        <w:rPr>
          <w:rFonts w:ascii="Times New Roman" w:eastAsia="標楷體" w:hAnsi="Times New Roman"/>
          <w:sz w:val="28"/>
          <w:szCs w:val="28"/>
        </w:rPr>
        <w:t>1</w:t>
      </w:r>
      <w:r w:rsidRPr="005E758A">
        <w:rPr>
          <w:rFonts w:ascii="Times New Roman" w:eastAsia="標楷體" w:hAnsi="Times New Roman"/>
          <w:sz w:val="28"/>
          <w:szCs w:val="28"/>
        </w:rPr>
        <w:t>項不僅強化第</w:t>
      </w:r>
      <w:r w:rsidRPr="005E758A">
        <w:rPr>
          <w:rFonts w:ascii="Times New Roman" w:eastAsia="標楷體" w:hAnsi="Times New Roman"/>
          <w:sz w:val="28"/>
          <w:szCs w:val="28"/>
        </w:rPr>
        <w:t>28</w:t>
      </w:r>
      <w:r w:rsidRPr="005E758A">
        <w:rPr>
          <w:rFonts w:ascii="Times New Roman" w:eastAsia="標楷體" w:hAnsi="Times New Roman"/>
          <w:sz w:val="28"/>
          <w:szCs w:val="28"/>
        </w:rPr>
        <w:t>條教育權的實質層面，即反映兒童各項權利與固有尊嚴，同時也堅持採取以兒童為中心、對兒童友善且可達到權利目的之教育模式的必要性</w:t>
      </w:r>
      <w:r w:rsidRPr="005E758A">
        <w:rPr>
          <w:rFonts w:ascii="Times New Roman" w:eastAsia="標楷體" w:hAnsi="Times New Roman"/>
          <w:sz w:val="28"/>
          <w:szCs w:val="28"/>
        </w:rPr>
        <w:t>…</w:t>
      </w:r>
      <w:r w:rsidRPr="005E758A">
        <w:rPr>
          <w:rFonts w:ascii="Times New Roman" w:eastAsia="標楷體" w:hAnsi="Times New Roman"/>
          <w:sz w:val="28"/>
          <w:szCs w:val="28"/>
        </w:rPr>
        <w:t>。兒童所享有的教育權應以此為設計藍圖：即培養兒童的生活技能，增強兒童享有全方位人權的能力和促進一個融入適當人權價值觀的文化。此目標是要通過培養兒童的技能、學習和其他能力、人性尊嚴、自尊與自信來增強兒童的能力。此種『教育』遠超過正是學校教育的範圍，並涵蓋廣泛的生活經驗和學習過程，使兒童能夠（不論是透過個人或集體）發展其本身之人格、才智和能力，並在社會中能夠完整及滿意地生活。</w:t>
      </w:r>
      <w:r w:rsidRPr="005E758A">
        <w:rPr>
          <w:rStyle w:val="af3"/>
          <w:rFonts w:ascii="Times New Roman" w:eastAsia="標楷體" w:hAnsi="Times New Roman"/>
        </w:rPr>
        <w:endnoteReference w:id="381"/>
      </w:r>
    </w:p>
    <w:p w14:paraId="20AB9893" w14:textId="77777777" w:rsidR="001169AF" w:rsidRPr="005E758A" w:rsidRDefault="001169AF" w:rsidP="001169AF">
      <w:pPr>
        <w:pStyle w:val="a0"/>
        <w:snapToGrid w:val="0"/>
        <w:spacing w:before="100" w:beforeAutospacing="1" w:after="100" w:afterAutospacing="1"/>
        <w:ind w:leftChars="0" w:left="567" w:right="567"/>
        <w:jc w:val="both"/>
        <w:rPr>
          <w:rFonts w:ascii="Times New Roman" w:eastAsia="標楷體" w:hAnsi="Times New Roman"/>
          <w:sz w:val="28"/>
          <w:szCs w:val="28"/>
        </w:rPr>
      </w:pPr>
      <w:r w:rsidRPr="005E758A">
        <w:rPr>
          <w:rFonts w:ascii="Times New Roman" w:eastAsia="標楷體" w:hAnsi="Times New Roman"/>
          <w:sz w:val="28"/>
          <w:szCs w:val="28"/>
        </w:rPr>
        <w:t>兒童教育權不僅僅是一項兒童受教的議題（第</w:t>
      </w:r>
      <w:r w:rsidRPr="005E758A">
        <w:rPr>
          <w:rFonts w:ascii="Times New Roman" w:eastAsia="標楷體" w:hAnsi="Times New Roman"/>
          <w:sz w:val="28"/>
          <w:szCs w:val="28"/>
        </w:rPr>
        <w:t>28</w:t>
      </w:r>
      <w:r w:rsidRPr="005E758A">
        <w:rPr>
          <w:rFonts w:ascii="Times New Roman" w:eastAsia="標楷體" w:hAnsi="Times New Roman"/>
          <w:sz w:val="28"/>
          <w:szCs w:val="28"/>
        </w:rPr>
        <w:t>條），教育的實質內涵亦為該權利之重點。一個以第</w:t>
      </w:r>
      <w:r w:rsidRPr="005E758A">
        <w:rPr>
          <w:rFonts w:ascii="Times New Roman" w:eastAsia="標楷體" w:hAnsi="Times New Roman"/>
          <w:sz w:val="28"/>
          <w:szCs w:val="28"/>
        </w:rPr>
        <w:t>29</w:t>
      </w:r>
      <w:r w:rsidRPr="005E758A">
        <w:rPr>
          <w:rFonts w:ascii="Times New Roman" w:eastAsia="標楷體" w:hAnsi="Times New Roman"/>
          <w:sz w:val="28"/>
          <w:szCs w:val="28"/>
        </w:rPr>
        <w:t>條第</w:t>
      </w:r>
      <w:r w:rsidRPr="005E758A">
        <w:rPr>
          <w:rFonts w:ascii="Times New Roman" w:eastAsia="標楷體" w:hAnsi="Times New Roman"/>
          <w:sz w:val="28"/>
          <w:szCs w:val="28"/>
        </w:rPr>
        <w:t>1</w:t>
      </w:r>
      <w:r w:rsidRPr="005E758A">
        <w:rPr>
          <w:rFonts w:ascii="Times New Roman" w:eastAsia="標楷體" w:hAnsi="Times New Roman"/>
          <w:sz w:val="28"/>
          <w:szCs w:val="28"/>
        </w:rPr>
        <w:t>項所彰顯之價值為基礎的教育是讓兒童於其生命歷程中，對於隨著全球化、科技日新月異及相關現象所帶來的挑戰，應如何做出平衡的、具人權思維的回應所不可或缺的工具。前開挑戰包括：全球與區域的拉鋸、知識擴張與吸收知識能力的拉鋸、長期考量與短期思維的拉鋸、競爭與機會平等的拉鋸、精神與物質之間的種種矛盾和緊張關係等。儘管如此，各國國內與國際的教育方針和政策中往往欠缺對第</w:t>
      </w:r>
      <w:r w:rsidRPr="005E758A">
        <w:rPr>
          <w:rFonts w:ascii="Times New Roman" w:eastAsia="標楷體" w:hAnsi="Times New Roman"/>
          <w:sz w:val="28"/>
          <w:szCs w:val="28"/>
        </w:rPr>
        <w:t>29</w:t>
      </w:r>
      <w:r w:rsidRPr="005E758A">
        <w:rPr>
          <w:rFonts w:ascii="Times New Roman" w:eastAsia="標楷體" w:hAnsi="Times New Roman"/>
          <w:sz w:val="28"/>
          <w:szCs w:val="28"/>
        </w:rPr>
        <w:t>條第</w:t>
      </w:r>
      <w:r w:rsidRPr="005E758A">
        <w:rPr>
          <w:rFonts w:ascii="Times New Roman" w:eastAsia="標楷體" w:hAnsi="Times New Roman"/>
          <w:sz w:val="28"/>
          <w:szCs w:val="28"/>
        </w:rPr>
        <w:t>1</w:t>
      </w:r>
      <w:r w:rsidRPr="005E758A">
        <w:rPr>
          <w:rFonts w:ascii="Times New Roman" w:eastAsia="標楷體" w:hAnsi="Times New Roman"/>
          <w:sz w:val="28"/>
          <w:szCs w:val="28"/>
        </w:rPr>
        <w:t>項價值的重視，抑或僅將該等價值做為</w:t>
      </w:r>
      <w:proofErr w:type="gramStart"/>
      <w:r w:rsidRPr="005E758A">
        <w:rPr>
          <w:rFonts w:ascii="Times New Roman" w:eastAsia="標楷體" w:hAnsi="Times New Roman"/>
          <w:sz w:val="28"/>
          <w:szCs w:val="28"/>
        </w:rPr>
        <w:t>一</w:t>
      </w:r>
      <w:proofErr w:type="gramEnd"/>
      <w:r w:rsidRPr="005E758A">
        <w:rPr>
          <w:rFonts w:ascii="Times New Roman" w:eastAsia="標楷體" w:hAnsi="Times New Roman"/>
          <w:sz w:val="28"/>
          <w:szCs w:val="28"/>
        </w:rPr>
        <w:t>裝飾性之事後點綴。</w:t>
      </w:r>
      <w:r w:rsidRPr="005E758A">
        <w:rPr>
          <w:rStyle w:val="af3"/>
          <w:rFonts w:ascii="Times New Roman" w:eastAsia="標楷體" w:hAnsi="Times New Roman"/>
        </w:rPr>
        <w:endnoteReference w:id="382"/>
      </w:r>
    </w:p>
    <w:p w14:paraId="7208F666" w14:textId="77777777" w:rsidR="001169AF" w:rsidRPr="005E758A" w:rsidRDefault="001169AF" w:rsidP="00D2135A">
      <w:pPr>
        <w:pStyle w:val="4"/>
        <w:numPr>
          <w:ilvl w:val="0"/>
          <w:numId w:val="92"/>
        </w:numPr>
      </w:pPr>
      <w:r w:rsidRPr="005E758A">
        <w:t>第</w:t>
      </w:r>
      <w:r w:rsidRPr="005E758A">
        <w:t>1</w:t>
      </w:r>
      <w:r w:rsidRPr="005E758A">
        <w:t>款</w:t>
      </w:r>
    </w:p>
    <w:p w14:paraId="5CE18D55" w14:textId="77777777" w:rsidR="001169AF" w:rsidRPr="005E758A" w:rsidRDefault="001169AF" w:rsidP="001169AF">
      <w:pPr>
        <w:pStyle w:val="a0"/>
        <w:snapToGrid w:val="0"/>
        <w:spacing w:before="100" w:beforeAutospacing="1" w:after="100" w:afterAutospacing="1"/>
        <w:ind w:leftChars="0" w:left="0" w:firstLineChars="200" w:firstLine="560"/>
        <w:jc w:val="both"/>
        <w:rPr>
          <w:rFonts w:ascii="Times New Roman" w:eastAsia="標楷體" w:hAnsi="Times New Roman"/>
          <w:sz w:val="28"/>
          <w:szCs w:val="28"/>
        </w:rPr>
      </w:pPr>
      <w:r w:rsidRPr="005E758A">
        <w:rPr>
          <w:rFonts w:ascii="Times New Roman" w:eastAsia="標楷體" w:hAnsi="Times New Roman"/>
          <w:sz w:val="28"/>
          <w:szCs w:val="28"/>
        </w:rPr>
        <w:t>第</w:t>
      </w:r>
      <w:r w:rsidRPr="005E758A">
        <w:rPr>
          <w:rFonts w:ascii="Times New Roman" w:eastAsia="標楷體" w:hAnsi="Times New Roman"/>
          <w:sz w:val="28"/>
          <w:szCs w:val="28"/>
        </w:rPr>
        <w:t>1</w:t>
      </w:r>
      <w:r w:rsidRPr="005E758A">
        <w:rPr>
          <w:rFonts w:ascii="Times New Roman" w:eastAsia="標楷體" w:hAnsi="Times New Roman"/>
          <w:sz w:val="28"/>
          <w:szCs w:val="28"/>
        </w:rPr>
        <w:t>款係以全面的方式對待教育，確保所提供的教育機會能夠恰當地兼顧促進教育的身體、智力、精神和感情方面，知識、社會和實踐層面，以及童年和人生的各個方面。教育的總體目標是盡可能擴大兒童全面和負責任地參加自由社會的能力和機會。應當強調，偏重知識的積累，提倡競爭和導致兒童作業負擔過重的教學類型可能會嚴重</w:t>
      </w:r>
      <w:r w:rsidRPr="005E758A">
        <w:rPr>
          <w:rFonts w:ascii="Times New Roman" w:eastAsia="標楷體" w:hAnsi="Times New Roman"/>
          <w:sz w:val="28"/>
          <w:szCs w:val="28"/>
        </w:rPr>
        <w:lastRenderedPageBreak/>
        <w:t>妨礙兒童和諧發展，不能最充分地發揮兒童的能力和才智。例如兒童權利委員會對於日本之教育系統過度競爭，將對於兒童之身心健康發展造成阻礙</w:t>
      </w:r>
      <w:r w:rsidRPr="005E758A">
        <w:rPr>
          <w:rStyle w:val="af3"/>
          <w:rFonts w:ascii="Times New Roman" w:eastAsia="標楷體" w:hAnsi="Times New Roman"/>
        </w:rPr>
        <w:endnoteReference w:id="383"/>
      </w:r>
      <w:r w:rsidRPr="005E758A">
        <w:rPr>
          <w:rFonts w:ascii="Times New Roman" w:eastAsia="標楷體" w:hAnsi="Times New Roman"/>
          <w:sz w:val="28"/>
          <w:szCs w:val="28"/>
        </w:rPr>
        <w:t>。教育應當以兒童為友，鼓勵和激發各個兒童的積極性。學校應當培養人文氣氛，使兒童能夠根據自己的發展能力發展</w:t>
      </w:r>
      <w:r w:rsidRPr="005E758A">
        <w:rPr>
          <w:rStyle w:val="af3"/>
          <w:rFonts w:ascii="Times New Roman" w:eastAsia="標楷體" w:hAnsi="Times New Roman"/>
        </w:rPr>
        <w:endnoteReference w:id="384"/>
      </w:r>
      <w:r w:rsidRPr="005E758A">
        <w:rPr>
          <w:rFonts w:ascii="Times New Roman" w:eastAsia="標楷體" w:hAnsi="Times New Roman"/>
          <w:sz w:val="28"/>
          <w:szCs w:val="28"/>
        </w:rPr>
        <w:t>。</w:t>
      </w:r>
    </w:p>
    <w:p w14:paraId="53F7CD78" w14:textId="77777777" w:rsidR="001169AF" w:rsidRPr="005E758A" w:rsidRDefault="001169AF" w:rsidP="001169AF">
      <w:pPr>
        <w:pStyle w:val="a0"/>
        <w:snapToGrid w:val="0"/>
        <w:spacing w:before="100" w:beforeAutospacing="1" w:after="100" w:afterAutospacing="1"/>
        <w:ind w:leftChars="0" w:left="0" w:firstLineChars="200" w:firstLine="560"/>
        <w:jc w:val="both"/>
        <w:rPr>
          <w:rFonts w:ascii="Times New Roman" w:eastAsia="標楷體" w:hAnsi="Times New Roman"/>
          <w:sz w:val="28"/>
          <w:szCs w:val="28"/>
        </w:rPr>
      </w:pPr>
      <w:r w:rsidRPr="005E758A">
        <w:rPr>
          <w:rFonts w:ascii="Times New Roman" w:eastAsia="標楷體" w:hAnsi="Times New Roman"/>
          <w:sz w:val="28"/>
          <w:szCs w:val="28"/>
        </w:rPr>
        <w:t>有關發展兒童的「潛能」，</w:t>
      </w:r>
      <w:proofErr w:type="gramStart"/>
      <w:r w:rsidRPr="005E758A">
        <w:rPr>
          <w:rFonts w:ascii="Times New Roman" w:eastAsia="標楷體" w:hAnsi="Times New Roman"/>
          <w:sz w:val="28"/>
          <w:szCs w:val="28"/>
        </w:rPr>
        <w:t>承前所</w:t>
      </w:r>
      <w:proofErr w:type="gramEnd"/>
      <w:r w:rsidRPr="005E758A">
        <w:rPr>
          <w:rFonts w:ascii="Times New Roman" w:eastAsia="標楷體" w:hAnsi="Times New Roman"/>
          <w:sz w:val="28"/>
          <w:szCs w:val="28"/>
        </w:rPr>
        <w:t>述，教育的主要目標在於依據兒童個別的獨特性格、興趣、能力與學習需求，協助兒童發展其人格、天賦與能力。而前開目標的達成除了必須透過「對教材進行根本變革」以確實納入該等教育目標外，那些被期待傳授、促進與提供該等教育價值之人員，「自己必須先對該等價值的重要性有所信服」，否則便無法確實將前開教育的價值融入廣泛的教學中，並使兩者趨於一致。由此可見，落實本條價值的重要關鍵之</w:t>
      </w:r>
      <w:proofErr w:type="gramStart"/>
      <w:r w:rsidRPr="005E758A">
        <w:rPr>
          <w:rFonts w:ascii="Times New Roman" w:eastAsia="標楷體" w:hAnsi="Times New Roman"/>
          <w:sz w:val="28"/>
          <w:szCs w:val="28"/>
        </w:rPr>
        <w:t>一</w:t>
      </w:r>
      <w:proofErr w:type="gramEnd"/>
      <w:r w:rsidRPr="005E758A">
        <w:rPr>
          <w:rFonts w:ascii="Times New Roman" w:eastAsia="標楷體" w:hAnsi="Times New Roman"/>
          <w:sz w:val="28"/>
          <w:szCs w:val="28"/>
        </w:rPr>
        <w:t>在於教師的養成教育是否能確實傳達前開理念，並使其內化於未來的教學之</w:t>
      </w:r>
      <w:proofErr w:type="gramStart"/>
      <w:r w:rsidRPr="005E758A">
        <w:rPr>
          <w:rFonts w:ascii="Times New Roman" w:eastAsia="標楷體" w:hAnsi="Times New Roman"/>
          <w:sz w:val="28"/>
          <w:szCs w:val="28"/>
        </w:rPr>
        <w:t>中</w:t>
      </w:r>
      <w:bookmarkStart w:id="84" w:name="_Ref429386304"/>
      <w:proofErr w:type="gramEnd"/>
      <w:r w:rsidRPr="005E758A">
        <w:rPr>
          <w:rStyle w:val="af3"/>
          <w:rFonts w:ascii="Times New Roman" w:eastAsia="標楷體" w:hAnsi="Times New Roman"/>
        </w:rPr>
        <w:endnoteReference w:id="385"/>
      </w:r>
      <w:bookmarkEnd w:id="84"/>
      <w:r w:rsidRPr="005E758A">
        <w:rPr>
          <w:rFonts w:ascii="Times New Roman" w:eastAsia="標楷體" w:hAnsi="Times New Roman"/>
          <w:sz w:val="28"/>
          <w:szCs w:val="28"/>
        </w:rPr>
        <w:t>。</w:t>
      </w:r>
    </w:p>
    <w:p w14:paraId="64925B65" w14:textId="77777777" w:rsidR="001169AF" w:rsidRPr="005E758A" w:rsidRDefault="001169AF" w:rsidP="00D2135A">
      <w:pPr>
        <w:pStyle w:val="4"/>
        <w:numPr>
          <w:ilvl w:val="0"/>
          <w:numId w:val="92"/>
        </w:numPr>
        <w:rPr>
          <w:szCs w:val="28"/>
        </w:rPr>
      </w:pPr>
      <w:r w:rsidRPr="005E758A">
        <w:rPr>
          <w:szCs w:val="28"/>
        </w:rPr>
        <w:t>第</w:t>
      </w:r>
      <w:r w:rsidRPr="005E758A">
        <w:rPr>
          <w:szCs w:val="28"/>
        </w:rPr>
        <w:t>2</w:t>
      </w:r>
      <w:r w:rsidRPr="005E758A">
        <w:rPr>
          <w:szCs w:val="28"/>
        </w:rPr>
        <w:t>款有關對「人權、基本自由以及聯合國憲章所揭</w:t>
      </w:r>
      <w:proofErr w:type="gramStart"/>
      <w:r w:rsidRPr="005E758A">
        <w:rPr>
          <w:szCs w:val="28"/>
        </w:rPr>
        <w:t>櫫</w:t>
      </w:r>
      <w:proofErr w:type="gramEnd"/>
      <w:r w:rsidRPr="005E758A">
        <w:rPr>
          <w:szCs w:val="28"/>
        </w:rPr>
        <w:t>各項原則之尊重」</w:t>
      </w:r>
    </w:p>
    <w:p w14:paraId="5DC9139F" w14:textId="77777777" w:rsidR="001169AF" w:rsidRPr="005E758A" w:rsidRDefault="001169AF" w:rsidP="001169AF">
      <w:pPr>
        <w:pStyle w:val="a0"/>
        <w:snapToGrid w:val="0"/>
        <w:spacing w:before="100" w:beforeAutospacing="1" w:after="100" w:afterAutospacing="1"/>
        <w:ind w:leftChars="0" w:left="0" w:firstLineChars="200" w:firstLine="560"/>
        <w:jc w:val="both"/>
        <w:rPr>
          <w:rFonts w:ascii="Times New Roman" w:eastAsia="標楷體" w:hAnsi="Times New Roman"/>
          <w:sz w:val="28"/>
          <w:szCs w:val="28"/>
        </w:rPr>
      </w:pPr>
      <w:r w:rsidRPr="005E758A">
        <w:rPr>
          <w:rFonts w:ascii="Times New Roman" w:eastAsia="標楷體" w:hAnsi="Times New Roman"/>
          <w:sz w:val="28"/>
          <w:szCs w:val="28"/>
        </w:rPr>
        <w:t>兒童權利委員會近年來強調更廣泛人權教育的重要性，並將其視為促進社會改革的工具之</w:t>
      </w:r>
      <w:proofErr w:type="gramStart"/>
      <w:r w:rsidRPr="005E758A">
        <w:rPr>
          <w:rFonts w:ascii="Times New Roman" w:eastAsia="標楷體" w:hAnsi="Times New Roman"/>
          <w:sz w:val="28"/>
          <w:szCs w:val="28"/>
        </w:rPr>
        <w:t>一</w:t>
      </w:r>
      <w:proofErr w:type="gramEnd"/>
      <w:r w:rsidRPr="005E758A">
        <w:rPr>
          <w:rFonts w:ascii="Times New Roman" w:eastAsia="標楷體" w:hAnsi="Times New Roman"/>
          <w:sz w:val="28"/>
          <w:szCs w:val="28"/>
        </w:rPr>
        <w:t>。但</w:t>
      </w:r>
      <w:r w:rsidRPr="005E758A">
        <w:rPr>
          <w:rFonts w:ascii="Times New Roman" w:eastAsia="標楷體" w:hAnsi="Times New Roman"/>
          <w:sz w:val="28"/>
        </w:rPr>
        <w:t>作法</w:t>
      </w:r>
      <w:r w:rsidRPr="005E758A">
        <w:rPr>
          <w:rFonts w:ascii="Times New Roman" w:eastAsia="標楷體" w:hAnsi="Times New Roman"/>
          <w:sz w:val="28"/>
          <w:szCs w:val="28"/>
        </w:rPr>
        <w:t>上並非僅將人權公約的內容納入教材，而是要以「促進對人權的尊重」為目標。例如兒童權利委員會對於芬蘭的建議中，提到不僅是在學校施行人權教育，更應使兒童參與在落實人權之方案中，不論是學校、家中甚至社區裡。</w:t>
      </w:r>
      <w:r w:rsidRPr="005E758A">
        <w:rPr>
          <w:rStyle w:val="af3"/>
          <w:rFonts w:ascii="Times New Roman" w:eastAsia="標楷體" w:hAnsi="Times New Roman"/>
        </w:rPr>
        <w:endnoteReference w:id="386"/>
      </w:r>
      <w:r w:rsidRPr="005E758A">
        <w:rPr>
          <w:rFonts w:ascii="Times New Roman" w:eastAsia="標楷體" w:hAnsi="Times New Roman"/>
          <w:sz w:val="28"/>
          <w:szCs w:val="28"/>
        </w:rPr>
        <w:t>更重要的是，除非學校的老師以身作則，</w:t>
      </w:r>
      <w:proofErr w:type="gramStart"/>
      <w:r w:rsidRPr="005E758A">
        <w:rPr>
          <w:rFonts w:ascii="Times New Roman" w:eastAsia="標楷體" w:hAnsi="Times New Roman"/>
          <w:sz w:val="28"/>
          <w:szCs w:val="28"/>
        </w:rPr>
        <w:t>採</w:t>
      </w:r>
      <w:proofErr w:type="gramEnd"/>
      <w:r w:rsidRPr="005E758A">
        <w:rPr>
          <w:rFonts w:ascii="Times New Roman" w:eastAsia="標楷體" w:hAnsi="Times New Roman"/>
          <w:sz w:val="28"/>
          <w:szCs w:val="28"/>
        </w:rPr>
        <w:t>行相互尊重的模式對待學生，否則勢必無法教導兒童對人權賦予應有的尊重</w:t>
      </w:r>
      <w:r w:rsidRPr="005E758A">
        <w:rPr>
          <w:rStyle w:val="af3"/>
          <w:rFonts w:ascii="Times New Roman" w:eastAsia="標楷體" w:hAnsi="Times New Roman"/>
        </w:rPr>
        <w:endnoteReference w:id="387"/>
      </w:r>
      <w:r w:rsidRPr="005E758A">
        <w:rPr>
          <w:rFonts w:ascii="Times New Roman" w:eastAsia="標楷體" w:hAnsi="Times New Roman"/>
          <w:sz w:val="28"/>
          <w:szCs w:val="28"/>
        </w:rPr>
        <w:t>。</w:t>
      </w:r>
    </w:p>
    <w:p w14:paraId="0602A41D" w14:textId="77777777" w:rsidR="001169AF" w:rsidRPr="005E758A" w:rsidRDefault="001169AF" w:rsidP="00D2135A">
      <w:pPr>
        <w:pStyle w:val="4"/>
        <w:numPr>
          <w:ilvl w:val="0"/>
          <w:numId w:val="92"/>
        </w:numPr>
        <w:rPr>
          <w:szCs w:val="28"/>
        </w:rPr>
      </w:pPr>
      <w:r w:rsidRPr="005E758A">
        <w:rPr>
          <w:szCs w:val="28"/>
        </w:rPr>
        <w:t>第</w:t>
      </w:r>
      <w:r w:rsidRPr="005E758A">
        <w:rPr>
          <w:szCs w:val="28"/>
        </w:rPr>
        <w:t>3</w:t>
      </w:r>
      <w:r w:rsidRPr="005E758A">
        <w:rPr>
          <w:szCs w:val="28"/>
        </w:rPr>
        <w:t>款有關對「兒童之父母、兒童自身的文化認同、語言和價值觀，兒童所居住國家之民族價值觀、其原籍國以及不同於其本國的文明之尊重」</w:t>
      </w:r>
    </w:p>
    <w:p w14:paraId="2E5EAED9" w14:textId="77777777" w:rsidR="001169AF" w:rsidRPr="005E758A" w:rsidRDefault="001169AF" w:rsidP="001169AF">
      <w:pPr>
        <w:pStyle w:val="a0"/>
        <w:snapToGrid w:val="0"/>
        <w:spacing w:before="100" w:beforeAutospacing="1" w:after="100" w:afterAutospacing="1"/>
        <w:ind w:leftChars="0" w:left="0" w:firstLineChars="200" w:firstLine="560"/>
        <w:jc w:val="both"/>
        <w:rPr>
          <w:rFonts w:ascii="Times New Roman" w:eastAsia="標楷體" w:hAnsi="Times New Roman"/>
          <w:sz w:val="28"/>
          <w:szCs w:val="28"/>
        </w:rPr>
      </w:pPr>
      <w:r w:rsidRPr="005E758A">
        <w:rPr>
          <w:rFonts w:ascii="Times New Roman" w:eastAsia="標楷體" w:hAnsi="Times New Roman"/>
          <w:sz w:val="28"/>
          <w:szCs w:val="28"/>
        </w:rPr>
        <w:t>特別規範兒童對其父母之尊重，再次</w:t>
      </w:r>
      <w:proofErr w:type="gramStart"/>
      <w:r w:rsidRPr="005E758A">
        <w:rPr>
          <w:rFonts w:ascii="Times New Roman" w:eastAsia="標楷體" w:hAnsi="Times New Roman"/>
          <w:sz w:val="28"/>
          <w:szCs w:val="28"/>
        </w:rPr>
        <w:t>凸</w:t>
      </w:r>
      <w:proofErr w:type="gramEnd"/>
      <w:r w:rsidRPr="005E758A">
        <w:rPr>
          <w:rFonts w:ascii="Times New Roman" w:eastAsia="標楷體" w:hAnsi="Times New Roman"/>
          <w:sz w:val="28"/>
          <w:szCs w:val="28"/>
        </w:rPr>
        <w:t>顯出公約於強調兒童為權利主體時，並未貶低父母之地位。</w:t>
      </w:r>
      <w:proofErr w:type="gramStart"/>
      <w:r w:rsidRPr="005E758A">
        <w:rPr>
          <w:rFonts w:ascii="Times New Roman" w:eastAsia="標楷體" w:hAnsi="Times New Roman"/>
          <w:sz w:val="28"/>
          <w:szCs w:val="28"/>
        </w:rPr>
        <w:t>此外，</w:t>
      </w:r>
      <w:proofErr w:type="gramEnd"/>
      <w:r w:rsidRPr="005E758A">
        <w:rPr>
          <w:rFonts w:ascii="Times New Roman" w:eastAsia="標楷體" w:hAnsi="Times New Roman"/>
          <w:sz w:val="28"/>
          <w:szCs w:val="28"/>
        </w:rPr>
        <w:t>教育應採納多元的價值，並跨越不同文化與價值觀的藩籬。依據兒童權利委員會之闡釋，本條的重點之</w:t>
      </w:r>
      <w:proofErr w:type="gramStart"/>
      <w:r w:rsidRPr="005E758A">
        <w:rPr>
          <w:rFonts w:ascii="Times New Roman" w:eastAsia="標楷體" w:hAnsi="Times New Roman"/>
          <w:sz w:val="28"/>
          <w:szCs w:val="28"/>
        </w:rPr>
        <w:t>一</w:t>
      </w:r>
      <w:proofErr w:type="gramEnd"/>
      <w:r w:rsidRPr="005E758A">
        <w:rPr>
          <w:rFonts w:ascii="Times New Roman" w:eastAsia="標楷體" w:hAnsi="Times New Roman"/>
          <w:sz w:val="28"/>
          <w:szCs w:val="28"/>
        </w:rPr>
        <w:t>在於以平衡的教育方式透過尊重與溝通調和差異。更重要的是，兒童往往具備促進族群融合的功能，可以為肇因於某些歧異而導致分離的族群間「搭建起橋樑」</w:t>
      </w:r>
      <w:r w:rsidRPr="005E758A">
        <w:rPr>
          <w:rStyle w:val="af3"/>
          <w:rFonts w:ascii="Times New Roman" w:eastAsia="標楷體" w:hAnsi="Times New Roman"/>
        </w:rPr>
        <w:endnoteReference w:id="388"/>
      </w:r>
      <w:r w:rsidRPr="005E758A">
        <w:rPr>
          <w:rFonts w:ascii="Times New Roman" w:eastAsia="標楷體" w:hAnsi="Times New Roman"/>
          <w:sz w:val="28"/>
          <w:szCs w:val="28"/>
        </w:rPr>
        <w:t>。</w:t>
      </w:r>
    </w:p>
    <w:p w14:paraId="01668B29" w14:textId="77777777" w:rsidR="001169AF" w:rsidRPr="005E758A" w:rsidRDefault="001169AF" w:rsidP="00D2135A">
      <w:pPr>
        <w:pStyle w:val="4"/>
        <w:numPr>
          <w:ilvl w:val="0"/>
          <w:numId w:val="92"/>
        </w:numPr>
        <w:rPr>
          <w:szCs w:val="28"/>
        </w:rPr>
      </w:pPr>
      <w:r w:rsidRPr="005E758A">
        <w:rPr>
          <w:szCs w:val="28"/>
        </w:rPr>
        <w:t>第</w:t>
      </w:r>
      <w:r w:rsidRPr="005E758A">
        <w:rPr>
          <w:szCs w:val="28"/>
        </w:rPr>
        <w:t>4</w:t>
      </w:r>
      <w:r w:rsidRPr="005E758A">
        <w:rPr>
          <w:szCs w:val="28"/>
        </w:rPr>
        <w:t>款有關培養兒童「理解、和平、寬容、性別平等以及所有人民、種族、民族、宗教與原住民間友好的精神，於自由社會中，過負責任之生活」的能力</w:t>
      </w:r>
    </w:p>
    <w:p w14:paraId="55F54C94" w14:textId="77777777" w:rsidR="001169AF" w:rsidRPr="005E758A" w:rsidRDefault="001169AF" w:rsidP="001169AF">
      <w:pPr>
        <w:pStyle w:val="a0"/>
        <w:snapToGrid w:val="0"/>
        <w:spacing w:before="100" w:beforeAutospacing="1" w:after="100" w:afterAutospacing="1"/>
        <w:ind w:leftChars="0" w:left="0" w:firstLineChars="200" w:firstLine="560"/>
        <w:jc w:val="both"/>
        <w:rPr>
          <w:rFonts w:ascii="Times New Roman" w:eastAsia="標楷體" w:hAnsi="Times New Roman"/>
          <w:sz w:val="28"/>
          <w:szCs w:val="28"/>
        </w:rPr>
      </w:pPr>
      <w:r w:rsidRPr="005E758A">
        <w:rPr>
          <w:rFonts w:ascii="Times New Roman" w:eastAsia="標楷體" w:hAnsi="Times New Roman"/>
          <w:sz w:val="28"/>
          <w:szCs w:val="28"/>
        </w:rPr>
        <w:lastRenderedPageBreak/>
        <w:t>此處強調「較不具學術性質」</w:t>
      </w:r>
      <w:r w:rsidRPr="005E758A">
        <w:rPr>
          <w:rFonts w:ascii="Times New Roman" w:eastAsia="標楷體" w:hAnsi="Times New Roman"/>
          <w:sz w:val="28"/>
          <w:szCs w:val="28"/>
        </w:rPr>
        <w:t>(less academic)</w:t>
      </w:r>
      <w:r w:rsidRPr="005E758A">
        <w:rPr>
          <w:rFonts w:ascii="Times New Roman" w:eastAsia="標楷體" w:hAnsi="Times New Roman"/>
          <w:sz w:val="28"/>
          <w:szCs w:val="28"/>
        </w:rPr>
        <w:t>之科目（例如健康、政治、財務管理等）的重要性。</w:t>
      </w:r>
      <w:proofErr w:type="gramStart"/>
      <w:r w:rsidRPr="005E758A">
        <w:rPr>
          <w:rFonts w:ascii="Times New Roman" w:eastAsia="標楷體" w:hAnsi="Times New Roman"/>
          <w:sz w:val="28"/>
          <w:szCs w:val="28"/>
        </w:rPr>
        <w:t>再者，</w:t>
      </w:r>
      <w:proofErr w:type="gramEnd"/>
      <w:r w:rsidRPr="005E758A">
        <w:rPr>
          <w:rFonts w:ascii="Times New Roman" w:eastAsia="標楷體" w:hAnsi="Times New Roman"/>
          <w:sz w:val="28"/>
          <w:szCs w:val="28"/>
        </w:rPr>
        <w:t>「教育不應讓學生覺得其所學與現實有所脫離，如此將注定導致學生喪失學習熱情並徒增學習障礙及輟學率」</w:t>
      </w:r>
      <w:r w:rsidRPr="005E758A">
        <w:rPr>
          <w:rStyle w:val="af3"/>
          <w:rFonts w:ascii="Times New Roman" w:eastAsia="標楷體" w:hAnsi="Times New Roman"/>
        </w:rPr>
        <w:endnoteReference w:id="389"/>
      </w:r>
      <w:r w:rsidRPr="005E758A">
        <w:rPr>
          <w:rFonts w:ascii="Times New Roman" w:eastAsia="標楷體" w:hAnsi="Times New Roman"/>
          <w:sz w:val="28"/>
          <w:szCs w:val="28"/>
        </w:rPr>
        <w:t>。</w:t>
      </w:r>
    </w:p>
    <w:p w14:paraId="3E87BBCF" w14:textId="77777777" w:rsidR="001169AF" w:rsidRPr="005E758A" w:rsidRDefault="001169AF" w:rsidP="00D2135A">
      <w:pPr>
        <w:pStyle w:val="4"/>
        <w:numPr>
          <w:ilvl w:val="0"/>
          <w:numId w:val="92"/>
        </w:numPr>
        <w:rPr>
          <w:szCs w:val="28"/>
        </w:rPr>
      </w:pPr>
      <w:r w:rsidRPr="005E758A">
        <w:rPr>
          <w:szCs w:val="28"/>
        </w:rPr>
        <w:t>第</w:t>
      </w:r>
      <w:r w:rsidRPr="005E758A">
        <w:rPr>
          <w:szCs w:val="28"/>
        </w:rPr>
        <w:t>5</w:t>
      </w:r>
      <w:r w:rsidRPr="005E758A">
        <w:rPr>
          <w:szCs w:val="28"/>
        </w:rPr>
        <w:t>款有關培養兒童對於「環境」的尊重</w:t>
      </w:r>
    </w:p>
    <w:p w14:paraId="783CC4AB" w14:textId="77777777" w:rsidR="001169AF" w:rsidRPr="005E758A" w:rsidRDefault="001169AF" w:rsidP="001169AF">
      <w:pPr>
        <w:pStyle w:val="a0"/>
        <w:snapToGrid w:val="0"/>
        <w:spacing w:before="100" w:beforeAutospacing="1" w:after="100" w:afterAutospacing="1"/>
        <w:ind w:leftChars="0" w:left="0" w:firstLineChars="200" w:firstLine="560"/>
        <w:jc w:val="both"/>
        <w:rPr>
          <w:rFonts w:ascii="Times New Roman" w:eastAsia="標楷體" w:hAnsi="Times New Roman"/>
          <w:sz w:val="28"/>
          <w:szCs w:val="28"/>
        </w:rPr>
      </w:pPr>
      <w:r w:rsidRPr="005E758A">
        <w:rPr>
          <w:rFonts w:ascii="Times New Roman" w:eastAsia="標楷體" w:hAnsi="Times New Roman"/>
          <w:sz w:val="28"/>
          <w:szCs w:val="28"/>
        </w:rPr>
        <w:t>此規定反映各國對於「環境」議題的關注以及處理的急迫性。針對兒童教育的部分，兒童權利委員會強調環境教育不應僅著重於理論，而是應將環境永續與社會經濟、社會文化與人口議題相互連結，並積極讓兒童參與地方性及國際性的環境計畫</w:t>
      </w:r>
      <w:r w:rsidRPr="005E758A">
        <w:rPr>
          <w:rStyle w:val="af3"/>
          <w:rFonts w:ascii="Times New Roman" w:eastAsia="標楷體" w:hAnsi="Times New Roman"/>
        </w:rPr>
        <w:endnoteReference w:id="390"/>
      </w:r>
      <w:r w:rsidRPr="005E758A">
        <w:rPr>
          <w:rFonts w:ascii="Times New Roman" w:eastAsia="標楷體" w:hAnsi="Times New Roman"/>
          <w:sz w:val="28"/>
          <w:szCs w:val="28"/>
        </w:rPr>
        <w:t>。</w:t>
      </w:r>
    </w:p>
    <w:p w14:paraId="4E51D778" w14:textId="77777777" w:rsidR="001169AF" w:rsidRPr="005E758A" w:rsidRDefault="001169AF" w:rsidP="001169AF">
      <w:pPr>
        <w:pStyle w:val="3"/>
      </w:pPr>
      <w:r w:rsidRPr="005E758A">
        <w:t>第</w:t>
      </w:r>
      <w:r w:rsidRPr="005E758A">
        <w:t>29</w:t>
      </w:r>
      <w:r w:rsidRPr="005E758A">
        <w:t>條第</w:t>
      </w:r>
      <w:r w:rsidRPr="005E758A">
        <w:t>2</w:t>
      </w:r>
      <w:r w:rsidRPr="005E758A">
        <w:t>項</w:t>
      </w:r>
    </w:p>
    <w:p w14:paraId="34C40078" w14:textId="77777777" w:rsidR="001169AF" w:rsidRPr="005E758A" w:rsidRDefault="001169AF" w:rsidP="001169AF">
      <w:pPr>
        <w:pStyle w:val="a0"/>
        <w:snapToGrid w:val="0"/>
        <w:spacing w:before="100" w:beforeAutospacing="1" w:after="100" w:afterAutospacing="1"/>
        <w:ind w:leftChars="0" w:left="0" w:firstLineChars="200" w:firstLine="560"/>
        <w:jc w:val="both"/>
        <w:rPr>
          <w:rFonts w:ascii="Times New Roman" w:eastAsia="標楷體" w:hAnsi="Times New Roman"/>
          <w:sz w:val="28"/>
          <w:szCs w:val="28"/>
        </w:rPr>
      </w:pPr>
      <w:r w:rsidRPr="005E758A">
        <w:rPr>
          <w:rFonts w:ascii="Times New Roman" w:eastAsia="標楷體" w:hAnsi="Times New Roman"/>
          <w:sz w:val="28"/>
          <w:szCs w:val="28"/>
        </w:rPr>
        <w:t>本條第</w:t>
      </w:r>
      <w:r w:rsidRPr="005E758A">
        <w:rPr>
          <w:rFonts w:ascii="Times New Roman" w:eastAsia="標楷體" w:hAnsi="Times New Roman"/>
          <w:sz w:val="28"/>
          <w:szCs w:val="28"/>
        </w:rPr>
        <w:t>2</w:t>
      </w:r>
      <w:r w:rsidRPr="005E758A">
        <w:rPr>
          <w:rFonts w:ascii="Times New Roman" w:eastAsia="標楷體" w:hAnsi="Times New Roman"/>
          <w:sz w:val="28"/>
          <w:szCs w:val="28"/>
        </w:rPr>
        <w:t>項之條文用語與經濟社會文化權利公約第</w:t>
      </w:r>
      <w:r w:rsidRPr="005E758A">
        <w:rPr>
          <w:rFonts w:ascii="Times New Roman" w:eastAsia="標楷體" w:hAnsi="Times New Roman"/>
          <w:sz w:val="28"/>
          <w:szCs w:val="28"/>
        </w:rPr>
        <w:t>13</w:t>
      </w:r>
      <w:r w:rsidRPr="005E758A">
        <w:rPr>
          <w:rFonts w:ascii="Times New Roman" w:eastAsia="標楷體" w:hAnsi="Times New Roman"/>
          <w:sz w:val="28"/>
          <w:szCs w:val="28"/>
        </w:rPr>
        <w:t>條第</w:t>
      </w:r>
      <w:r w:rsidRPr="005E758A">
        <w:rPr>
          <w:rFonts w:ascii="Times New Roman" w:eastAsia="標楷體" w:hAnsi="Times New Roman"/>
          <w:sz w:val="28"/>
          <w:szCs w:val="28"/>
        </w:rPr>
        <w:t>4</w:t>
      </w:r>
      <w:r w:rsidRPr="005E758A">
        <w:rPr>
          <w:rFonts w:ascii="Times New Roman" w:eastAsia="標楷體" w:hAnsi="Times New Roman"/>
          <w:sz w:val="28"/>
          <w:szCs w:val="28"/>
        </w:rPr>
        <w:t>項之規定幾乎一致。依據聯合國兒童基金會之說明，「儘管兒童權利委員會認為私校體系可能會造成民眾對於公共教育體系及弱勢家庭有所歧視，但仍肯認允許選擇私校就讀係保障個人自由重要的一環，特別是『好的教育』</w:t>
      </w:r>
      <w:r w:rsidRPr="005E758A">
        <w:rPr>
          <w:rFonts w:ascii="Times New Roman" w:eastAsia="標楷體" w:hAnsi="Times New Roman"/>
          <w:sz w:val="28"/>
          <w:szCs w:val="28"/>
        </w:rPr>
        <w:t>(good education)</w:t>
      </w:r>
      <w:r w:rsidRPr="005E758A">
        <w:rPr>
          <w:rFonts w:ascii="Times New Roman" w:eastAsia="標楷體" w:hAnsi="Times New Roman"/>
          <w:sz w:val="28"/>
          <w:szCs w:val="28"/>
        </w:rPr>
        <w:t>並無一標準藍本，因此有必要維持教育的多元與彈性</w:t>
      </w:r>
      <w:r w:rsidRPr="005E758A">
        <w:rPr>
          <w:rStyle w:val="af3"/>
          <w:rFonts w:ascii="Times New Roman" w:eastAsia="標楷體" w:hAnsi="Times New Roman"/>
        </w:rPr>
        <w:endnoteReference w:id="391"/>
      </w:r>
      <w:r w:rsidRPr="005E758A">
        <w:rPr>
          <w:rFonts w:ascii="Times New Roman" w:eastAsia="標楷體" w:hAnsi="Times New Roman"/>
          <w:sz w:val="28"/>
          <w:szCs w:val="28"/>
        </w:rPr>
        <w:t>。</w:t>
      </w:r>
      <w:proofErr w:type="gramStart"/>
      <w:r w:rsidRPr="005E758A">
        <w:rPr>
          <w:rFonts w:ascii="Times New Roman" w:eastAsia="標楷體" w:hAnsi="Times New Roman"/>
          <w:sz w:val="28"/>
          <w:szCs w:val="28"/>
        </w:rPr>
        <w:t>惟</w:t>
      </w:r>
      <w:proofErr w:type="gramEnd"/>
      <w:r w:rsidRPr="005E758A">
        <w:rPr>
          <w:rFonts w:ascii="Times New Roman" w:eastAsia="標楷體" w:hAnsi="Times New Roman"/>
          <w:sz w:val="28"/>
          <w:szCs w:val="28"/>
        </w:rPr>
        <w:t>儘管如此，私校體系仍應符合第</w:t>
      </w:r>
      <w:r w:rsidRPr="005E758A">
        <w:rPr>
          <w:rFonts w:ascii="Times New Roman" w:eastAsia="標楷體" w:hAnsi="Times New Roman"/>
          <w:sz w:val="28"/>
          <w:szCs w:val="28"/>
        </w:rPr>
        <w:t>29</w:t>
      </w:r>
      <w:r w:rsidRPr="005E758A">
        <w:rPr>
          <w:rFonts w:ascii="Times New Roman" w:eastAsia="標楷體" w:hAnsi="Times New Roman"/>
          <w:sz w:val="28"/>
          <w:szCs w:val="28"/>
        </w:rPr>
        <w:t>條第</w:t>
      </w:r>
      <w:r w:rsidRPr="005E758A">
        <w:rPr>
          <w:rFonts w:ascii="Times New Roman" w:eastAsia="標楷體" w:hAnsi="Times New Roman"/>
          <w:sz w:val="28"/>
          <w:szCs w:val="28"/>
        </w:rPr>
        <w:t>2</w:t>
      </w:r>
      <w:r w:rsidRPr="005E758A">
        <w:rPr>
          <w:rFonts w:ascii="Times New Roman" w:eastAsia="標楷體" w:hAnsi="Times New Roman"/>
          <w:sz w:val="28"/>
          <w:szCs w:val="28"/>
        </w:rPr>
        <w:t>項所規範之兩項要件，即符合本條第</w:t>
      </w:r>
      <w:r w:rsidRPr="005E758A">
        <w:rPr>
          <w:rFonts w:ascii="Times New Roman" w:eastAsia="標楷體" w:hAnsi="Times New Roman"/>
          <w:sz w:val="28"/>
          <w:szCs w:val="28"/>
        </w:rPr>
        <w:t>1</w:t>
      </w:r>
      <w:r w:rsidRPr="005E758A">
        <w:rPr>
          <w:rFonts w:ascii="Times New Roman" w:eastAsia="標楷體" w:hAnsi="Times New Roman"/>
          <w:sz w:val="28"/>
          <w:szCs w:val="28"/>
        </w:rPr>
        <w:t>項所訂之教育目標與其他相關最低標準（如國家依公約第</w:t>
      </w:r>
      <w:r w:rsidRPr="005E758A">
        <w:rPr>
          <w:rFonts w:ascii="Times New Roman" w:eastAsia="標楷體" w:hAnsi="Times New Roman"/>
          <w:sz w:val="28"/>
          <w:szCs w:val="28"/>
        </w:rPr>
        <w:t>3</w:t>
      </w:r>
      <w:r w:rsidRPr="005E758A">
        <w:rPr>
          <w:rFonts w:ascii="Times New Roman" w:eastAsia="標楷體" w:hAnsi="Times New Roman"/>
          <w:sz w:val="28"/>
          <w:szCs w:val="28"/>
        </w:rPr>
        <w:t>條第</w:t>
      </w:r>
      <w:r w:rsidRPr="005E758A">
        <w:rPr>
          <w:rFonts w:ascii="Times New Roman" w:eastAsia="標楷體" w:hAnsi="Times New Roman"/>
          <w:sz w:val="28"/>
          <w:szCs w:val="28"/>
        </w:rPr>
        <w:t>3</w:t>
      </w:r>
      <w:r w:rsidRPr="005E758A">
        <w:rPr>
          <w:rFonts w:ascii="Times New Roman" w:eastAsia="標楷體" w:hAnsi="Times New Roman"/>
          <w:sz w:val="28"/>
          <w:szCs w:val="28"/>
        </w:rPr>
        <w:t>項所訂定之最低安全及師資標準）。</w:t>
      </w:r>
    </w:p>
    <w:p w14:paraId="5E52C852" w14:textId="77777777" w:rsidR="001169AF" w:rsidRPr="005E758A" w:rsidRDefault="001169AF" w:rsidP="001169AF">
      <w:pPr>
        <w:pStyle w:val="2"/>
      </w:pPr>
      <w:r w:rsidRPr="005E758A">
        <w:t>案例介紹</w:t>
      </w:r>
    </w:p>
    <w:p w14:paraId="28DBCBA1" w14:textId="77777777" w:rsidR="001169AF" w:rsidRPr="005E758A" w:rsidRDefault="001169AF" w:rsidP="00D2135A">
      <w:pPr>
        <w:pStyle w:val="3"/>
        <w:numPr>
          <w:ilvl w:val="0"/>
          <w:numId w:val="93"/>
        </w:numPr>
      </w:pPr>
      <w:r w:rsidRPr="005E758A">
        <w:t>200</w:t>
      </w:r>
      <w:r w:rsidR="002B54D2">
        <w:rPr>
          <w:rFonts w:hint="eastAsia"/>
        </w:rPr>
        <w:t>4</w:t>
      </w:r>
      <w:r w:rsidRPr="005E758A">
        <w:t>年</w:t>
      </w:r>
      <w:r w:rsidR="00267C8E" w:rsidRPr="005E758A">
        <w:rPr>
          <w:szCs w:val="28"/>
        </w:rPr>
        <w:t>聯合國人權事務委員會</w:t>
      </w:r>
      <w:r w:rsidRPr="005E758A">
        <w:t>挪威宗教教育案：</w:t>
      </w:r>
      <w:proofErr w:type="spellStart"/>
      <w:r w:rsidRPr="005E758A">
        <w:rPr>
          <w:shd w:val="clear" w:color="auto" w:fill="FFFFFF"/>
        </w:rPr>
        <w:t>Leirvåg</w:t>
      </w:r>
      <w:proofErr w:type="spellEnd"/>
      <w:r w:rsidRPr="005E758A">
        <w:rPr>
          <w:shd w:val="clear" w:color="auto" w:fill="FFFFFF"/>
        </w:rPr>
        <w:t xml:space="preserve"> v. Norway</w:t>
      </w:r>
      <w:r w:rsidRPr="005E758A">
        <w:rPr>
          <w:rStyle w:val="af3"/>
          <w:shd w:val="clear" w:color="auto" w:fill="FFFFFF"/>
        </w:rPr>
        <w:endnoteReference w:id="392"/>
      </w:r>
    </w:p>
    <w:p w14:paraId="131FB12A" w14:textId="77777777" w:rsidR="001169AF" w:rsidRPr="005E758A" w:rsidRDefault="001169AF" w:rsidP="001169AF">
      <w:pPr>
        <w:pStyle w:val="a0"/>
        <w:snapToGrid w:val="0"/>
        <w:spacing w:before="100" w:beforeAutospacing="1" w:after="100" w:afterAutospacing="1"/>
        <w:ind w:leftChars="0" w:left="0" w:firstLineChars="200" w:firstLine="560"/>
        <w:jc w:val="both"/>
        <w:rPr>
          <w:rFonts w:ascii="Times New Roman" w:eastAsia="標楷體" w:hAnsi="Times New Roman"/>
          <w:sz w:val="28"/>
          <w:szCs w:val="28"/>
        </w:rPr>
      </w:pPr>
      <w:r w:rsidRPr="005E758A">
        <w:rPr>
          <w:rFonts w:ascii="Times New Roman" w:eastAsia="標楷體" w:hAnsi="Times New Roman"/>
          <w:sz w:val="28"/>
          <w:szCs w:val="28"/>
        </w:rPr>
        <w:t>挪威於</w:t>
      </w:r>
      <w:r w:rsidRPr="005E758A">
        <w:rPr>
          <w:rFonts w:ascii="Times New Roman" w:eastAsia="標楷體" w:hAnsi="Times New Roman"/>
          <w:sz w:val="28"/>
          <w:szCs w:val="28"/>
        </w:rPr>
        <w:t>1997</w:t>
      </w:r>
      <w:r w:rsidRPr="005E758A">
        <w:rPr>
          <w:rFonts w:ascii="Times New Roman" w:eastAsia="標楷體" w:hAnsi="Times New Roman"/>
          <w:sz w:val="28"/>
          <w:szCs w:val="28"/>
        </w:rPr>
        <w:t>年於挪威教育系統中施行一項義務性基督教教育</w:t>
      </w:r>
      <w:r w:rsidRPr="005E758A">
        <w:rPr>
          <w:rFonts w:ascii="Times New Roman" w:eastAsia="標楷體" w:hAnsi="Times New Roman"/>
          <w:sz w:val="28"/>
          <w:szCs w:val="28"/>
        </w:rPr>
        <w:t>(Christian Knowledge and Religious and Ethical Education, CKREE)</w:t>
      </w:r>
      <w:r w:rsidRPr="005E758A">
        <w:rPr>
          <w:rFonts w:ascii="Times New Roman" w:eastAsia="標楷體" w:hAnsi="Times New Roman"/>
          <w:sz w:val="28"/>
          <w:szCs w:val="28"/>
        </w:rPr>
        <w:t>，且只有少數學童能免除修習。本案申請人於申請免除基督教教育</w:t>
      </w:r>
      <w:proofErr w:type="gramStart"/>
      <w:r w:rsidRPr="005E758A">
        <w:rPr>
          <w:rFonts w:ascii="Times New Roman" w:eastAsia="標楷體" w:hAnsi="Times New Roman"/>
          <w:sz w:val="28"/>
          <w:szCs w:val="28"/>
        </w:rPr>
        <w:t>時遭否准</w:t>
      </w:r>
      <w:proofErr w:type="gramEnd"/>
      <w:r w:rsidRPr="005E758A">
        <w:rPr>
          <w:rFonts w:ascii="Times New Roman" w:eastAsia="標楷體" w:hAnsi="Times New Roman"/>
          <w:sz w:val="28"/>
          <w:szCs w:val="28"/>
        </w:rPr>
        <w:t>，其父母認為宗教自由、隱私權受侵害，且於程序中遭受歧視，因此向聯合國人權委員會提出控訴。</w:t>
      </w:r>
    </w:p>
    <w:p w14:paraId="41DC4B49" w14:textId="77777777" w:rsidR="001169AF" w:rsidRPr="005E758A" w:rsidRDefault="001169AF" w:rsidP="001169AF">
      <w:pPr>
        <w:pStyle w:val="a0"/>
        <w:snapToGrid w:val="0"/>
        <w:spacing w:before="100" w:beforeAutospacing="1" w:after="100" w:afterAutospacing="1"/>
        <w:ind w:leftChars="0" w:left="0" w:firstLineChars="200" w:firstLine="560"/>
        <w:jc w:val="both"/>
        <w:rPr>
          <w:rFonts w:ascii="Times New Roman" w:eastAsia="標楷體" w:hAnsi="Times New Roman"/>
          <w:sz w:val="28"/>
          <w:szCs w:val="28"/>
        </w:rPr>
      </w:pPr>
      <w:r w:rsidRPr="005E758A">
        <w:rPr>
          <w:rFonts w:ascii="Times New Roman" w:eastAsia="標楷體" w:hAnsi="Times New Roman"/>
          <w:sz w:val="28"/>
          <w:szCs w:val="28"/>
        </w:rPr>
        <w:t>本案爭點在於挪威政府實施義務性基督教教育，且免除此教育之機會有限之情況下，是否侵犯了</w:t>
      </w:r>
      <w:r w:rsidR="00CE2B9A" w:rsidRPr="005E758A">
        <w:rPr>
          <w:rFonts w:ascii="Times New Roman" w:eastAsia="標楷體" w:hAnsi="Times New Roman"/>
          <w:sz w:val="28"/>
          <w:szCs w:val="28"/>
        </w:rPr>
        <w:t>公民與政治權利國際公約</w:t>
      </w:r>
      <w:r w:rsidRPr="005E758A">
        <w:rPr>
          <w:rFonts w:ascii="Times New Roman" w:eastAsia="標楷體" w:hAnsi="Times New Roman"/>
          <w:sz w:val="28"/>
          <w:szCs w:val="28"/>
        </w:rPr>
        <w:t>第</w:t>
      </w:r>
      <w:r w:rsidRPr="005E758A">
        <w:rPr>
          <w:rFonts w:ascii="Times New Roman" w:eastAsia="標楷體" w:hAnsi="Times New Roman"/>
          <w:sz w:val="28"/>
          <w:szCs w:val="28"/>
        </w:rPr>
        <w:t>18</w:t>
      </w:r>
      <w:r w:rsidRPr="005E758A">
        <w:rPr>
          <w:rFonts w:ascii="Times New Roman" w:eastAsia="標楷體" w:hAnsi="Times New Roman"/>
          <w:sz w:val="28"/>
          <w:szCs w:val="28"/>
        </w:rPr>
        <w:t>條所規範之思想、良心及宗教自由，特別是第</w:t>
      </w:r>
      <w:r w:rsidRPr="005E758A">
        <w:rPr>
          <w:rFonts w:ascii="Times New Roman" w:eastAsia="標楷體" w:hAnsi="Times New Roman"/>
          <w:sz w:val="28"/>
          <w:szCs w:val="28"/>
        </w:rPr>
        <w:t>4</w:t>
      </w:r>
      <w:r w:rsidRPr="005E758A">
        <w:rPr>
          <w:rFonts w:ascii="Times New Roman" w:eastAsia="標楷體" w:hAnsi="Times New Roman"/>
          <w:sz w:val="28"/>
          <w:szCs w:val="28"/>
        </w:rPr>
        <w:t>款之情形，確保父母能按照自己的信仰和道德教育以教養孩子。</w:t>
      </w:r>
    </w:p>
    <w:p w14:paraId="3B40FDBF" w14:textId="77777777" w:rsidR="001169AF" w:rsidRPr="005E758A" w:rsidRDefault="001169AF" w:rsidP="001169AF">
      <w:pPr>
        <w:pStyle w:val="a0"/>
        <w:snapToGrid w:val="0"/>
        <w:spacing w:before="100" w:beforeAutospacing="1" w:after="100" w:afterAutospacing="1"/>
        <w:ind w:leftChars="0" w:left="0" w:firstLineChars="200" w:firstLine="560"/>
        <w:jc w:val="both"/>
        <w:rPr>
          <w:rFonts w:ascii="Times New Roman" w:eastAsia="標楷體" w:hAnsi="Times New Roman"/>
          <w:sz w:val="28"/>
          <w:szCs w:val="28"/>
        </w:rPr>
      </w:pPr>
      <w:r w:rsidRPr="005E758A">
        <w:rPr>
          <w:rFonts w:ascii="Times New Roman" w:eastAsia="標楷體" w:hAnsi="Times New Roman"/>
          <w:sz w:val="28"/>
          <w:szCs w:val="28"/>
        </w:rPr>
        <w:t>聯合國人權</w:t>
      </w:r>
      <w:r w:rsidR="00267C8E" w:rsidRPr="005E758A">
        <w:rPr>
          <w:rFonts w:ascii="Times New Roman" w:eastAsia="標楷體" w:hAnsi="Times New Roman"/>
          <w:sz w:val="28"/>
          <w:szCs w:val="28"/>
        </w:rPr>
        <w:t>事務</w:t>
      </w:r>
      <w:r w:rsidRPr="005E758A">
        <w:rPr>
          <w:rFonts w:ascii="Times New Roman" w:eastAsia="標楷體" w:hAnsi="Times New Roman"/>
          <w:sz w:val="28"/>
          <w:szCs w:val="28"/>
        </w:rPr>
        <w:t>委員會認為公立學校之教育如係總體性的宗教</w:t>
      </w:r>
      <w:r w:rsidRPr="005E758A">
        <w:rPr>
          <w:rFonts w:ascii="Times New Roman" w:eastAsia="標楷體" w:hAnsi="Times New Roman"/>
          <w:sz w:val="28"/>
          <w:szCs w:val="28"/>
        </w:rPr>
        <w:lastRenderedPageBreak/>
        <w:t>及道德之歷史，並不違反</w:t>
      </w:r>
      <w:r w:rsidR="00CE2B9A" w:rsidRPr="005E758A">
        <w:rPr>
          <w:rFonts w:ascii="Times New Roman" w:eastAsia="標楷體" w:hAnsi="Times New Roman"/>
          <w:sz w:val="28"/>
          <w:szCs w:val="28"/>
        </w:rPr>
        <w:t>公民與政治權利國際公約</w:t>
      </w:r>
      <w:r w:rsidRPr="005E758A">
        <w:rPr>
          <w:rFonts w:ascii="Times New Roman" w:eastAsia="標楷體" w:hAnsi="Times New Roman"/>
          <w:sz w:val="28"/>
          <w:szCs w:val="28"/>
        </w:rPr>
        <w:t>第</w:t>
      </w:r>
      <w:r w:rsidRPr="005E758A">
        <w:rPr>
          <w:rFonts w:ascii="Times New Roman" w:eastAsia="標楷體" w:hAnsi="Times New Roman"/>
          <w:sz w:val="28"/>
          <w:szCs w:val="28"/>
        </w:rPr>
        <w:t>18</w:t>
      </w:r>
      <w:r w:rsidRPr="005E758A">
        <w:rPr>
          <w:rFonts w:ascii="Times New Roman" w:eastAsia="標楷體" w:hAnsi="Times New Roman"/>
          <w:sz w:val="28"/>
          <w:szCs w:val="28"/>
        </w:rPr>
        <w:t>條規範，因其屬「中立客觀之方式」。</w:t>
      </w:r>
      <w:proofErr w:type="gramStart"/>
      <w:r w:rsidRPr="005E758A">
        <w:rPr>
          <w:rFonts w:ascii="Times New Roman" w:eastAsia="標楷體" w:hAnsi="Times New Roman"/>
          <w:sz w:val="28"/>
          <w:szCs w:val="28"/>
        </w:rPr>
        <w:t>惟</w:t>
      </w:r>
      <w:proofErr w:type="gramEnd"/>
      <w:r w:rsidRPr="005E758A">
        <w:rPr>
          <w:rFonts w:ascii="Times New Roman" w:eastAsia="標楷體" w:hAnsi="Times New Roman"/>
          <w:sz w:val="28"/>
          <w:szCs w:val="28"/>
        </w:rPr>
        <w:t>公立學校之教育係針對某特定宗教或信仰，則需提供符合父母（或監護人）之意向、無歧視意涵之免除方案或替代方案。挪威政府所制定之基督教教育政策並未符合前述中立客觀之方式，且免除該義務之申請制度並不足以達到尊重父母或法定監護人確保子女接受符合其本人信仰之宗教及道德教育之自由。該</w:t>
      </w:r>
      <w:r w:rsidRPr="005E758A">
        <w:rPr>
          <w:rFonts w:ascii="Times New Roman" w:eastAsia="標楷體" w:hAnsi="Times New Roman"/>
          <w:sz w:val="28"/>
          <w:szCs w:val="28"/>
        </w:rPr>
        <w:t>CKREE</w:t>
      </w:r>
      <w:r w:rsidRPr="005E758A">
        <w:rPr>
          <w:rFonts w:ascii="Times New Roman" w:eastAsia="標楷體" w:hAnsi="Times New Roman"/>
          <w:sz w:val="28"/>
          <w:szCs w:val="28"/>
        </w:rPr>
        <w:t>架構因此違反</w:t>
      </w:r>
      <w:r w:rsidR="00CE2B9A" w:rsidRPr="005E758A">
        <w:rPr>
          <w:rFonts w:ascii="Times New Roman" w:eastAsia="標楷體" w:hAnsi="Times New Roman"/>
          <w:sz w:val="28"/>
          <w:szCs w:val="28"/>
        </w:rPr>
        <w:t>公民與政治權利國際公約</w:t>
      </w:r>
      <w:r w:rsidRPr="005E758A">
        <w:rPr>
          <w:rFonts w:ascii="Times New Roman" w:eastAsia="標楷體" w:hAnsi="Times New Roman"/>
          <w:sz w:val="28"/>
          <w:szCs w:val="28"/>
        </w:rPr>
        <w:t>第</w:t>
      </w:r>
      <w:r w:rsidRPr="005E758A">
        <w:rPr>
          <w:rFonts w:ascii="Times New Roman" w:eastAsia="標楷體" w:hAnsi="Times New Roman"/>
          <w:sz w:val="28"/>
          <w:szCs w:val="28"/>
        </w:rPr>
        <w:t>18</w:t>
      </w:r>
      <w:r w:rsidRPr="005E758A">
        <w:rPr>
          <w:rFonts w:ascii="Times New Roman" w:eastAsia="標楷體" w:hAnsi="Times New Roman"/>
          <w:sz w:val="28"/>
          <w:szCs w:val="28"/>
        </w:rPr>
        <w:t>條第</w:t>
      </w:r>
      <w:r w:rsidRPr="005E758A">
        <w:rPr>
          <w:rFonts w:ascii="Times New Roman" w:eastAsia="標楷體" w:hAnsi="Times New Roman"/>
          <w:sz w:val="28"/>
          <w:szCs w:val="28"/>
        </w:rPr>
        <w:t>4</w:t>
      </w:r>
      <w:r w:rsidRPr="005E758A">
        <w:rPr>
          <w:rFonts w:ascii="Times New Roman" w:eastAsia="標楷體" w:hAnsi="Times New Roman"/>
          <w:sz w:val="28"/>
          <w:szCs w:val="28"/>
        </w:rPr>
        <w:t>款之規定，且與其他國際公約關於宗教教育之規範並不一致，包含兒童權利公約之規定。</w:t>
      </w:r>
    </w:p>
    <w:p w14:paraId="47535424" w14:textId="77777777" w:rsidR="001169AF" w:rsidRPr="005E758A" w:rsidRDefault="001169AF" w:rsidP="001169AF">
      <w:pPr>
        <w:pStyle w:val="a0"/>
        <w:snapToGrid w:val="0"/>
        <w:spacing w:before="100" w:beforeAutospacing="1" w:after="100" w:afterAutospacing="1"/>
        <w:ind w:leftChars="0" w:left="0" w:firstLineChars="200" w:firstLine="560"/>
        <w:jc w:val="both"/>
        <w:rPr>
          <w:rFonts w:ascii="Times New Roman" w:eastAsia="標楷體" w:hAnsi="Times New Roman"/>
          <w:sz w:val="28"/>
          <w:szCs w:val="28"/>
        </w:rPr>
      </w:pPr>
      <w:r w:rsidRPr="005E758A">
        <w:rPr>
          <w:rFonts w:ascii="Times New Roman" w:eastAsia="標楷體" w:hAnsi="Times New Roman"/>
          <w:sz w:val="28"/>
          <w:szCs w:val="28"/>
        </w:rPr>
        <w:t>聯合國人權委員會並提到，兒童權利委員會於總括性觀察</w:t>
      </w:r>
      <w:r w:rsidRPr="005E758A">
        <w:rPr>
          <w:rFonts w:ascii="Times New Roman" w:eastAsia="標楷體" w:hAnsi="Times New Roman"/>
          <w:sz w:val="28"/>
          <w:szCs w:val="28"/>
        </w:rPr>
        <w:t>(concluding observation)</w:t>
      </w:r>
      <w:r w:rsidRPr="005E758A">
        <w:rPr>
          <w:rFonts w:ascii="Times New Roman" w:eastAsia="標楷體" w:hAnsi="Times New Roman"/>
          <w:sz w:val="28"/>
          <w:szCs w:val="28"/>
        </w:rPr>
        <w:t>中關於挪威提交之報告，指出</w:t>
      </w:r>
      <w:r w:rsidRPr="005E758A">
        <w:rPr>
          <w:rFonts w:ascii="Times New Roman" w:eastAsia="標楷體" w:hAnsi="Times New Roman"/>
          <w:sz w:val="28"/>
          <w:szCs w:val="28"/>
        </w:rPr>
        <w:t>CKREE</w:t>
      </w:r>
      <w:r w:rsidRPr="005E758A">
        <w:rPr>
          <w:rFonts w:ascii="Times New Roman" w:eastAsia="標楷體" w:hAnsi="Times New Roman"/>
          <w:sz w:val="28"/>
          <w:szCs w:val="28"/>
        </w:rPr>
        <w:t>對於申請免除之程序具有潛在的歧視意涵。</w:t>
      </w:r>
    </w:p>
    <w:p w14:paraId="62CFB50E" w14:textId="77777777" w:rsidR="001169AF" w:rsidRPr="005E758A" w:rsidRDefault="001169AF" w:rsidP="001169AF">
      <w:pPr>
        <w:pStyle w:val="3"/>
      </w:pPr>
      <w:r w:rsidRPr="005E758A">
        <w:t>2010</w:t>
      </w:r>
      <w:r w:rsidRPr="005E758A">
        <w:t>年南非</w:t>
      </w:r>
      <w:r w:rsidR="006C0A1F" w:rsidRPr="005E758A">
        <w:t>高等法院</w:t>
      </w:r>
      <w:r w:rsidRPr="005E758A">
        <w:t>智能障礙兒童教育案</w:t>
      </w:r>
      <w:r w:rsidR="00853223" w:rsidRPr="005E758A">
        <w:t>：</w:t>
      </w:r>
      <w:r w:rsidRPr="005E758A">
        <w:t>Western Cape Forum for Intellectual Disability v. Government of the Republic of South Africa &amp; Government of the Province of Western Cape</w:t>
      </w:r>
      <w:r w:rsidRPr="005E758A">
        <w:rPr>
          <w:rStyle w:val="af3"/>
        </w:rPr>
        <w:endnoteReference w:id="393"/>
      </w:r>
    </w:p>
    <w:p w14:paraId="5561BAF8" w14:textId="77777777" w:rsidR="001169AF" w:rsidRPr="005E758A" w:rsidRDefault="001169AF" w:rsidP="001169AF">
      <w:pPr>
        <w:pStyle w:val="a0"/>
        <w:snapToGrid w:val="0"/>
        <w:spacing w:before="100" w:beforeAutospacing="1" w:after="100" w:afterAutospacing="1"/>
        <w:ind w:leftChars="0" w:left="0" w:firstLineChars="200" w:firstLine="560"/>
        <w:jc w:val="both"/>
        <w:rPr>
          <w:rFonts w:ascii="Times New Roman" w:eastAsia="標楷體" w:hAnsi="Times New Roman"/>
          <w:sz w:val="28"/>
          <w:szCs w:val="28"/>
        </w:rPr>
      </w:pPr>
      <w:r w:rsidRPr="005E758A">
        <w:rPr>
          <w:rFonts w:ascii="Times New Roman" w:eastAsia="標楷體" w:hAnsi="Times New Roman"/>
          <w:sz w:val="28"/>
          <w:szCs w:val="28"/>
        </w:rPr>
        <w:t>本案係由西開普省多個服務重度智能障礙兒童組織聯合控告西開普省政府未能提供重度智能障礙兒童適當之教育。在西開普省，智能障礙兒童唯一的教育途徑是由非政府組織所設立之「特別照護中心」，而照護中心設置不足需求，且未能進入照護中心之兒童將無法獲得任何照顧。因此原告主張國家提供給智能障礙兒童之教育資源少於其他兒童，且不符合其教育需求。</w:t>
      </w:r>
    </w:p>
    <w:p w14:paraId="214E909D" w14:textId="77777777" w:rsidR="001169AF" w:rsidRPr="005E758A" w:rsidRDefault="001169AF" w:rsidP="001169AF">
      <w:pPr>
        <w:pStyle w:val="a0"/>
        <w:snapToGrid w:val="0"/>
        <w:spacing w:before="100" w:beforeAutospacing="1" w:after="100" w:afterAutospacing="1"/>
        <w:ind w:leftChars="0" w:left="0" w:firstLineChars="200" w:firstLine="560"/>
        <w:jc w:val="both"/>
        <w:rPr>
          <w:rFonts w:ascii="Times New Roman" w:eastAsia="標楷體" w:hAnsi="Times New Roman"/>
          <w:sz w:val="28"/>
          <w:szCs w:val="28"/>
        </w:rPr>
      </w:pPr>
      <w:r w:rsidRPr="005E758A">
        <w:rPr>
          <w:rFonts w:ascii="Times New Roman" w:eastAsia="標楷體" w:hAnsi="Times New Roman"/>
          <w:sz w:val="28"/>
          <w:szCs w:val="28"/>
        </w:rPr>
        <w:t>本案爭點在於國家分配教育資源上，是否侵犯身心障礙者之應有權利如教育權、平等權等。南非高等法院認為國家未能針對重度或嚴重智能障礙兒童之教育需求設立相關法規，侵犯了該等兒童之基本教育權利、平等權及其人性尊嚴。法院判決命國家應採取相關措施，以使重度或嚴重智能障礙兒童之權利受到保護，包含提供給該等兒童經濟上得以負擔之管道獲得一定之基本教育、足夠之資金以支助實施該等兒童之教育之團體、至照護中心之交通方式；另外，並確保照護中心員工之聘僱、訓練及其薪資，制定相關法規予提供該等兒童教育之人員之訓練。</w:t>
      </w:r>
    </w:p>
    <w:p w14:paraId="5E0EACAD" w14:textId="77777777" w:rsidR="001169AF" w:rsidRPr="005E758A" w:rsidRDefault="001169AF" w:rsidP="001169AF">
      <w:pPr>
        <w:pStyle w:val="2"/>
      </w:pPr>
      <w:r w:rsidRPr="005E758A">
        <w:t>綜合分析</w:t>
      </w:r>
    </w:p>
    <w:p w14:paraId="74035A49" w14:textId="77777777" w:rsidR="001169AF" w:rsidRPr="005E758A" w:rsidRDefault="001169AF" w:rsidP="001169AF">
      <w:pPr>
        <w:pStyle w:val="a0"/>
        <w:snapToGrid w:val="0"/>
        <w:spacing w:before="100" w:beforeAutospacing="1" w:after="100" w:afterAutospacing="1"/>
        <w:ind w:leftChars="0" w:left="0" w:firstLineChars="200" w:firstLine="560"/>
        <w:jc w:val="both"/>
        <w:rPr>
          <w:rFonts w:ascii="Times New Roman" w:eastAsia="標楷體" w:hAnsi="Times New Roman"/>
          <w:sz w:val="28"/>
          <w:szCs w:val="28"/>
        </w:rPr>
      </w:pPr>
      <w:r w:rsidRPr="005E758A">
        <w:rPr>
          <w:rFonts w:ascii="Times New Roman" w:eastAsia="標楷體" w:hAnsi="Times New Roman"/>
          <w:sz w:val="28"/>
          <w:szCs w:val="28"/>
        </w:rPr>
        <w:t>教育的宗旨在於開拓兒童的人格、才能及體能，使其能夠成為獨立、成熟及理性的公民。基此，教育者必須先具備此項價值上的認知</w:t>
      </w:r>
      <w:r w:rsidRPr="005E758A">
        <w:rPr>
          <w:rFonts w:ascii="Times New Roman" w:eastAsia="標楷體" w:hAnsi="Times New Roman"/>
          <w:sz w:val="28"/>
          <w:szCs w:val="28"/>
        </w:rPr>
        <w:lastRenderedPageBreak/>
        <w:t>及立場，方不致使教育成填鴨或</w:t>
      </w:r>
      <w:proofErr w:type="gramStart"/>
      <w:r w:rsidRPr="005E758A">
        <w:rPr>
          <w:rFonts w:ascii="Times New Roman" w:eastAsia="標楷體" w:hAnsi="Times New Roman"/>
          <w:sz w:val="28"/>
          <w:szCs w:val="28"/>
        </w:rPr>
        <w:t>洗腦式的扭曲</w:t>
      </w:r>
      <w:proofErr w:type="gramEnd"/>
      <w:r w:rsidRPr="005E758A">
        <w:rPr>
          <w:rFonts w:ascii="Times New Roman" w:eastAsia="標楷體" w:hAnsi="Times New Roman"/>
          <w:sz w:val="28"/>
          <w:szCs w:val="28"/>
        </w:rPr>
        <w:t>學習。我國憲法第</w:t>
      </w:r>
      <w:r w:rsidRPr="005E758A">
        <w:rPr>
          <w:rFonts w:ascii="Times New Roman" w:eastAsia="標楷體" w:hAnsi="Times New Roman"/>
          <w:sz w:val="28"/>
          <w:szCs w:val="28"/>
        </w:rPr>
        <w:t>158</w:t>
      </w:r>
      <w:r w:rsidRPr="005E758A">
        <w:rPr>
          <w:rFonts w:ascii="Times New Roman" w:eastAsia="標楷體" w:hAnsi="Times New Roman"/>
          <w:sz w:val="28"/>
          <w:szCs w:val="28"/>
        </w:rPr>
        <w:t>條：「教育文化，應發展國民之民族精神、自治精神、國民道德、健全體格、科學及生活智能。」其用語與公約本條規定雖不相同，但同樣應屬於一致。國民教育法第</w:t>
      </w:r>
      <w:r w:rsidRPr="005E758A">
        <w:rPr>
          <w:rFonts w:ascii="Times New Roman" w:eastAsia="標楷體" w:hAnsi="Times New Roman"/>
          <w:sz w:val="28"/>
          <w:szCs w:val="28"/>
        </w:rPr>
        <w:t>1</w:t>
      </w:r>
      <w:r w:rsidRPr="005E758A">
        <w:rPr>
          <w:rFonts w:ascii="Times New Roman" w:eastAsia="標楷體" w:hAnsi="Times New Roman"/>
          <w:sz w:val="28"/>
          <w:szCs w:val="28"/>
        </w:rPr>
        <w:t>條依憲法本條規定，以德、智、體、群、美五育均衡發展之健全為宗旨，亦與公約之旨趣相符。</w:t>
      </w:r>
    </w:p>
    <w:p w14:paraId="3FABA2DF" w14:textId="77777777" w:rsidR="001169AF" w:rsidRPr="005E758A" w:rsidRDefault="001169AF" w:rsidP="001169AF">
      <w:pPr>
        <w:pStyle w:val="a0"/>
        <w:numPr>
          <w:ilvl w:val="0"/>
          <w:numId w:val="1"/>
        </w:numPr>
        <w:snapToGrid w:val="0"/>
        <w:spacing w:before="100" w:beforeAutospacing="1" w:after="100" w:afterAutospacing="1"/>
        <w:ind w:leftChars="0"/>
        <w:rPr>
          <w:rFonts w:ascii="Times New Roman" w:eastAsia="標楷體" w:hAnsi="Times New Roman"/>
          <w:b/>
          <w:sz w:val="28"/>
          <w:szCs w:val="28"/>
        </w:rPr>
      </w:pPr>
      <w:r w:rsidRPr="005E758A">
        <w:rPr>
          <w:rFonts w:ascii="Times New Roman" w:eastAsia="標楷體" w:hAnsi="Times New Roman"/>
          <w:b/>
          <w:sz w:val="28"/>
          <w:szCs w:val="28"/>
        </w:rPr>
        <w:t>參考資料</w:t>
      </w:r>
    </w:p>
    <w:p w14:paraId="369424B2" w14:textId="77777777" w:rsidR="001169AF" w:rsidRPr="005E758A" w:rsidRDefault="001169AF" w:rsidP="00D2135A">
      <w:pPr>
        <w:pStyle w:val="a0"/>
        <w:numPr>
          <w:ilvl w:val="0"/>
          <w:numId w:val="94"/>
        </w:numPr>
        <w:snapToGrid w:val="0"/>
        <w:spacing w:before="100" w:beforeAutospacing="1" w:after="100" w:afterAutospacing="1"/>
        <w:ind w:leftChars="0" w:left="450" w:hanging="450"/>
        <w:jc w:val="both"/>
        <w:rPr>
          <w:rFonts w:ascii="Times New Roman" w:eastAsia="標楷體" w:hAnsi="Times New Roman"/>
          <w:color w:val="000000"/>
          <w:sz w:val="28"/>
          <w:szCs w:val="28"/>
        </w:rPr>
      </w:pPr>
      <w:r w:rsidRPr="005E758A">
        <w:rPr>
          <w:rFonts w:ascii="Times New Roman" w:eastAsia="標楷體" w:hAnsi="Times New Roman"/>
          <w:smallCaps/>
          <w:color w:val="000000"/>
          <w:sz w:val="28"/>
          <w:szCs w:val="28"/>
        </w:rPr>
        <w:t>UNICEF, Implementation Handbook for the Convention on the Rights of the Child</w:t>
      </w:r>
      <w:r w:rsidRPr="005E758A">
        <w:rPr>
          <w:rFonts w:ascii="Times New Roman" w:eastAsia="標楷體" w:hAnsi="Times New Roman"/>
          <w:color w:val="000000"/>
          <w:sz w:val="28"/>
          <w:szCs w:val="28"/>
        </w:rPr>
        <w:t xml:space="preserve"> (3d ed. 2007).</w:t>
      </w:r>
    </w:p>
    <w:p w14:paraId="6C5098C7" w14:textId="77777777" w:rsidR="001169AF" w:rsidRPr="005E758A" w:rsidRDefault="001169AF" w:rsidP="00D2135A">
      <w:pPr>
        <w:pStyle w:val="a0"/>
        <w:numPr>
          <w:ilvl w:val="0"/>
          <w:numId w:val="94"/>
        </w:numPr>
        <w:snapToGrid w:val="0"/>
        <w:spacing w:before="100" w:beforeAutospacing="1" w:after="100" w:afterAutospacing="1"/>
        <w:ind w:leftChars="0" w:left="450" w:hanging="450"/>
        <w:jc w:val="both"/>
        <w:rPr>
          <w:rFonts w:ascii="Times New Roman" w:eastAsia="標楷體" w:hAnsi="Times New Roman"/>
          <w:color w:val="000000"/>
          <w:sz w:val="28"/>
          <w:szCs w:val="28"/>
        </w:rPr>
      </w:pPr>
      <w:r w:rsidRPr="005E758A">
        <w:rPr>
          <w:rFonts w:ascii="Times New Roman" w:eastAsia="標楷體" w:hAnsi="Times New Roman"/>
          <w:sz w:val="28"/>
          <w:szCs w:val="28"/>
        </w:rPr>
        <w:t>兒童權利委員會，第</w:t>
      </w:r>
      <w:r w:rsidRPr="005E758A">
        <w:rPr>
          <w:rFonts w:ascii="Times New Roman" w:eastAsia="標楷體" w:hAnsi="Times New Roman"/>
          <w:sz w:val="28"/>
          <w:szCs w:val="28"/>
        </w:rPr>
        <w:t>1</w:t>
      </w:r>
      <w:r w:rsidRPr="005E758A">
        <w:rPr>
          <w:rFonts w:ascii="Times New Roman" w:eastAsia="標楷體" w:hAnsi="Times New Roman"/>
          <w:sz w:val="28"/>
          <w:szCs w:val="28"/>
        </w:rPr>
        <w:t>號一般性意見「教育的目的」。</w:t>
      </w:r>
      <w:r w:rsidRPr="005E758A">
        <w:rPr>
          <w:rFonts w:ascii="Times New Roman" w:eastAsia="標楷體" w:hAnsi="Times New Roman"/>
          <w:sz w:val="28"/>
          <w:szCs w:val="28"/>
        </w:rPr>
        <w:t>(Committee on the Rights of the Child, General Comment No. 1: The Aims of Education, U.N. Doc. CRC/GC/2001/1 (Apr. 17, 2001).)</w:t>
      </w:r>
    </w:p>
    <w:p w14:paraId="6B01FB82" w14:textId="77777777" w:rsidR="001169AF" w:rsidRPr="005E758A" w:rsidRDefault="001169AF" w:rsidP="00D2135A">
      <w:pPr>
        <w:pStyle w:val="a0"/>
        <w:numPr>
          <w:ilvl w:val="0"/>
          <w:numId w:val="94"/>
        </w:numPr>
        <w:snapToGrid w:val="0"/>
        <w:spacing w:before="100" w:beforeAutospacing="1" w:after="100" w:afterAutospacing="1"/>
        <w:ind w:leftChars="0" w:left="450" w:hanging="450"/>
        <w:jc w:val="both"/>
        <w:rPr>
          <w:rFonts w:ascii="Times New Roman" w:eastAsia="標楷體" w:hAnsi="Times New Roman"/>
          <w:color w:val="000000"/>
          <w:sz w:val="28"/>
          <w:szCs w:val="28"/>
        </w:rPr>
      </w:pPr>
      <w:r w:rsidRPr="005E758A">
        <w:rPr>
          <w:rFonts w:ascii="Times New Roman" w:eastAsia="標楷體" w:hAnsi="Times New Roman"/>
          <w:sz w:val="28"/>
          <w:szCs w:val="28"/>
        </w:rPr>
        <w:t>林沛君，兒少人權向前行，臺北市，台灣展翅協會，</w:t>
      </w:r>
      <w:r w:rsidRPr="005E758A">
        <w:rPr>
          <w:rFonts w:ascii="Times New Roman" w:eastAsia="標楷體" w:hAnsi="Times New Roman"/>
          <w:sz w:val="28"/>
          <w:szCs w:val="28"/>
        </w:rPr>
        <w:t>2015</w:t>
      </w:r>
      <w:r w:rsidRPr="005E758A">
        <w:rPr>
          <w:rFonts w:ascii="Times New Roman" w:eastAsia="標楷體" w:hAnsi="Times New Roman"/>
          <w:sz w:val="28"/>
          <w:szCs w:val="28"/>
        </w:rPr>
        <w:t>年</w:t>
      </w:r>
      <w:r w:rsidRPr="005E758A">
        <w:rPr>
          <w:rFonts w:ascii="Times New Roman" w:eastAsia="標楷體" w:hAnsi="Times New Roman"/>
          <w:sz w:val="28"/>
          <w:szCs w:val="28"/>
        </w:rPr>
        <w:t>4</w:t>
      </w:r>
      <w:r w:rsidRPr="005E758A">
        <w:rPr>
          <w:rFonts w:ascii="Times New Roman" w:eastAsia="標楷體" w:hAnsi="Times New Roman"/>
          <w:sz w:val="28"/>
          <w:szCs w:val="28"/>
        </w:rPr>
        <w:t>月。</w:t>
      </w:r>
    </w:p>
    <w:p w14:paraId="461A95C0" w14:textId="77777777" w:rsidR="001169AF" w:rsidRPr="005E758A" w:rsidRDefault="001169AF" w:rsidP="001169AF">
      <w:pPr>
        <w:snapToGrid w:val="0"/>
        <w:spacing w:before="100" w:beforeAutospacing="1" w:after="100" w:afterAutospacing="1"/>
        <w:rPr>
          <w:sz w:val="28"/>
          <w:szCs w:val="28"/>
        </w:rPr>
      </w:pPr>
    </w:p>
    <w:p w14:paraId="04EFB368" w14:textId="77777777" w:rsidR="001169AF" w:rsidRPr="005E758A" w:rsidRDefault="001169AF" w:rsidP="001169AF">
      <w:pPr>
        <w:snapToGrid w:val="0"/>
        <w:spacing w:before="100" w:beforeAutospacing="1" w:after="100" w:afterAutospacing="1"/>
        <w:rPr>
          <w:sz w:val="28"/>
          <w:szCs w:val="28"/>
        </w:rPr>
      </w:pPr>
      <w:r w:rsidRPr="005E758A">
        <w:rPr>
          <w:sz w:val="28"/>
          <w:szCs w:val="28"/>
        </w:rPr>
        <w:t>關鍵字：教育、禁止歧視、環境永續</w:t>
      </w:r>
    </w:p>
    <w:p w14:paraId="7AC24949" w14:textId="77777777" w:rsidR="0004190A" w:rsidRPr="005E758A" w:rsidRDefault="0004190A" w:rsidP="0004190A">
      <w:pPr>
        <w:pStyle w:val="1"/>
        <w:sectPr w:rsidR="0004190A" w:rsidRPr="005E758A" w:rsidSect="00135FC9">
          <w:footnotePr>
            <w:numRestart w:val="eachSect"/>
          </w:footnotePr>
          <w:endnotePr>
            <w:numFmt w:val="decimal"/>
            <w:numRestart w:val="eachSect"/>
          </w:endnotePr>
          <w:pgSz w:w="11906" w:h="16838"/>
          <w:pgMar w:top="1440" w:right="1797" w:bottom="1440" w:left="1797" w:header="851" w:footer="992" w:gutter="0"/>
          <w:cols w:space="425"/>
          <w:docGrid w:linePitch="360"/>
        </w:sectPr>
      </w:pPr>
    </w:p>
    <w:p w14:paraId="0A8271AE" w14:textId="77777777" w:rsidR="00F76603" w:rsidRDefault="00F76603" w:rsidP="00F76603">
      <w:pPr>
        <w:pStyle w:val="1"/>
        <w:rPr>
          <w:sz w:val="28"/>
        </w:rPr>
      </w:pPr>
      <w:bookmarkStart w:id="85" w:name="_Toc431072746"/>
      <w:r w:rsidRPr="005E758A">
        <w:lastRenderedPageBreak/>
        <w:t>第</w:t>
      </w:r>
      <w:r w:rsidRPr="005E758A">
        <w:t>30</w:t>
      </w:r>
      <w:r w:rsidRPr="005E758A">
        <w:t>條</w:t>
      </w:r>
      <w:r>
        <w:rPr>
          <w:rFonts w:hint="eastAsia"/>
        </w:rPr>
        <w:t xml:space="preserve">　少數民族與原住民兒童</w:t>
      </w:r>
      <w:bookmarkEnd w:id="85"/>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20"/>
      </w:tblGrid>
      <w:tr w:rsidR="00F76603" w:rsidRPr="005E758A" w14:paraId="165C19E8" w14:textId="77777777" w:rsidTr="00F76603">
        <w:trPr>
          <w:jc w:val="center"/>
        </w:trPr>
        <w:tc>
          <w:tcPr>
            <w:tcW w:w="8220" w:type="dxa"/>
            <w:shd w:val="clear" w:color="auto" w:fill="auto"/>
          </w:tcPr>
          <w:p w14:paraId="494FD2F0" w14:textId="77777777" w:rsidR="00F76603" w:rsidRPr="005E758A" w:rsidRDefault="00F76603" w:rsidP="002B035C">
            <w:pPr>
              <w:snapToGrid w:val="0"/>
              <w:spacing w:before="100" w:beforeAutospacing="1" w:after="100" w:afterAutospacing="1"/>
              <w:rPr>
                <w:sz w:val="28"/>
                <w:szCs w:val="28"/>
              </w:rPr>
            </w:pPr>
            <w:r w:rsidRPr="005E758A">
              <w:rPr>
                <w:sz w:val="28"/>
                <w:szCs w:val="28"/>
                <w:shd w:val="clear" w:color="auto" w:fill="FFFFFF"/>
              </w:rPr>
              <w:t>在種族、宗教或語言上有少數人民，或有原住民之國家中，這些少數人民或原住民之兒童應有與其群體的其他成員共同享有自己的文化、信奉自己的宗教並舉行宗教儀式、或使用自己的語言之權利，此等權利不得遭受否定。</w:t>
            </w:r>
          </w:p>
        </w:tc>
      </w:tr>
    </w:tbl>
    <w:p w14:paraId="665A8F27" w14:textId="77777777" w:rsidR="00F76603" w:rsidRPr="00F76603" w:rsidRDefault="00F76603" w:rsidP="00F76603">
      <w:pPr>
        <w:snapToGrid w:val="0"/>
        <w:spacing w:before="100" w:beforeAutospacing="1" w:after="100" w:afterAutospacing="1"/>
        <w:jc w:val="both"/>
        <w:rPr>
          <w:sz w:val="28"/>
        </w:rPr>
      </w:pPr>
    </w:p>
    <w:p w14:paraId="3B32BC03" w14:textId="77777777" w:rsidR="00371A18" w:rsidRPr="005E758A" w:rsidRDefault="00371A18" w:rsidP="00D2135A">
      <w:pPr>
        <w:pStyle w:val="2"/>
        <w:numPr>
          <w:ilvl w:val="0"/>
          <w:numId w:val="95"/>
        </w:numPr>
      </w:pPr>
      <w:r w:rsidRPr="005E758A">
        <w:t>規範宗旨</w:t>
      </w:r>
    </w:p>
    <w:p w14:paraId="246387B3" w14:textId="77777777" w:rsidR="00371A18" w:rsidRPr="005E758A" w:rsidRDefault="00371A18" w:rsidP="00371A18">
      <w:pPr>
        <w:pStyle w:val="a0"/>
        <w:snapToGrid w:val="0"/>
        <w:spacing w:before="100" w:beforeAutospacing="1" w:after="100" w:afterAutospacing="1"/>
        <w:ind w:leftChars="0" w:left="0" w:firstLineChars="200" w:firstLine="560"/>
        <w:jc w:val="both"/>
        <w:rPr>
          <w:rFonts w:ascii="Times New Roman" w:eastAsia="標楷體" w:hAnsi="Times New Roman"/>
          <w:sz w:val="28"/>
          <w:szCs w:val="28"/>
        </w:rPr>
      </w:pPr>
      <w:r w:rsidRPr="005E758A">
        <w:rPr>
          <w:rFonts w:ascii="Times New Roman" w:eastAsia="標楷體" w:hAnsi="Times New Roman"/>
          <w:sz w:val="28"/>
          <w:szCs w:val="28"/>
        </w:rPr>
        <w:t>本條之規範係為保障少數族群之兒童能享有其自身文化、宗教之自由與使用所屬族群語言之權利。本條並重申文化</w:t>
      </w:r>
      <w:proofErr w:type="gramStart"/>
      <w:r w:rsidRPr="005E758A">
        <w:rPr>
          <w:rFonts w:ascii="Times New Roman" w:eastAsia="標楷體" w:hAnsi="Times New Roman"/>
          <w:sz w:val="28"/>
          <w:szCs w:val="28"/>
        </w:rPr>
        <w:t>多元性乃人權</w:t>
      </w:r>
      <w:proofErr w:type="gramEnd"/>
      <w:r w:rsidRPr="005E758A">
        <w:rPr>
          <w:rFonts w:ascii="Times New Roman" w:eastAsia="標楷體" w:hAnsi="Times New Roman"/>
          <w:sz w:val="28"/>
          <w:szCs w:val="28"/>
        </w:rPr>
        <w:t>之核心之</w:t>
      </w:r>
      <w:proofErr w:type="gramStart"/>
      <w:r w:rsidRPr="005E758A">
        <w:rPr>
          <w:rFonts w:ascii="Times New Roman" w:eastAsia="標楷體" w:hAnsi="Times New Roman"/>
          <w:sz w:val="28"/>
          <w:szCs w:val="28"/>
        </w:rPr>
        <w:t>一</w:t>
      </w:r>
      <w:bookmarkStart w:id="86" w:name="_Ref429387175"/>
      <w:proofErr w:type="gramEnd"/>
      <w:r w:rsidRPr="005E758A">
        <w:rPr>
          <w:rStyle w:val="af3"/>
          <w:rFonts w:ascii="Times New Roman" w:eastAsia="標楷體" w:hAnsi="Times New Roman"/>
        </w:rPr>
        <w:endnoteReference w:id="394"/>
      </w:r>
      <w:bookmarkEnd w:id="86"/>
      <w:r w:rsidRPr="005E758A">
        <w:rPr>
          <w:rFonts w:ascii="Times New Roman" w:eastAsia="標楷體" w:hAnsi="Times New Roman"/>
          <w:sz w:val="28"/>
          <w:szCs w:val="28"/>
        </w:rPr>
        <w:t>。</w:t>
      </w:r>
    </w:p>
    <w:p w14:paraId="195991E1" w14:textId="77777777" w:rsidR="00371A18" w:rsidRPr="005E758A" w:rsidRDefault="00371A18" w:rsidP="00371A18">
      <w:pPr>
        <w:pStyle w:val="2"/>
      </w:pPr>
      <w:r w:rsidRPr="005E758A">
        <w:t>條文要義</w:t>
      </w:r>
    </w:p>
    <w:p w14:paraId="1C3E32E4" w14:textId="77777777" w:rsidR="00371A18" w:rsidRPr="005E758A" w:rsidRDefault="00371A18" w:rsidP="00D2135A">
      <w:pPr>
        <w:pStyle w:val="3"/>
        <w:numPr>
          <w:ilvl w:val="0"/>
          <w:numId w:val="96"/>
        </w:numPr>
      </w:pPr>
      <w:r w:rsidRPr="005E758A">
        <w:t>「種族、宗教或語言上有少數人民或原住民」：</w:t>
      </w:r>
    </w:p>
    <w:p w14:paraId="1933199D" w14:textId="77777777" w:rsidR="00371A18" w:rsidRPr="005E758A" w:rsidRDefault="00371A18" w:rsidP="00371A18">
      <w:pPr>
        <w:pStyle w:val="a0"/>
        <w:snapToGrid w:val="0"/>
        <w:spacing w:before="100" w:beforeAutospacing="1" w:after="100" w:afterAutospacing="1"/>
        <w:ind w:leftChars="0" w:left="0" w:firstLineChars="200" w:firstLine="560"/>
        <w:jc w:val="both"/>
        <w:rPr>
          <w:rFonts w:ascii="Times New Roman" w:eastAsia="標楷體" w:hAnsi="Times New Roman"/>
          <w:sz w:val="28"/>
          <w:szCs w:val="28"/>
        </w:rPr>
      </w:pPr>
      <w:r w:rsidRPr="005E758A">
        <w:rPr>
          <w:rFonts w:ascii="Times New Roman" w:eastAsia="標楷體" w:hAnsi="Times New Roman"/>
          <w:sz w:val="28"/>
          <w:szCs w:val="28"/>
        </w:rPr>
        <w:t>兒童權利委員會曾指出，直到今日，某些少數人民所面臨之困境是，由多數人所組成之國家政府有時仍相信「完整地融入」</w:t>
      </w:r>
      <w:r w:rsidRPr="005E758A">
        <w:rPr>
          <w:rFonts w:ascii="Times New Roman" w:eastAsia="標楷體" w:hAnsi="Times New Roman"/>
          <w:sz w:val="28"/>
          <w:szCs w:val="28"/>
        </w:rPr>
        <w:t>(full integration)</w:t>
      </w:r>
      <w:r w:rsidRPr="005E758A">
        <w:rPr>
          <w:rFonts w:ascii="Times New Roman" w:eastAsia="標楷體" w:hAnsi="Times New Roman"/>
          <w:sz w:val="28"/>
          <w:szCs w:val="28"/>
        </w:rPr>
        <w:t>係符合這些少數族群的最佳利益，而忽略了此一作法對於其文化可能造成的影響。因此，強制性的要求少數人民融入多數人係違反公約之規範；於</w:t>
      </w:r>
      <w:r w:rsidRPr="005E758A">
        <w:rPr>
          <w:rFonts w:ascii="Times New Roman" w:eastAsia="標楷體" w:hAnsi="Times New Roman"/>
          <w:sz w:val="28"/>
          <w:szCs w:val="28"/>
        </w:rPr>
        <w:t>2003</w:t>
      </w:r>
      <w:r w:rsidRPr="005E758A">
        <w:rPr>
          <w:rFonts w:ascii="Times New Roman" w:eastAsia="標楷體" w:hAnsi="Times New Roman"/>
          <w:sz w:val="28"/>
          <w:szCs w:val="28"/>
        </w:rPr>
        <w:t>年之一日一般性討論中，兒童權利委員會指出雖然少數族群或原住民兒童不成比例地受到制度化、都市化、酒精或毒品濫用、人口販運、武裝衝突及性剝削或兒童勞工之挑戰，但該等兒童明顯地未被國家政策發展及實行所考量</w:t>
      </w:r>
      <w:bookmarkStart w:id="87" w:name="_Ref429387327"/>
      <w:r w:rsidRPr="005E758A">
        <w:rPr>
          <w:rStyle w:val="af3"/>
          <w:rFonts w:ascii="Times New Roman" w:eastAsia="標楷體" w:hAnsi="Times New Roman"/>
        </w:rPr>
        <w:endnoteReference w:id="395"/>
      </w:r>
      <w:bookmarkEnd w:id="87"/>
      <w:r w:rsidRPr="005E758A">
        <w:rPr>
          <w:rFonts w:ascii="Times New Roman" w:eastAsia="標楷體" w:hAnsi="Times New Roman"/>
          <w:sz w:val="28"/>
          <w:szCs w:val="28"/>
        </w:rPr>
        <w:t>。因此委員會鼓勵各國立法保障該等族群之權利</w:t>
      </w:r>
      <w:r w:rsidRPr="005E758A">
        <w:rPr>
          <w:rStyle w:val="af3"/>
          <w:rFonts w:ascii="Times New Roman" w:eastAsia="標楷體" w:hAnsi="Times New Roman"/>
        </w:rPr>
        <w:endnoteReference w:id="396"/>
      </w:r>
      <w:r w:rsidRPr="005E758A">
        <w:rPr>
          <w:rFonts w:ascii="Times New Roman" w:eastAsia="標楷體" w:hAnsi="Times New Roman"/>
          <w:sz w:val="28"/>
          <w:szCs w:val="28"/>
        </w:rPr>
        <w:t>。</w:t>
      </w:r>
    </w:p>
    <w:p w14:paraId="586A6C22" w14:textId="77777777" w:rsidR="00371A18" w:rsidRPr="005E758A" w:rsidRDefault="00371A18" w:rsidP="00371A18">
      <w:pPr>
        <w:pStyle w:val="3"/>
      </w:pPr>
      <w:r w:rsidRPr="005E758A">
        <w:t>「使用自己的語言」的權利：</w:t>
      </w:r>
    </w:p>
    <w:p w14:paraId="05C334DD" w14:textId="77777777" w:rsidR="00371A18" w:rsidRPr="005E758A" w:rsidRDefault="00371A18" w:rsidP="00371A18">
      <w:pPr>
        <w:pStyle w:val="a0"/>
        <w:snapToGrid w:val="0"/>
        <w:spacing w:before="100" w:beforeAutospacing="1" w:after="100" w:afterAutospacing="1"/>
        <w:ind w:leftChars="0" w:left="0" w:firstLineChars="200" w:firstLine="560"/>
        <w:jc w:val="both"/>
        <w:rPr>
          <w:rFonts w:ascii="Times New Roman" w:eastAsia="標楷體" w:hAnsi="Times New Roman"/>
          <w:sz w:val="28"/>
          <w:szCs w:val="28"/>
        </w:rPr>
      </w:pPr>
      <w:r w:rsidRPr="005E758A">
        <w:rPr>
          <w:rFonts w:ascii="Times New Roman" w:eastAsia="標楷體" w:hAnsi="Times New Roman"/>
          <w:sz w:val="28"/>
          <w:szCs w:val="28"/>
        </w:rPr>
        <w:t>所謂「使用自己的語言」並不意謂對於兒童之教育應完全使用其所屬族群的語言，但兒童權利委員會曾呼籲部分國家應更重視提供少數族群兒童選擇接受母語教育的權利，例如中國對於西藏人民所提供之母語教育機會與文化認識</w:t>
      </w:r>
      <w:r w:rsidRPr="005E758A">
        <w:rPr>
          <w:rStyle w:val="af3"/>
          <w:rFonts w:ascii="Times New Roman" w:eastAsia="標楷體" w:hAnsi="Times New Roman"/>
        </w:rPr>
        <w:endnoteReference w:id="397"/>
      </w:r>
      <w:r w:rsidRPr="005E758A">
        <w:rPr>
          <w:rFonts w:ascii="Times New Roman" w:eastAsia="標楷體" w:hAnsi="Times New Roman"/>
          <w:sz w:val="28"/>
          <w:szCs w:val="28"/>
        </w:rPr>
        <w:t>，以及英國對於北愛爾蘭人民所提供之母語教育</w:t>
      </w:r>
      <w:r w:rsidRPr="005E758A">
        <w:rPr>
          <w:rStyle w:val="af3"/>
          <w:rFonts w:ascii="Times New Roman" w:eastAsia="標楷體" w:hAnsi="Times New Roman"/>
        </w:rPr>
        <w:endnoteReference w:id="398"/>
      </w:r>
      <w:r w:rsidRPr="005E758A">
        <w:rPr>
          <w:rFonts w:ascii="Times New Roman" w:eastAsia="標楷體" w:hAnsi="Times New Roman"/>
          <w:sz w:val="28"/>
          <w:szCs w:val="28"/>
        </w:rPr>
        <w:t>。使用語言更包含了兒童之身分權，例如國家應確保出生戶籍註冊系統之便利性、原住民父母對兒童命名時得選擇以其語言命名，並尊重兒童保留其身分之權利，及國家確保原住民兒童不成為無國籍之人之義務</w:t>
      </w:r>
      <w:r w:rsidRPr="005E758A">
        <w:rPr>
          <w:rStyle w:val="af3"/>
          <w:rFonts w:ascii="Times New Roman" w:eastAsia="標楷體" w:hAnsi="Times New Roman"/>
        </w:rPr>
        <w:endnoteReference w:id="399"/>
      </w:r>
      <w:r w:rsidRPr="005E758A">
        <w:rPr>
          <w:rFonts w:ascii="Times New Roman" w:eastAsia="標楷體" w:hAnsi="Times New Roman"/>
          <w:sz w:val="28"/>
          <w:szCs w:val="28"/>
        </w:rPr>
        <w:t>。</w:t>
      </w:r>
    </w:p>
    <w:p w14:paraId="2CCFB3F7" w14:textId="77777777" w:rsidR="00371A18" w:rsidRPr="005E758A" w:rsidRDefault="00371A18" w:rsidP="00371A18">
      <w:pPr>
        <w:pStyle w:val="a0"/>
        <w:snapToGrid w:val="0"/>
        <w:spacing w:before="100" w:beforeAutospacing="1" w:after="100" w:afterAutospacing="1"/>
        <w:ind w:leftChars="0" w:left="0" w:firstLineChars="200" w:firstLine="560"/>
        <w:jc w:val="both"/>
        <w:rPr>
          <w:rFonts w:ascii="Times New Roman" w:eastAsia="標楷體" w:hAnsi="Times New Roman"/>
          <w:sz w:val="28"/>
          <w:szCs w:val="28"/>
        </w:rPr>
      </w:pPr>
      <w:r w:rsidRPr="005E758A">
        <w:rPr>
          <w:rFonts w:ascii="Times New Roman" w:eastAsia="標楷體" w:hAnsi="Times New Roman"/>
          <w:sz w:val="28"/>
          <w:szCs w:val="28"/>
        </w:rPr>
        <w:lastRenderedPageBreak/>
        <w:t>儘管本條係以防禦權之方式來保障少數人民及原住民的相關權利不受侵害，但兒童權利委員會與聯合國人權事務委員會皆認同國家應採取積極措施，包括立法、行政與司法措施以確保該等權利不受侵害。而本條之適用必須符合公約其他條款之規範，因此如原住民依其文化傳統而有不利於兒童人格尊嚴、健康或發展之行為或作法時，該等行為或作法於任何</w:t>
      </w:r>
      <w:proofErr w:type="gramStart"/>
      <w:r w:rsidRPr="005E758A">
        <w:rPr>
          <w:rFonts w:ascii="Times New Roman" w:eastAsia="標楷體" w:hAnsi="Times New Roman"/>
          <w:sz w:val="28"/>
          <w:szCs w:val="28"/>
        </w:rPr>
        <w:t>情況下皆不</w:t>
      </w:r>
      <w:proofErr w:type="gramEnd"/>
      <w:r w:rsidRPr="005E758A">
        <w:rPr>
          <w:rFonts w:ascii="Times New Roman" w:eastAsia="標楷體" w:hAnsi="Times New Roman"/>
          <w:sz w:val="28"/>
          <w:szCs w:val="28"/>
        </w:rPr>
        <w:t>具正當性</w:t>
      </w:r>
      <w:r w:rsidRPr="005E758A">
        <w:rPr>
          <w:rStyle w:val="af3"/>
          <w:rFonts w:ascii="Times New Roman" w:eastAsia="標楷體" w:hAnsi="Times New Roman"/>
        </w:rPr>
        <w:endnoteReference w:id="400"/>
      </w:r>
      <w:r w:rsidRPr="005E758A">
        <w:rPr>
          <w:rFonts w:ascii="Times New Roman" w:eastAsia="標楷體" w:hAnsi="Times New Roman"/>
          <w:sz w:val="28"/>
          <w:szCs w:val="28"/>
        </w:rPr>
        <w:t>。</w:t>
      </w:r>
    </w:p>
    <w:p w14:paraId="3737CE9E" w14:textId="77777777" w:rsidR="00371A18" w:rsidRPr="005E758A" w:rsidRDefault="00371A18" w:rsidP="00371A18">
      <w:pPr>
        <w:pStyle w:val="2"/>
      </w:pPr>
      <w:r w:rsidRPr="005E758A">
        <w:t>案例介紹</w:t>
      </w:r>
    </w:p>
    <w:p w14:paraId="72FE4C9A" w14:textId="77777777" w:rsidR="00371A18" w:rsidRPr="005E758A" w:rsidRDefault="00371A18" w:rsidP="00D2135A">
      <w:pPr>
        <w:pStyle w:val="3"/>
        <w:numPr>
          <w:ilvl w:val="0"/>
          <w:numId w:val="97"/>
        </w:numPr>
      </w:pPr>
      <w:r w:rsidRPr="005E758A">
        <w:t>2015</w:t>
      </w:r>
      <w:r w:rsidRPr="005E758A">
        <w:t>年</w:t>
      </w:r>
      <w:r w:rsidR="00AF5A83" w:rsidRPr="005E758A">
        <w:t>歐洲人權法院</w:t>
      </w:r>
      <w:r w:rsidRPr="005E758A">
        <w:t>比利時庇護案：</w:t>
      </w:r>
      <w:r w:rsidRPr="005E758A">
        <w:t>V.M. and others v. Belgium</w:t>
      </w:r>
      <w:r w:rsidRPr="005E758A">
        <w:rPr>
          <w:rStyle w:val="af3"/>
        </w:rPr>
        <w:endnoteReference w:id="401"/>
      </w:r>
    </w:p>
    <w:p w14:paraId="20CD9B8B" w14:textId="77777777" w:rsidR="00371A18" w:rsidRPr="005E758A" w:rsidRDefault="00371A18" w:rsidP="00371A18">
      <w:pPr>
        <w:pStyle w:val="a0"/>
        <w:snapToGrid w:val="0"/>
        <w:spacing w:before="100" w:beforeAutospacing="1" w:after="100" w:afterAutospacing="1"/>
        <w:ind w:leftChars="0" w:left="0" w:firstLineChars="200" w:firstLine="560"/>
        <w:jc w:val="both"/>
        <w:rPr>
          <w:rFonts w:ascii="Times New Roman" w:eastAsia="標楷體" w:hAnsi="Times New Roman"/>
          <w:sz w:val="28"/>
          <w:szCs w:val="28"/>
        </w:rPr>
      </w:pPr>
      <w:r w:rsidRPr="005E758A">
        <w:rPr>
          <w:rFonts w:ascii="Times New Roman" w:eastAsia="標楷體" w:hAnsi="Times New Roman"/>
          <w:sz w:val="28"/>
          <w:szCs w:val="28"/>
        </w:rPr>
        <w:t>本案係羅</w:t>
      </w:r>
      <w:proofErr w:type="gramStart"/>
      <w:r w:rsidRPr="005E758A">
        <w:rPr>
          <w:rFonts w:ascii="Times New Roman" w:eastAsia="標楷體" w:hAnsi="Times New Roman"/>
          <w:sz w:val="28"/>
          <w:szCs w:val="28"/>
        </w:rPr>
        <w:t>姆</w:t>
      </w:r>
      <w:proofErr w:type="gramEnd"/>
      <w:r w:rsidRPr="005E758A">
        <w:rPr>
          <w:rFonts w:ascii="Times New Roman" w:eastAsia="標楷體" w:hAnsi="Times New Roman"/>
          <w:sz w:val="28"/>
          <w:szCs w:val="28"/>
        </w:rPr>
        <w:t>人</w:t>
      </w:r>
      <w:r w:rsidR="00F76603">
        <w:rPr>
          <w:rFonts w:ascii="Times New Roman" w:eastAsia="標楷體" w:hAnsi="Times New Roman" w:hint="eastAsia"/>
          <w:sz w:val="28"/>
          <w:szCs w:val="28"/>
        </w:rPr>
        <w:t>（</w:t>
      </w:r>
      <w:r w:rsidRPr="005E758A">
        <w:rPr>
          <w:rFonts w:ascii="Times New Roman" w:eastAsia="標楷體" w:hAnsi="Times New Roman"/>
          <w:sz w:val="28"/>
          <w:szCs w:val="28"/>
        </w:rPr>
        <w:t>即俗稱之吉普賽人</w:t>
      </w:r>
      <w:r w:rsidR="00F76603">
        <w:rPr>
          <w:rFonts w:ascii="Times New Roman" w:eastAsia="標楷體" w:hAnsi="Times New Roman" w:hint="eastAsia"/>
          <w:sz w:val="28"/>
          <w:szCs w:val="28"/>
        </w:rPr>
        <w:t>）</w:t>
      </w:r>
      <w:r w:rsidRPr="005E758A">
        <w:rPr>
          <w:rFonts w:ascii="Times New Roman" w:eastAsia="標楷體" w:hAnsi="Times New Roman"/>
          <w:sz w:val="28"/>
          <w:szCs w:val="28"/>
        </w:rPr>
        <w:t>家庭提出訴訟。該家庭由父母及五名</w:t>
      </w:r>
      <w:r w:rsidRPr="005E758A">
        <w:rPr>
          <w:rFonts w:ascii="Times New Roman" w:eastAsia="標楷體" w:hAnsi="Times New Roman"/>
          <w:sz w:val="28"/>
          <w:szCs w:val="28"/>
        </w:rPr>
        <w:t>10</w:t>
      </w:r>
      <w:r w:rsidRPr="005E758A">
        <w:rPr>
          <w:rFonts w:ascii="Times New Roman" w:eastAsia="標楷體" w:hAnsi="Times New Roman"/>
          <w:sz w:val="28"/>
          <w:szCs w:val="28"/>
        </w:rPr>
        <w:t>歲以下之兒女組成，大女兒</w:t>
      </w:r>
      <w:proofErr w:type="gramStart"/>
      <w:r w:rsidRPr="005E758A">
        <w:rPr>
          <w:rFonts w:ascii="Times New Roman" w:eastAsia="標楷體" w:hAnsi="Times New Roman"/>
          <w:sz w:val="28"/>
          <w:szCs w:val="28"/>
        </w:rPr>
        <w:t>係身障且</w:t>
      </w:r>
      <w:proofErr w:type="gramEnd"/>
      <w:r w:rsidRPr="005E758A">
        <w:rPr>
          <w:rFonts w:ascii="Times New Roman" w:eastAsia="標楷體" w:hAnsi="Times New Roman"/>
          <w:sz w:val="28"/>
          <w:szCs w:val="28"/>
        </w:rPr>
        <w:t>患有癲癇，前向法國申請庇護遭拒絕後，於</w:t>
      </w:r>
      <w:r w:rsidRPr="005E758A">
        <w:rPr>
          <w:rFonts w:ascii="Times New Roman" w:eastAsia="標楷體" w:hAnsi="Times New Roman"/>
          <w:sz w:val="28"/>
          <w:szCs w:val="28"/>
        </w:rPr>
        <w:t>2011</w:t>
      </w:r>
      <w:r w:rsidRPr="005E758A">
        <w:rPr>
          <w:rFonts w:ascii="Times New Roman" w:eastAsia="標楷體" w:hAnsi="Times New Roman"/>
          <w:sz w:val="28"/>
          <w:szCs w:val="28"/>
        </w:rPr>
        <w:t>年向比利時政府申請庇護，比利時政府請求法國政府將該家庭帶回法國，而法國政府同意。因此比利時政府駁回該庇護申請並命令該家庭返回法國。該家庭轉向比利時外國人訴訟法律事務處</w:t>
      </w:r>
      <w:r w:rsidRPr="005E758A">
        <w:rPr>
          <w:rFonts w:ascii="Times New Roman" w:eastAsia="標楷體" w:hAnsi="Times New Roman"/>
          <w:sz w:val="28"/>
          <w:szCs w:val="28"/>
        </w:rPr>
        <w:t>(Belgian Aliens Litigation Council)</w:t>
      </w:r>
      <w:r w:rsidRPr="005E758A">
        <w:rPr>
          <w:rFonts w:ascii="Times New Roman" w:eastAsia="標楷體" w:hAnsi="Times New Roman"/>
          <w:sz w:val="28"/>
          <w:szCs w:val="28"/>
        </w:rPr>
        <w:t>尋求撤銷該駁回及遣返處分，原因係其於法國之處遇不適宜且該處分違反歐洲人權公約。比利時政府於該家庭獲得外國人訴訟法律事務處決定前即斷絕一切經濟援助，使該家庭被迫住在關懷中心及街頭長達一個月，後因非政府組織援助其回到塞爾維亞，大女兒於數月後過世。本案爭點係比利時政府是否違反歐洲人權公約第三條之避免不人道及侮辱性待遇之權利、第</w:t>
      </w:r>
      <w:r w:rsidRPr="005E758A">
        <w:rPr>
          <w:rFonts w:ascii="Times New Roman" w:eastAsia="標楷體" w:hAnsi="Times New Roman"/>
          <w:sz w:val="28"/>
          <w:szCs w:val="28"/>
        </w:rPr>
        <w:t>13</w:t>
      </w:r>
      <w:r w:rsidRPr="005E758A">
        <w:rPr>
          <w:rFonts w:ascii="Times New Roman" w:eastAsia="標楷體" w:hAnsi="Times New Roman"/>
          <w:sz w:val="28"/>
          <w:szCs w:val="28"/>
        </w:rPr>
        <w:t>條有效救濟之權利及第</w:t>
      </w:r>
      <w:r w:rsidRPr="005E758A">
        <w:rPr>
          <w:rFonts w:ascii="Times New Roman" w:eastAsia="標楷體" w:hAnsi="Times New Roman"/>
          <w:sz w:val="28"/>
          <w:szCs w:val="28"/>
        </w:rPr>
        <w:t>2</w:t>
      </w:r>
      <w:r w:rsidRPr="005E758A">
        <w:rPr>
          <w:rFonts w:ascii="Times New Roman" w:eastAsia="標楷體" w:hAnsi="Times New Roman"/>
          <w:sz w:val="28"/>
          <w:szCs w:val="28"/>
        </w:rPr>
        <w:t>條生命權。</w:t>
      </w:r>
    </w:p>
    <w:p w14:paraId="0AD4F70B" w14:textId="77777777" w:rsidR="00371A18" w:rsidRPr="005E758A" w:rsidRDefault="00371A18" w:rsidP="00371A18">
      <w:pPr>
        <w:pStyle w:val="a0"/>
        <w:snapToGrid w:val="0"/>
        <w:spacing w:before="100" w:beforeAutospacing="1" w:after="100" w:afterAutospacing="1"/>
        <w:ind w:leftChars="0" w:left="0" w:firstLineChars="200" w:firstLine="560"/>
        <w:jc w:val="both"/>
        <w:rPr>
          <w:rFonts w:ascii="Times New Roman" w:eastAsia="標楷體" w:hAnsi="Times New Roman"/>
          <w:sz w:val="28"/>
          <w:szCs w:val="28"/>
        </w:rPr>
      </w:pPr>
      <w:r w:rsidRPr="005E758A">
        <w:rPr>
          <w:rFonts w:ascii="Times New Roman" w:eastAsia="標楷體" w:hAnsi="Times New Roman"/>
          <w:sz w:val="28"/>
          <w:szCs w:val="28"/>
        </w:rPr>
        <w:t>法院首先認為羅</w:t>
      </w:r>
      <w:proofErr w:type="gramStart"/>
      <w:r w:rsidRPr="005E758A">
        <w:rPr>
          <w:rFonts w:ascii="Times New Roman" w:eastAsia="標楷體" w:hAnsi="Times New Roman"/>
          <w:sz w:val="28"/>
          <w:szCs w:val="28"/>
        </w:rPr>
        <w:t>姆</w:t>
      </w:r>
      <w:proofErr w:type="gramEnd"/>
      <w:r w:rsidRPr="005E758A">
        <w:rPr>
          <w:rFonts w:ascii="Times New Roman" w:eastAsia="標楷體" w:hAnsi="Times New Roman"/>
          <w:sz w:val="28"/>
          <w:szCs w:val="28"/>
        </w:rPr>
        <w:t>人之</w:t>
      </w:r>
      <w:proofErr w:type="gramStart"/>
      <w:r w:rsidRPr="005E758A">
        <w:rPr>
          <w:rFonts w:ascii="Times New Roman" w:eastAsia="標楷體" w:hAnsi="Times New Roman"/>
          <w:sz w:val="28"/>
          <w:szCs w:val="28"/>
        </w:rPr>
        <w:t>地位係備受</w:t>
      </w:r>
      <w:proofErr w:type="gramEnd"/>
      <w:r w:rsidRPr="005E758A">
        <w:rPr>
          <w:rFonts w:ascii="Times New Roman" w:eastAsia="標楷體" w:hAnsi="Times New Roman"/>
          <w:sz w:val="28"/>
          <w:szCs w:val="28"/>
        </w:rPr>
        <w:t>歧視之族群，且該家庭處於十分弱勢之情況，特別是兒童年齡甚低且為身障者，依歐洲人權法院之先例，法院認為比利時政府並未考量到該家庭之弱勢情形，特別是有兒童之情形。比利時政府對該家庭之待遇顯然有損其尊嚴，業已違反歐洲人權公約第</w:t>
      </w:r>
      <w:r w:rsidRPr="005E758A">
        <w:rPr>
          <w:rFonts w:ascii="Times New Roman" w:eastAsia="標楷體" w:hAnsi="Times New Roman"/>
          <w:sz w:val="28"/>
          <w:szCs w:val="28"/>
        </w:rPr>
        <w:t>3</w:t>
      </w:r>
      <w:r w:rsidRPr="005E758A">
        <w:rPr>
          <w:rFonts w:ascii="Times New Roman" w:eastAsia="標楷體" w:hAnsi="Times New Roman"/>
          <w:sz w:val="28"/>
          <w:szCs w:val="28"/>
        </w:rPr>
        <w:t>條。其次，法院認為該家庭之庇護案上訴至外國人訴訟法律事務處應得以展延其受領補助直到上訴確定，縱使仍有其他救濟管道，但對於該家庭之緊急狀況而言既複雜又不妥適，因此比利時政府違反第</w:t>
      </w:r>
      <w:r w:rsidRPr="005E758A">
        <w:rPr>
          <w:rFonts w:ascii="Times New Roman" w:eastAsia="標楷體" w:hAnsi="Times New Roman"/>
          <w:sz w:val="28"/>
          <w:szCs w:val="28"/>
        </w:rPr>
        <w:t>13</w:t>
      </w:r>
      <w:r w:rsidRPr="005E758A">
        <w:rPr>
          <w:rFonts w:ascii="Times New Roman" w:eastAsia="標楷體" w:hAnsi="Times New Roman"/>
          <w:sz w:val="28"/>
          <w:szCs w:val="28"/>
        </w:rPr>
        <w:t>條有效救濟之權利。</w:t>
      </w:r>
    </w:p>
    <w:p w14:paraId="271628C7" w14:textId="77777777" w:rsidR="00371A18" w:rsidRPr="005E758A" w:rsidRDefault="00371A18" w:rsidP="00FC16DD">
      <w:pPr>
        <w:pStyle w:val="3"/>
      </w:pPr>
      <w:r w:rsidRPr="005E758A">
        <w:t>2004</w:t>
      </w:r>
      <w:r w:rsidRPr="005E758A">
        <w:t>年加拿大</w:t>
      </w:r>
      <w:r w:rsidR="00FC16DD" w:rsidRPr="005E758A">
        <w:t>薩斯喀徹溫法院</w:t>
      </w:r>
      <w:r w:rsidRPr="005E758A">
        <w:t>原住民兒童收養案</w:t>
      </w:r>
      <w:r w:rsidR="00AF5A83" w:rsidRPr="005E758A">
        <w:t>：</w:t>
      </w:r>
      <w:r w:rsidRPr="005E758A">
        <w:t>In the Matter of the Child and Family Services Act and in the Matter of R.T., M.T., M.A.T., A.L. and K.A.</w:t>
      </w:r>
      <w:r w:rsidRPr="005E758A">
        <w:rPr>
          <w:rStyle w:val="af3"/>
        </w:rPr>
        <w:endnoteReference w:id="402"/>
      </w:r>
    </w:p>
    <w:p w14:paraId="18273496" w14:textId="77777777" w:rsidR="00371A18" w:rsidRPr="005E758A" w:rsidRDefault="00371A18" w:rsidP="00371A18">
      <w:pPr>
        <w:pStyle w:val="a0"/>
        <w:snapToGrid w:val="0"/>
        <w:spacing w:before="100" w:beforeAutospacing="1" w:after="100" w:afterAutospacing="1"/>
        <w:ind w:leftChars="0" w:left="0" w:firstLineChars="200" w:firstLine="560"/>
        <w:jc w:val="both"/>
        <w:rPr>
          <w:rFonts w:ascii="Times New Roman" w:eastAsia="標楷體" w:hAnsi="Times New Roman"/>
          <w:sz w:val="28"/>
          <w:szCs w:val="28"/>
        </w:rPr>
      </w:pPr>
      <w:r w:rsidRPr="005E758A">
        <w:rPr>
          <w:rFonts w:ascii="Times New Roman" w:eastAsia="標楷體" w:hAnsi="Times New Roman"/>
          <w:sz w:val="28"/>
          <w:szCs w:val="28"/>
        </w:rPr>
        <w:t>本案中，五名原住民兒童</w:t>
      </w:r>
      <w:r w:rsidRPr="005E758A">
        <w:rPr>
          <w:rFonts w:ascii="Times New Roman" w:eastAsia="標楷體" w:hAnsi="Times New Roman"/>
          <w:sz w:val="28"/>
          <w:szCs w:val="28"/>
        </w:rPr>
        <w:t>R.T., M.T., M.A.T., A.L.</w:t>
      </w:r>
      <w:r w:rsidRPr="005E758A">
        <w:rPr>
          <w:rFonts w:ascii="Times New Roman" w:eastAsia="標楷體" w:hAnsi="Times New Roman"/>
          <w:sz w:val="28"/>
          <w:szCs w:val="28"/>
        </w:rPr>
        <w:t>及</w:t>
      </w:r>
      <w:r w:rsidRPr="005E758A">
        <w:rPr>
          <w:rFonts w:ascii="Times New Roman" w:eastAsia="標楷體" w:hAnsi="Times New Roman"/>
          <w:sz w:val="28"/>
          <w:szCs w:val="28"/>
        </w:rPr>
        <w:t>K.A</w:t>
      </w:r>
      <w:r w:rsidRPr="005E758A">
        <w:rPr>
          <w:rFonts w:ascii="Times New Roman" w:eastAsia="標楷體" w:hAnsi="Times New Roman"/>
          <w:sz w:val="28"/>
          <w:szCs w:val="28"/>
        </w:rPr>
        <w:t>被安置於寄養家庭一段時間。薩克其萬社會資源及工作部門採行第一民族兒</w:t>
      </w:r>
      <w:r w:rsidRPr="005E758A">
        <w:rPr>
          <w:rFonts w:ascii="Times New Roman" w:eastAsia="標楷體" w:hAnsi="Times New Roman"/>
          <w:sz w:val="28"/>
          <w:szCs w:val="28"/>
        </w:rPr>
        <w:lastRenderedPageBreak/>
        <w:t>童若未經該族或相關第一民族兒童福利機關同意即不得收養之政策。而本案之兒童皆受其族拒絕同意收養而無法完成收養程序，故以兒童之名義提起訴訟。</w:t>
      </w:r>
    </w:p>
    <w:p w14:paraId="33190D40" w14:textId="77777777" w:rsidR="00371A18" w:rsidRPr="005E758A" w:rsidRDefault="00371A18" w:rsidP="00371A18">
      <w:pPr>
        <w:pStyle w:val="a0"/>
        <w:snapToGrid w:val="0"/>
        <w:spacing w:before="100" w:beforeAutospacing="1" w:after="100" w:afterAutospacing="1"/>
        <w:ind w:leftChars="0" w:left="0" w:firstLineChars="200" w:firstLine="560"/>
        <w:jc w:val="both"/>
        <w:rPr>
          <w:rFonts w:ascii="Times New Roman" w:eastAsia="標楷體" w:hAnsi="Times New Roman"/>
          <w:sz w:val="28"/>
          <w:szCs w:val="28"/>
        </w:rPr>
      </w:pPr>
      <w:r w:rsidRPr="005E758A">
        <w:rPr>
          <w:rFonts w:ascii="Times New Roman" w:eastAsia="標楷體" w:hAnsi="Times New Roman"/>
          <w:sz w:val="28"/>
          <w:szCs w:val="28"/>
        </w:rPr>
        <w:t>本案爭點在於兒童最佳利益之認定以及少數族群之權利之權衡。法院認為收養需經過族群之同意之政策係違反加拿大權利及自由憲章且使第一民族之兒童無法獲得與其他兒童相同之收養機會。且法院認為兒童權利公約第</w:t>
      </w:r>
      <w:r w:rsidRPr="005E758A">
        <w:rPr>
          <w:rFonts w:ascii="Times New Roman" w:eastAsia="標楷體" w:hAnsi="Times New Roman"/>
          <w:sz w:val="28"/>
          <w:szCs w:val="28"/>
        </w:rPr>
        <w:t>30</w:t>
      </w:r>
      <w:r w:rsidRPr="005E758A">
        <w:rPr>
          <w:rFonts w:ascii="Times New Roman" w:eastAsia="標楷體" w:hAnsi="Times New Roman"/>
          <w:sz w:val="28"/>
          <w:szCs w:val="28"/>
        </w:rPr>
        <w:t>條明白指出文化是考量兒童最佳利益之重要因素之一，使兒童得以與其根源及族群相連結，但由非原住民家庭收養並非表示被收養兒童即應與其族群斷絕關係，因而「收養」及「文化」並非互斥之概念。</w:t>
      </w:r>
    </w:p>
    <w:p w14:paraId="631E10E9" w14:textId="77777777" w:rsidR="00371A18" w:rsidRPr="005E758A" w:rsidRDefault="00371A18" w:rsidP="00371A18">
      <w:pPr>
        <w:pStyle w:val="2"/>
      </w:pPr>
      <w:r w:rsidRPr="005E758A">
        <w:t>綜合分析</w:t>
      </w:r>
    </w:p>
    <w:p w14:paraId="137BB17C" w14:textId="77777777" w:rsidR="00371A18" w:rsidRPr="005E758A" w:rsidRDefault="00371A18" w:rsidP="00371A18">
      <w:pPr>
        <w:pStyle w:val="a0"/>
        <w:snapToGrid w:val="0"/>
        <w:spacing w:before="100" w:beforeAutospacing="1" w:after="100" w:afterAutospacing="1"/>
        <w:ind w:leftChars="0" w:left="0" w:firstLineChars="200" w:firstLine="560"/>
        <w:jc w:val="both"/>
        <w:rPr>
          <w:rFonts w:ascii="Times New Roman" w:eastAsia="標楷體" w:hAnsi="Times New Roman"/>
          <w:sz w:val="28"/>
          <w:szCs w:val="28"/>
        </w:rPr>
      </w:pPr>
      <w:r w:rsidRPr="005E758A">
        <w:rPr>
          <w:rFonts w:ascii="Times New Roman" w:eastAsia="標楷體" w:hAnsi="Times New Roman"/>
          <w:sz w:val="28"/>
          <w:szCs w:val="28"/>
        </w:rPr>
        <w:t>由於公約於相關條款中已分別針對兒童的家庭權、身分權、宗教權等權益項目予以保障，那麼本條之必要性究竟何在，恐引人質疑？依據聯合國兒童基金會之說明，有</w:t>
      </w:r>
      <w:proofErr w:type="gramStart"/>
      <w:r w:rsidRPr="005E758A">
        <w:rPr>
          <w:rFonts w:ascii="Times New Roman" w:eastAsia="標楷體" w:hAnsi="Times New Roman"/>
          <w:sz w:val="28"/>
          <w:szCs w:val="28"/>
        </w:rPr>
        <w:t>鑑</w:t>
      </w:r>
      <w:proofErr w:type="gramEnd"/>
      <w:r w:rsidRPr="005E758A">
        <w:rPr>
          <w:rFonts w:ascii="Times New Roman" w:eastAsia="標楷體" w:hAnsi="Times New Roman"/>
          <w:sz w:val="28"/>
          <w:szCs w:val="28"/>
        </w:rPr>
        <w:t>於諸多證據顯示少數族群及原住民之兒童仍持續遭受嚴重之歧視，故有必要單獨對此明文予以規範，以確保該等權利項目能夠獲得各國的重視。本條係為對締約國施加合理壓力以促使締約國正視事實上有許多因對少數族群之父母、家庭及社群之歧視，造成兒童亦遭受歧視之情況，故屬於一種特別規定。</w:t>
      </w:r>
    </w:p>
    <w:p w14:paraId="0B5498AC" w14:textId="77777777" w:rsidR="00371A18" w:rsidRPr="005E758A" w:rsidRDefault="00371A18" w:rsidP="00371A18">
      <w:pPr>
        <w:pStyle w:val="2"/>
      </w:pPr>
      <w:r w:rsidRPr="005E758A">
        <w:t>參考資料</w:t>
      </w:r>
    </w:p>
    <w:p w14:paraId="4771C1EB" w14:textId="77777777" w:rsidR="00371A18" w:rsidRPr="005E758A" w:rsidRDefault="00371A18" w:rsidP="00D2135A">
      <w:pPr>
        <w:pStyle w:val="a0"/>
        <w:numPr>
          <w:ilvl w:val="0"/>
          <w:numId w:val="98"/>
        </w:numPr>
        <w:snapToGrid w:val="0"/>
        <w:spacing w:before="100" w:beforeAutospacing="1" w:after="100" w:afterAutospacing="1"/>
        <w:ind w:leftChars="0" w:left="450" w:hanging="450"/>
        <w:jc w:val="both"/>
        <w:rPr>
          <w:rFonts w:ascii="Times New Roman" w:eastAsia="標楷體" w:hAnsi="Times New Roman"/>
          <w:sz w:val="28"/>
          <w:szCs w:val="28"/>
        </w:rPr>
      </w:pPr>
      <w:r w:rsidRPr="005E758A">
        <w:rPr>
          <w:rFonts w:ascii="Times New Roman" w:eastAsia="標楷體" w:hAnsi="Times New Roman"/>
          <w:smallCaps/>
          <w:sz w:val="28"/>
          <w:szCs w:val="28"/>
        </w:rPr>
        <w:t xml:space="preserve">UNICEF, Implementation Handbook for the Convention on the Rights of the Child </w:t>
      </w:r>
      <w:r w:rsidRPr="005E758A">
        <w:rPr>
          <w:rFonts w:ascii="Times New Roman" w:eastAsia="標楷體" w:hAnsi="Times New Roman"/>
          <w:sz w:val="28"/>
          <w:szCs w:val="28"/>
        </w:rPr>
        <w:t>(3d ed. 2007).</w:t>
      </w:r>
    </w:p>
    <w:p w14:paraId="7229407D" w14:textId="77777777" w:rsidR="00371A18" w:rsidRPr="005E758A" w:rsidRDefault="00371A18" w:rsidP="00D2135A">
      <w:pPr>
        <w:pStyle w:val="a0"/>
        <w:numPr>
          <w:ilvl w:val="0"/>
          <w:numId w:val="98"/>
        </w:numPr>
        <w:snapToGrid w:val="0"/>
        <w:spacing w:before="100" w:beforeAutospacing="1" w:after="100" w:afterAutospacing="1"/>
        <w:ind w:leftChars="0" w:left="450" w:hanging="450"/>
        <w:jc w:val="both"/>
        <w:rPr>
          <w:rFonts w:ascii="Times New Roman" w:eastAsia="標楷體" w:hAnsi="Times New Roman"/>
          <w:sz w:val="28"/>
          <w:szCs w:val="28"/>
        </w:rPr>
      </w:pPr>
      <w:r w:rsidRPr="005E758A">
        <w:rPr>
          <w:rFonts w:ascii="Times New Roman" w:eastAsia="標楷體" w:hAnsi="Times New Roman"/>
          <w:sz w:val="28"/>
          <w:szCs w:val="28"/>
        </w:rPr>
        <w:t>兒童權利委員會，第</w:t>
      </w:r>
      <w:r w:rsidRPr="005E758A">
        <w:rPr>
          <w:rFonts w:ascii="Times New Roman" w:eastAsia="標楷體" w:hAnsi="Times New Roman"/>
          <w:sz w:val="28"/>
          <w:szCs w:val="28"/>
        </w:rPr>
        <w:t>11</w:t>
      </w:r>
      <w:r w:rsidRPr="005E758A">
        <w:rPr>
          <w:rFonts w:ascii="Times New Roman" w:eastAsia="標楷體" w:hAnsi="Times New Roman"/>
          <w:sz w:val="28"/>
          <w:szCs w:val="28"/>
        </w:rPr>
        <w:t>號一般性意見「原住民兒童及其在公約下的權利」。</w:t>
      </w:r>
      <w:r w:rsidRPr="005E758A">
        <w:rPr>
          <w:rFonts w:ascii="Times New Roman" w:eastAsia="標楷體" w:hAnsi="Times New Roman"/>
          <w:sz w:val="28"/>
          <w:szCs w:val="28"/>
        </w:rPr>
        <w:t>Committee on the Rights of the Child, General Comment No. 11: Indigenous Children and Their Rights under the Convention, U.N. Doc. CRC/GC/2001/1 (Feb. 12, 2009).</w:t>
      </w:r>
    </w:p>
    <w:p w14:paraId="339BFFBC" w14:textId="77777777" w:rsidR="00371A18" w:rsidRPr="005E758A" w:rsidRDefault="00371A18" w:rsidP="00D2135A">
      <w:pPr>
        <w:pStyle w:val="a0"/>
        <w:numPr>
          <w:ilvl w:val="0"/>
          <w:numId w:val="98"/>
        </w:numPr>
        <w:snapToGrid w:val="0"/>
        <w:spacing w:before="100" w:beforeAutospacing="1" w:after="100" w:afterAutospacing="1"/>
        <w:ind w:leftChars="0" w:left="450" w:hanging="450"/>
        <w:jc w:val="both"/>
        <w:rPr>
          <w:rFonts w:ascii="Times New Roman" w:eastAsia="標楷體" w:hAnsi="Times New Roman"/>
          <w:sz w:val="28"/>
          <w:szCs w:val="28"/>
        </w:rPr>
      </w:pPr>
      <w:r w:rsidRPr="005E758A">
        <w:rPr>
          <w:rFonts w:ascii="Times New Roman" w:eastAsia="標楷體" w:hAnsi="Times New Roman"/>
          <w:sz w:val="28"/>
          <w:szCs w:val="28"/>
        </w:rPr>
        <w:t>林沛君，兒少人權向前行，臺北市，台灣展翅協會，</w:t>
      </w:r>
      <w:r w:rsidRPr="005E758A">
        <w:rPr>
          <w:rFonts w:ascii="Times New Roman" w:eastAsia="標楷體" w:hAnsi="Times New Roman"/>
          <w:sz w:val="28"/>
          <w:szCs w:val="28"/>
        </w:rPr>
        <w:t>2015</w:t>
      </w:r>
      <w:r w:rsidRPr="005E758A">
        <w:rPr>
          <w:rFonts w:ascii="Times New Roman" w:eastAsia="標楷體" w:hAnsi="Times New Roman"/>
          <w:sz w:val="28"/>
          <w:szCs w:val="28"/>
        </w:rPr>
        <w:t>年</w:t>
      </w:r>
      <w:r w:rsidRPr="005E758A">
        <w:rPr>
          <w:rFonts w:ascii="Times New Roman" w:eastAsia="標楷體" w:hAnsi="Times New Roman"/>
          <w:sz w:val="28"/>
          <w:szCs w:val="28"/>
        </w:rPr>
        <w:t>4</w:t>
      </w:r>
      <w:r w:rsidRPr="005E758A">
        <w:rPr>
          <w:rFonts w:ascii="Times New Roman" w:eastAsia="標楷體" w:hAnsi="Times New Roman"/>
          <w:sz w:val="28"/>
          <w:szCs w:val="28"/>
        </w:rPr>
        <w:t>月。</w:t>
      </w:r>
    </w:p>
    <w:p w14:paraId="02AEA0BF" w14:textId="77777777" w:rsidR="00371A18" w:rsidRPr="005E758A" w:rsidRDefault="00371A18" w:rsidP="00371A18">
      <w:pPr>
        <w:pStyle w:val="a0"/>
        <w:snapToGrid w:val="0"/>
        <w:spacing w:beforeLines="50" w:before="120" w:afterLines="50" w:after="120"/>
        <w:ind w:leftChars="0" w:left="993"/>
        <w:rPr>
          <w:rFonts w:ascii="Times New Roman" w:eastAsia="標楷體" w:hAnsi="Times New Roman"/>
          <w:color w:val="000000"/>
          <w:sz w:val="28"/>
          <w:szCs w:val="28"/>
        </w:rPr>
      </w:pPr>
    </w:p>
    <w:p w14:paraId="005983E0" w14:textId="77777777" w:rsidR="00371A18" w:rsidRPr="005E758A" w:rsidRDefault="00371A18" w:rsidP="00371A18">
      <w:pPr>
        <w:pStyle w:val="Web"/>
        <w:shd w:val="clear" w:color="auto" w:fill="FFFFFF"/>
        <w:snapToGrid w:val="0"/>
        <w:spacing w:beforeLines="50" w:before="120" w:beforeAutospacing="0" w:afterLines="50" w:after="120" w:afterAutospacing="0"/>
        <w:rPr>
          <w:rFonts w:ascii="Times New Roman" w:eastAsia="標楷體" w:hAnsi="Times New Roman" w:cs="Times New Roman"/>
          <w:sz w:val="28"/>
          <w:szCs w:val="28"/>
        </w:rPr>
      </w:pPr>
      <w:r w:rsidRPr="005E758A">
        <w:rPr>
          <w:rFonts w:ascii="Times New Roman" w:eastAsia="標楷體" w:hAnsi="Times New Roman" w:cs="Times New Roman"/>
          <w:sz w:val="28"/>
          <w:szCs w:val="28"/>
        </w:rPr>
        <w:t>關鍵字：原住民、少數民族、原住民文化、宗教自由</w:t>
      </w:r>
    </w:p>
    <w:p w14:paraId="0524DC9B" w14:textId="77777777" w:rsidR="001169AF" w:rsidRPr="005E758A" w:rsidRDefault="001169AF" w:rsidP="001169AF">
      <w:pPr>
        <w:pStyle w:val="1"/>
        <w:sectPr w:rsidR="001169AF" w:rsidRPr="005E758A" w:rsidSect="00135FC9">
          <w:footnotePr>
            <w:numRestart w:val="eachSect"/>
          </w:footnotePr>
          <w:endnotePr>
            <w:numFmt w:val="decimal"/>
            <w:numRestart w:val="eachSect"/>
          </w:endnotePr>
          <w:pgSz w:w="11906" w:h="16838"/>
          <w:pgMar w:top="1440" w:right="1797" w:bottom="1440" w:left="1797" w:header="851" w:footer="992" w:gutter="0"/>
          <w:cols w:space="425"/>
          <w:docGrid w:linePitch="360"/>
        </w:sectPr>
      </w:pPr>
    </w:p>
    <w:p w14:paraId="722FE192" w14:textId="77777777" w:rsidR="00F76603" w:rsidRDefault="00F76603" w:rsidP="00F76603">
      <w:pPr>
        <w:pStyle w:val="1"/>
        <w:rPr>
          <w:sz w:val="28"/>
        </w:rPr>
      </w:pPr>
      <w:bookmarkStart w:id="88" w:name="_Toc431072747"/>
      <w:r w:rsidRPr="005E758A">
        <w:lastRenderedPageBreak/>
        <w:t>第</w:t>
      </w:r>
      <w:r w:rsidRPr="005E758A">
        <w:t>31</w:t>
      </w:r>
      <w:r w:rsidRPr="005E758A">
        <w:t>條</w:t>
      </w:r>
      <w:r>
        <w:rPr>
          <w:rFonts w:hint="eastAsia"/>
        </w:rPr>
        <w:t xml:space="preserve">　遊戲權</w:t>
      </w:r>
      <w:bookmarkEnd w:id="88"/>
    </w:p>
    <w:tbl>
      <w:tblPr>
        <w:tblStyle w:val="af4"/>
        <w:tblW w:w="0" w:type="auto"/>
        <w:tblLook w:val="04A0" w:firstRow="1" w:lastRow="0" w:firstColumn="1" w:lastColumn="0" w:noHBand="0" w:noVBand="1"/>
      </w:tblPr>
      <w:tblGrid>
        <w:gridCol w:w="8302"/>
      </w:tblGrid>
      <w:tr w:rsidR="00F76603" w:rsidRPr="005E758A" w14:paraId="3E365061" w14:textId="77777777" w:rsidTr="002B035C">
        <w:tc>
          <w:tcPr>
            <w:tcW w:w="8362" w:type="dxa"/>
          </w:tcPr>
          <w:p w14:paraId="31ED81A1" w14:textId="77777777" w:rsidR="00F76603" w:rsidRPr="005E758A" w:rsidRDefault="00F76603" w:rsidP="002B035C">
            <w:pPr>
              <w:numPr>
                <w:ilvl w:val="0"/>
                <w:numId w:val="177"/>
              </w:numPr>
              <w:snapToGrid w:val="0"/>
              <w:jc w:val="both"/>
              <w:rPr>
                <w:rFonts w:ascii="Times New Roman" w:eastAsia="標楷體" w:hAnsi="Times New Roman"/>
                <w:sz w:val="28"/>
                <w:szCs w:val="28"/>
              </w:rPr>
            </w:pPr>
            <w:r w:rsidRPr="005E758A">
              <w:rPr>
                <w:rFonts w:ascii="Times New Roman" w:eastAsia="標楷體" w:hAnsi="Times New Roman"/>
                <w:sz w:val="28"/>
                <w:szCs w:val="28"/>
              </w:rPr>
              <w:t>締約國確認兒童享有休息及休閒之權利；有從事適合其年齡之遊戲和娛樂活動之權利，以及自由參加文化生活與藝術活動之權利。</w:t>
            </w:r>
          </w:p>
          <w:p w14:paraId="7F92CFAE" w14:textId="77777777" w:rsidR="00F76603" w:rsidRPr="005E758A" w:rsidRDefault="00F76603" w:rsidP="002B035C">
            <w:pPr>
              <w:numPr>
                <w:ilvl w:val="0"/>
                <w:numId w:val="177"/>
              </w:numPr>
              <w:snapToGrid w:val="0"/>
              <w:jc w:val="both"/>
              <w:rPr>
                <w:rFonts w:ascii="Times New Roman" w:eastAsia="標楷體" w:hAnsi="Times New Roman"/>
                <w:b/>
                <w:sz w:val="28"/>
                <w:szCs w:val="28"/>
              </w:rPr>
            </w:pPr>
            <w:r w:rsidRPr="005E758A">
              <w:rPr>
                <w:rFonts w:ascii="Times New Roman" w:eastAsia="標楷體" w:hAnsi="Times New Roman"/>
                <w:sz w:val="28"/>
                <w:szCs w:val="28"/>
              </w:rPr>
              <w:t>締約國應尊重並促進兒童充分參加文化與藝術生活之權利，並應鼓勵提供適當之文化、藝術、娛樂以及休閒活動之平等機會。</w:t>
            </w:r>
          </w:p>
        </w:tc>
      </w:tr>
    </w:tbl>
    <w:p w14:paraId="44B670FB" w14:textId="77777777" w:rsidR="00F76603" w:rsidRPr="00F76603" w:rsidRDefault="00F76603" w:rsidP="00F76603">
      <w:pPr>
        <w:snapToGrid w:val="0"/>
        <w:spacing w:before="100" w:beforeAutospacing="1" w:after="100" w:afterAutospacing="1"/>
        <w:jc w:val="both"/>
        <w:rPr>
          <w:sz w:val="28"/>
        </w:rPr>
      </w:pPr>
    </w:p>
    <w:p w14:paraId="26191B8F" w14:textId="77777777" w:rsidR="00CF6265" w:rsidRPr="005E758A" w:rsidRDefault="00CF6265" w:rsidP="00F02A5C">
      <w:pPr>
        <w:pStyle w:val="2"/>
        <w:numPr>
          <w:ilvl w:val="0"/>
          <w:numId w:val="178"/>
        </w:numPr>
      </w:pPr>
      <w:r w:rsidRPr="005E758A">
        <w:t>規範宗旨</w:t>
      </w:r>
    </w:p>
    <w:p w14:paraId="2C4316A4" w14:textId="77777777" w:rsidR="00CF6265" w:rsidRPr="005E758A" w:rsidRDefault="00CF6265" w:rsidP="00CF6265">
      <w:pPr>
        <w:pStyle w:val="a0"/>
        <w:snapToGrid w:val="0"/>
        <w:spacing w:before="100" w:beforeAutospacing="1" w:after="100" w:afterAutospacing="1"/>
        <w:ind w:leftChars="0" w:left="0" w:firstLineChars="200" w:firstLine="560"/>
        <w:jc w:val="both"/>
        <w:rPr>
          <w:rFonts w:ascii="Times New Roman" w:eastAsia="標楷體" w:hAnsi="Times New Roman"/>
          <w:sz w:val="28"/>
          <w:szCs w:val="28"/>
        </w:rPr>
      </w:pPr>
      <w:r w:rsidRPr="005E758A">
        <w:rPr>
          <w:rFonts w:ascii="Times New Roman" w:eastAsia="標楷體" w:hAnsi="Times New Roman"/>
          <w:sz w:val="28"/>
          <w:szCs w:val="28"/>
        </w:rPr>
        <w:t>本條簡稱遊戲權，確保兒童享有休息及休閒等相關權利。與其他相關國際文件如世界人權宣言第</w:t>
      </w:r>
      <w:r w:rsidRPr="005E758A">
        <w:rPr>
          <w:rFonts w:ascii="Times New Roman" w:eastAsia="標楷體" w:hAnsi="Times New Roman"/>
          <w:sz w:val="28"/>
          <w:szCs w:val="28"/>
        </w:rPr>
        <w:t>24</w:t>
      </w:r>
      <w:r w:rsidRPr="005E758A">
        <w:rPr>
          <w:rFonts w:ascii="Times New Roman" w:eastAsia="標楷體" w:hAnsi="Times New Roman"/>
          <w:sz w:val="28"/>
          <w:szCs w:val="28"/>
        </w:rPr>
        <w:t>條、經濟社會及文化權利國際公約第</w:t>
      </w:r>
      <w:r w:rsidRPr="005E758A">
        <w:rPr>
          <w:rFonts w:ascii="Times New Roman" w:eastAsia="標楷體" w:hAnsi="Times New Roman"/>
          <w:sz w:val="28"/>
          <w:szCs w:val="28"/>
        </w:rPr>
        <w:t>7</w:t>
      </w:r>
      <w:r w:rsidRPr="005E758A">
        <w:rPr>
          <w:rFonts w:ascii="Times New Roman" w:eastAsia="標楷體" w:hAnsi="Times New Roman"/>
          <w:sz w:val="28"/>
          <w:szCs w:val="28"/>
        </w:rPr>
        <w:t>條第</w:t>
      </w:r>
      <w:r w:rsidRPr="005E758A">
        <w:rPr>
          <w:rFonts w:ascii="Times New Roman" w:eastAsia="標楷體" w:hAnsi="Times New Roman"/>
          <w:sz w:val="28"/>
          <w:szCs w:val="28"/>
        </w:rPr>
        <w:t>4</w:t>
      </w:r>
      <w:r w:rsidRPr="005E758A">
        <w:rPr>
          <w:rFonts w:ascii="Times New Roman" w:eastAsia="標楷體" w:hAnsi="Times New Roman"/>
          <w:sz w:val="28"/>
          <w:szCs w:val="28"/>
        </w:rPr>
        <w:t>項及消除對婦女一切形式歧視公約第</w:t>
      </w:r>
      <w:r w:rsidRPr="005E758A">
        <w:rPr>
          <w:rFonts w:ascii="Times New Roman" w:eastAsia="標楷體" w:hAnsi="Times New Roman"/>
          <w:sz w:val="28"/>
          <w:szCs w:val="28"/>
        </w:rPr>
        <w:t>13</w:t>
      </w:r>
      <w:r w:rsidRPr="005E758A">
        <w:rPr>
          <w:rFonts w:ascii="Times New Roman" w:eastAsia="標楷體" w:hAnsi="Times New Roman"/>
          <w:sz w:val="28"/>
          <w:szCs w:val="28"/>
        </w:rPr>
        <w:t>條等不同之處是，相關國際文件所明文保障的雖亦係在「休息」及「休閒」上，然而其係根基於保障「工作條件」不得過於嚴苛，人人應享有休息及休閒之權利；而本條則係對尚在塑型階段，尚在對社會探索、感知階段，沒有工作之兒童，</w:t>
      </w:r>
      <w:proofErr w:type="gramStart"/>
      <w:r w:rsidRPr="005E758A">
        <w:rPr>
          <w:rFonts w:ascii="Times New Roman" w:eastAsia="標楷體" w:hAnsi="Times New Roman"/>
          <w:sz w:val="28"/>
          <w:szCs w:val="28"/>
        </w:rPr>
        <w:t>對於其探知</w:t>
      </w:r>
      <w:proofErr w:type="gramEnd"/>
      <w:r w:rsidRPr="005E758A">
        <w:rPr>
          <w:rFonts w:ascii="Times New Roman" w:eastAsia="標楷體" w:hAnsi="Times New Roman"/>
          <w:sz w:val="28"/>
          <w:szCs w:val="28"/>
        </w:rPr>
        <w:t>社會之媒介，及遊戲權做廣泛之保障。</w:t>
      </w:r>
    </w:p>
    <w:p w14:paraId="24C85551" w14:textId="77777777" w:rsidR="00CF6265" w:rsidRPr="005E758A" w:rsidRDefault="00CF6265" w:rsidP="00F02A5C">
      <w:pPr>
        <w:pStyle w:val="2"/>
        <w:numPr>
          <w:ilvl w:val="0"/>
          <w:numId w:val="178"/>
        </w:numPr>
      </w:pPr>
      <w:r w:rsidRPr="005E758A">
        <w:t>條文要義</w:t>
      </w:r>
    </w:p>
    <w:p w14:paraId="347DBFB2" w14:textId="77777777" w:rsidR="00CF6265" w:rsidRPr="005E758A" w:rsidRDefault="00CF6265" w:rsidP="00F02A5C">
      <w:pPr>
        <w:pStyle w:val="3"/>
        <w:numPr>
          <w:ilvl w:val="0"/>
          <w:numId w:val="179"/>
        </w:numPr>
      </w:pPr>
      <w:r w:rsidRPr="005E758A">
        <w:t>第</w:t>
      </w:r>
      <w:r w:rsidRPr="005E758A">
        <w:t>31</w:t>
      </w:r>
      <w:r w:rsidRPr="005E758A">
        <w:t>條第</w:t>
      </w:r>
      <w:r w:rsidRPr="005E758A">
        <w:t>1</w:t>
      </w:r>
      <w:r w:rsidRPr="005E758A">
        <w:t>項</w:t>
      </w:r>
    </w:p>
    <w:p w14:paraId="572FDD24" w14:textId="77777777" w:rsidR="00CF6265" w:rsidRPr="005E758A" w:rsidRDefault="00CF6265" w:rsidP="00F02A5C">
      <w:pPr>
        <w:pStyle w:val="4"/>
        <w:numPr>
          <w:ilvl w:val="2"/>
          <w:numId w:val="179"/>
        </w:numPr>
      </w:pPr>
      <w:r w:rsidRPr="005E758A">
        <w:t>休息、休閒、遊戲和娛樂活動</w:t>
      </w:r>
    </w:p>
    <w:p w14:paraId="624380DF" w14:textId="77777777" w:rsidR="00CF6265" w:rsidRPr="005E758A" w:rsidRDefault="00CF6265" w:rsidP="00CF6265">
      <w:pPr>
        <w:pStyle w:val="a0"/>
        <w:snapToGrid w:val="0"/>
        <w:spacing w:before="100" w:beforeAutospacing="1" w:after="100" w:afterAutospacing="1"/>
        <w:ind w:leftChars="0" w:left="0" w:firstLineChars="200" w:firstLine="560"/>
        <w:jc w:val="both"/>
        <w:rPr>
          <w:rFonts w:ascii="Times New Roman" w:eastAsia="標楷體" w:hAnsi="Times New Roman"/>
          <w:sz w:val="28"/>
          <w:szCs w:val="28"/>
        </w:rPr>
      </w:pPr>
      <w:r w:rsidRPr="005E758A">
        <w:rPr>
          <w:rFonts w:ascii="Times New Roman" w:eastAsia="標楷體" w:hAnsi="Times New Roman"/>
          <w:sz w:val="28"/>
          <w:szCs w:val="28"/>
        </w:rPr>
        <w:t>休息、休閒、遊戲和娛樂活動看似同義詞，因為它們都指向不工作這個共同點，但這四</w:t>
      </w:r>
      <w:proofErr w:type="gramStart"/>
      <w:r w:rsidRPr="005E758A">
        <w:rPr>
          <w:rFonts w:ascii="Times New Roman" w:eastAsia="標楷體" w:hAnsi="Times New Roman"/>
          <w:sz w:val="28"/>
          <w:szCs w:val="28"/>
        </w:rPr>
        <w:t>個</w:t>
      </w:r>
      <w:proofErr w:type="gramEnd"/>
      <w:r w:rsidRPr="005E758A">
        <w:rPr>
          <w:rFonts w:ascii="Times New Roman" w:eastAsia="標楷體" w:hAnsi="Times New Roman"/>
          <w:sz w:val="28"/>
          <w:szCs w:val="28"/>
        </w:rPr>
        <w:t>名詞其實包含了各種不同的意義</w:t>
      </w:r>
      <w:r w:rsidRPr="005E758A">
        <w:rPr>
          <w:rStyle w:val="af3"/>
          <w:rFonts w:ascii="Times New Roman" w:eastAsia="標楷體" w:hAnsi="Times New Roman"/>
          <w:sz w:val="28"/>
          <w:szCs w:val="28"/>
        </w:rPr>
        <w:endnoteReference w:id="403"/>
      </w:r>
      <w:r w:rsidRPr="005E758A">
        <w:rPr>
          <w:rFonts w:ascii="Times New Roman" w:eastAsia="標楷體" w:hAnsi="Times New Roman"/>
          <w:sz w:val="28"/>
          <w:szCs w:val="28"/>
        </w:rPr>
        <w:t>：</w:t>
      </w:r>
    </w:p>
    <w:p w14:paraId="52B3E033" w14:textId="77777777" w:rsidR="00CF6265" w:rsidRPr="005E758A" w:rsidRDefault="00CF6265" w:rsidP="00F02A5C">
      <w:pPr>
        <w:pStyle w:val="a0"/>
        <w:numPr>
          <w:ilvl w:val="3"/>
          <w:numId w:val="180"/>
        </w:numPr>
        <w:snapToGrid w:val="0"/>
        <w:ind w:leftChars="0" w:left="993"/>
        <w:rPr>
          <w:rFonts w:ascii="Times New Roman" w:eastAsia="標楷體" w:hAnsi="Times New Roman"/>
          <w:sz w:val="28"/>
          <w:szCs w:val="28"/>
        </w:rPr>
      </w:pPr>
      <w:r w:rsidRPr="005E758A">
        <w:rPr>
          <w:rFonts w:ascii="Times New Roman" w:eastAsia="標楷體" w:hAnsi="Times New Roman"/>
          <w:sz w:val="28"/>
          <w:szCs w:val="28"/>
        </w:rPr>
        <w:t>休息：確保兒童能在從事任何種類的工作、教育或消耗體力的活動中，能充分的放鬆及有足夠的睡眠機會，並確保其能恢復體力。即包含生理、心理上</w:t>
      </w:r>
      <w:proofErr w:type="gramStart"/>
      <w:r w:rsidRPr="005E758A">
        <w:rPr>
          <w:rFonts w:ascii="Times New Roman" w:eastAsia="標楷體" w:hAnsi="Times New Roman"/>
          <w:sz w:val="28"/>
          <w:szCs w:val="28"/>
        </w:rPr>
        <w:t>最</w:t>
      </w:r>
      <w:proofErr w:type="gramEnd"/>
      <w:r w:rsidRPr="005E758A">
        <w:rPr>
          <w:rFonts w:ascii="Times New Roman" w:eastAsia="標楷體" w:hAnsi="Times New Roman"/>
          <w:sz w:val="28"/>
          <w:szCs w:val="28"/>
        </w:rPr>
        <w:t>本質必須之需求。</w:t>
      </w:r>
      <w:bookmarkStart w:id="89" w:name="_Ref430782017"/>
      <w:r w:rsidRPr="005E758A">
        <w:rPr>
          <w:rFonts w:ascii="Times New Roman" w:hAnsi="Times New Roman"/>
        </w:rPr>
        <w:endnoteReference w:id="404"/>
      </w:r>
      <w:bookmarkEnd w:id="89"/>
    </w:p>
    <w:p w14:paraId="59ACE1A9" w14:textId="77777777" w:rsidR="00CF6265" w:rsidRPr="005E758A" w:rsidRDefault="00CF6265" w:rsidP="00F02A5C">
      <w:pPr>
        <w:pStyle w:val="a0"/>
        <w:numPr>
          <w:ilvl w:val="3"/>
          <w:numId w:val="180"/>
        </w:numPr>
        <w:snapToGrid w:val="0"/>
        <w:ind w:leftChars="0" w:left="993"/>
        <w:rPr>
          <w:rFonts w:ascii="Times New Roman" w:eastAsia="標楷體" w:hAnsi="Times New Roman"/>
          <w:sz w:val="28"/>
          <w:szCs w:val="28"/>
        </w:rPr>
      </w:pPr>
      <w:r w:rsidRPr="005E758A">
        <w:rPr>
          <w:rFonts w:ascii="Times New Roman" w:eastAsia="標楷體" w:hAnsi="Times New Roman"/>
          <w:sz w:val="28"/>
          <w:szCs w:val="28"/>
        </w:rPr>
        <w:t>休閒：休閒的定義更加廣泛，其定義為兒童得自由的運用時間，在這段時間中不進行教育、不工作、不從事家庭義務或負擔家庭生計之維持，或參與他人主導之活動，全由兒童自己之意願參與自己喜好的活動。</w:t>
      </w:r>
      <w:r w:rsidRPr="005E758A">
        <w:rPr>
          <w:rFonts w:ascii="Times New Roman" w:hAnsi="Times New Roman"/>
        </w:rPr>
        <w:endnoteReference w:id="405"/>
      </w:r>
    </w:p>
    <w:p w14:paraId="585A0821" w14:textId="77777777" w:rsidR="00CF6265" w:rsidRPr="005E758A" w:rsidRDefault="00CF6265" w:rsidP="00F02A5C">
      <w:pPr>
        <w:pStyle w:val="a0"/>
        <w:numPr>
          <w:ilvl w:val="3"/>
          <w:numId w:val="180"/>
        </w:numPr>
        <w:snapToGrid w:val="0"/>
        <w:ind w:leftChars="0" w:left="993"/>
        <w:rPr>
          <w:rFonts w:ascii="Times New Roman" w:eastAsia="標楷體" w:hAnsi="Times New Roman"/>
          <w:sz w:val="28"/>
          <w:szCs w:val="28"/>
        </w:rPr>
      </w:pPr>
      <w:r w:rsidRPr="005E758A">
        <w:rPr>
          <w:rFonts w:ascii="Times New Roman" w:eastAsia="標楷體" w:hAnsi="Times New Roman"/>
          <w:sz w:val="28"/>
          <w:szCs w:val="28"/>
        </w:rPr>
        <w:t>遊戲：係指兒童本身所發起、控制或組織的任何行為或活動及過程。遊戲本身不具強迫性，為可在任何時間任何地點進行的自發行為，型態亦無強制，特徵為具趣味性、不確定性、具挑戰性、靈活性和非生產性等等。</w:t>
      </w:r>
      <w:r w:rsidRPr="005E758A">
        <w:rPr>
          <w:rFonts w:ascii="Times New Roman" w:hAnsi="Times New Roman"/>
        </w:rPr>
        <w:endnoteReference w:id="406"/>
      </w:r>
    </w:p>
    <w:p w14:paraId="10F6BDDF" w14:textId="77777777" w:rsidR="00CF6265" w:rsidRPr="005E758A" w:rsidRDefault="00CF6265" w:rsidP="00F02A5C">
      <w:pPr>
        <w:pStyle w:val="a0"/>
        <w:numPr>
          <w:ilvl w:val="3"/>
          <w:numId w:val="180"/>
        </w:numPr>
        <w:snapToGrid w:val="0"/>
        <w:ind w:leftChars="0" w:left="993"/>
        <w:rPr>
          <w:rFonts w:ascii="Times New Roman" w:eastAsia="標楷體" w:hAnsi="Times New Roman"/>
          <w:sz w:val="28"/>
          <w:szCs w:val="28"/>
        </w:rPr>
      </w:pPr>
      <w:r w:rsidRPr="005E758A">
        <w:rPr>
          <w:rFonts w:ascii="Times New Roman" w:eastAsia="標楷體" w:hAnsi="Times New Roman"/>
          <w:sz w:val="28"/>
          <w:szCs w:val="28"/>
        </w:rPr>
        <w:t>娛樂：指各種型式的活動，包括音樂、藝術、手工活動、社</w:t>
      </w:r>
      <w:r w:rsidRPr="005E758A">
        <w:rPr>
          <w:rFonts w:ascii="Times New Roman" w:eastAsia="標楷體" w:hAnsi="Times New Roman"/>
          <w:sz w:val="28"/>
          <w:szCs w:val="28"/>
        </w:rPr>
        <w:lastRenderedPageBreak/>
        <w:t>區活動、俱樂部、運動、遊戲、健行與露營或培養愛好等。娛樂應指兒童自願選擇參與及體驗之活動，或</w:t>
      </w:r>
      <w:proofErr w:type="gramStart"/>
      <w:r w:rsidRPr="005E758A">
        <w:rPr>
          <w:rFonts w:ascii="Times New Roman" w:eastAsia="標楷體" w:hAnsi="Times New Roman"/>
          <w:sz w:val="28"/>
          <w:szCs w:val="28"/>
        </w:rPr>
        <w:t>兒童得借由</w:t>
      </w:r>
      <w:proofErr w:type="gramEnd"/>
      <w:r w:rsidRPr="005E758A">
        <w:rPr>
          <w:rFonts w:ascii="Times New Roman" w:eastAsia="標楷體" w:hAnsi="Times New Roman"/>
          <w:sz w:val="28"/>
          <w:szCs w:val="28"/>
        </w:rPr>
        <w:t>這些活動而得到滿足感，或體會到現實中一些個人及社會的價值性。</w:t>
      </w:r>
      <w:r w:rsidRPr="005E758A">
        <w:rPr>
          <w:rStyle w:val="af3"/>
          <w:rFonts w:ascii="Times New Roman" w:eastAsia="標楷體" w:hAnsi="Times New Roman"/>
          <w:sz w:val="28"/>
          <w:szCs w:val="28"/>
        </w:rPr>
        <w:endnoteReference w:id="407"/>
      </w:r>
    </w:p>
    <w:p w14:paraId="64DECC5B" w14:textId="77777777" w:rsidR="00CF6265" w:rsidRPr="005E758A" w:rsidRDefault="00CF6265" w:rsidP="00F02A5C">
      <w:pPr>
        <w:pStyle w:val="4"/>
        <w:numPr>
          <w:ilvl w:val="2"/>
          <w:numId w:val="179"/>
        </w:numPr>
        <w:rPr>
          <w:szCs w:val="28"/>
        </w:rPr>
      </w:pPr>
      <w:r w:rsidRPr="005E758A">
        <w:rPr>
          <w:szCs w:val="28"/>
        </w:rPr>
        <w:t>與兒童年齡相宜：</w:t>
      </w:r>
    </w:p>
    <w:p w14:paraId="5252AFAD" w14:textId="77777777" w:rsidR="00CF6265" w:rsidRPr="005E758A" w:rsidRDefault="00CF6265" w:rsidP="00CF6265">
      <w:pPr>
        <w:pStyle w:val="a0"/>
        <w:snapToGrid w:val="0"/>
        <w:spacing w:before="100" w:beforeAutospacing="1" w:after="100" w:afterAutospacing="1"/>
        <w:ind w:leftChars="0" w:left="0" w:firstLineChars="200" w:firstLine="560"/>
        <w:jc w:val="both"/>
        <w:rPr>
          <w:rFonts w:ascii="Times New Roman" w:eastAsia="標楷體" w:hAnsi="Times New Roman"/>
          <w:sz w:val="28"/>
          <w:szCs w:val="28"/>
        </w:rPr>
      </w:pPr>
      <w:r w:rsidRPr="005E758A">
        <w:rPr>
          <w:rFonts w:ascii="Times New Roman" w:eastAsia="標楷體" w:hAnsi="Times New Roman"/>
          <w:sz w:val="28"/>
          <w:szCs w:val="28"/>
        </w:rPr>
        <w:t>第</w:t>
      </w:r>
      <w:r w:rsidRPr="005E758A">
        <w:rPr>
          <w:rFonts w:ascii="Times New Roman" w:eastAsia="標楷體" w:hAnsi="Times New Roman"/>
          <w:sz w:val="28"/>
          <w:szCs w:val="28"/>
        </w:rPr>
        <w:t>31</w:t>
      </w:r>
      <w:r w:rsidRPr="005E758A">
        <w:rPr>
          <w:rFonts w:ascii="Times New Roman" w:eastAsia="標楷體" w:hAnsi="Times New Roman"/>
          <w:sz w:val="28"/>
          <w:szCs w:val="28"/>
        </w:rPr>
        <w:t>條強調活動與兒童年齡相宜的重要性，就遊戲和娛樂而言，在提供時間、空間和環境時，成人應確保安全問題，亦須考慮兒童的年齡，隨著兒童年齡的變化，兒童的</w:t>
      </w:r>
      <w:proofErr w:type="gramStart"/>
      <w:r w:rsidRPr="005E758A">
        <w:rPr>
          <w:rFonts w:ascii="Times New Roman" w:eastAsia="標楷體" w:hAnsi="Times New Roman"/>
          <w:sz w:val="28"/>
          <w:szCs w:val="28"/>
        </w:rPr>
        <w:t>所需會循序漸進</w:t>
      </w:r>
      <w:proofErr w:type="gramEnd"/>
      <w:r w:rsidRPr="005E758A">
        <w:rPr>
          <w:rFonts w:ascii="Times New Roman" w:eastAsia="標楷體" w:hAnsi="Times New Roman"/>
          <w:sz w:val="28"/>
          <w:szCs w:val="28"/>
        </w:rPr>
        <w:t>，從提供遊戲機會的場所到提供社交性的遊戲機會，和</w:t>
      </w:r>
      <w:proofErr w:type="gramStart"/>
      <w:r w:rsidRPr="005E758A">
        <w:rPr>
          <w:rFonts w:ascii="Times New Roman" w:eastAsia="標楷體" w:hAnsi="Times New Roman"/>
          <w:sz w:val="28"/>
          <w:szCs w:val="28"/>
        </w:rPr>
        <w:t>同儕享處或</w:t>
      </w:r>
      <w:proofErr w:type="gramEnd"/>
      <w:r w:rsidRPr="005E758A">
        <w:rPr>
          <w:rFonts w:ascii="Times New Roman" w:eastAsia="標楷體" w:hAnsi="Times New Roman"/>
          <w:sz w:val="28"/>
          <w:szCs w:val="28"/>
        </w:rPr>
        <w:t>獨處。兒童會逐漸探索更多需要承擔風險和應對挑戰的機會，這些體驗會有利於他們找到認同及歸屬感。</w:t>
      </w:r>
      <w:r w:rsidRPr="005E758A">
        <w:rPr>
          <w:rStyle w:val="af3"/>
          <w:rFonts w:ascii="Times New Roman" w:eastAsia="標楷體" w:hAnsi="Times New Roman"/>
          <w:sz w:val="28"/>
          <w:szCs w:val="28"/>
        </w:rPr>
        <w:endnoteReference w:id="408"/>
      </w:r>
    </w:p>
    <w:p w14:paraId="492A59E9" w14:textId="77777777" w:rsidR="00CF6265" w:rsidRPr="005E758A" w:rsidRDefault="00CF6265" w:rsidP="00F02A5C">
      <w:pPr>
        <w:pStyle w:val="4"/>
        <w:numPr>
          <w:ilvl w:val="2"/>
          <w:numId w:val="179"/>
        </w:numPr>
      </w:pPr>
      <w:r w:rsidRPr="005E758A">
        <w:t>文化生活和藝術活動</w:t>
      </w:r>
    </w:p>
    <w:p w14:paraId="78C82638" w14:textId="77777777" w:rsidR="00CF6265" w:rsidRPr="005E758A" w:rsidRDefault="00CF6265" w:rsidP="00CF6265">
      <w:pPr>
        <w:pStyle w:val="a0"/>
        <w:snapToGrid w:val="0"/>
        <w:spacing w:before="100" w:beforeAutospacing="1" w:after="100" w:afterAutospacing="1"/>
        <w:ind w:leftChars="0" w:left="0" w:firstLineChars="200" w:firstLine="560"/>
        <w:jc w:val="both"/>
        <w:rPr>
          <w:rFonts w:ascii="Times New Roman" w:eastAsia="標楷體" w:hAnsi="Times New Roman"/>
          <w:sz w:val="28"/>
          <w:szCs w:val="28"/>
        </w:rPr>
      </w:pPr>
      <w:r w:rsidRPr="005E758A">
        <w:rPr>
          <w:rFonts w:ascii="Times New Roman" w:eastAsia="標楷體" w:hAnsi="Times New Roman"/>
          <w:sz w:val="28"/>
          <w:szCs w:val="28"/>
        </w:rPr>
        <w:t>兒童可透過文化和藝術來展現其個人身分特質並對其自我存在賦予意義，並藉此方式影響其外在生活，建立其世界觀。文化和藝術的表現形式可在家庭、學校、街頭和公共場所進行，更可透過如舞蹈、文學、音樂、電影、戲劇、慶祝活動等方式表現。</w:t>
      </w:r>
      <w:r w:rsidRPr="005E758A">
        <w:rPr>
          <w:rStyle w:val="af3"/>
          <w:rFonts w:ascii="Times New Roman" w:eastAsia="標楷體" w:hAnsi="Times New Roman"/>
          <w:sz w:val="28"/>
          <w:szCs w:val="28"/>
        </w:rPr>
        <w:endnoteReference w:id="409"/>
      </w:r>
    </w:p>
    <w:p w14:paraId="316F25BC" w14:textId="77777777" w:rsidR="00CF6265" w:rsidRPr="005E758A" w:rsidRDefault="00CF6265" w:rsidP="00F02A5C">
      <w:pPr>
        <w:pStyle w:val="4"/>
        <w:numPr>
          <w:ilvl w:val="2"/>
          <w:numId w:val="179"/>
        </w:numPr>
        <w:rPr>
          <w:szCs w:val="28"/>
        </w:rPr>
      </w:pPr>
      <w:r w:rsidRPr="005E758A">
        <w:rPr>
          <w:szCs w:val="28"/>
        </w:rPr>
        <w:t>自由參加</w:t>
      </w:r>
    </w:p>
    <w:p w14:paraId="10076CA6" w14:textId="77777777" w:rsidR="00CF6265" w:rsidRPr="005E758A" w:rsidRDefault="00CF6265" w:rsidP="00CF6265">
      <w:pPr>
        <w:pStyle w:val="a0"/>
        <w:snapToGrid w:val="0"/>
        <w:spacing w:before="100" w:beforeAutospacing="1" w:after="100" w:afterAutospacing="1"/>
        <w:ind w:leftChars="0" w:left="0" w:firstLineChars="200" w:firstLine="560"/>
        <w:jc w:val="both"/>
        <w:rPr>
          <w:rFonts w:ascii="Times New Roman" w:eastAsia="標楷體" w:hAnsi="Times New Roman"/>
          <w:sz w:val="28"/>
          <w:szCs w:val="28"/>
        </w:rPr>
      </w:pPr>
      <w:r w:rsidRPr="005E758A">
        <w:rPr>
          <w:rFonts w:ascii="Times New Roman" w:eastAsia="標楷體" w:hAnsi="Times New Roman"/>
          <w:sz w:val="28"/>
          <w:szCs w:val="28"/>
        </w:rPr>
        <w:t>國家應基於保護兒童及促進其最佳利益的前提下，應尊重兒童選擇和參與文化生活和藝術活動的權利，並不得限制其自由，同時更應確保他人不得限制該項權利。</w:t>
      </w:r>
      <w:r w:rsidRPr="005E758A">
        <w:rPr>
          <w:rStyle w:val="af3"/>
          <w:rFonts w:ascii="Times New Roman" w:eastAsia="標楷體" w:hAnsi="Times New Roman"/>
          <w:sz w:val="28"/>
          <w:szCs w:val="28"/>
        </w:rPr>
        <w:endnoteReference w:id="410"/>
      </w:r>
    </w:p>
    <w:p w14:paraId="07DFDD7F" w14:textId="77777777" w:rsidR="00CF6265" w:rsidRPr="005E758A" w:rsidRDefault="00CF6265" w:rsidP="00CF6265">
      <w:pPr>
        <w:pStyle w:val="3"/>
      </w:pPr>
      <w:r w:rsidRPr="005E758A">
        <w:t>第</w:t>
      </w:r>
      <w:r w:rsidRPr="005E758A">
        <w:t>31</w:t>
      </w:r>
      <w:r w:rsidRPr="005E758A">
        <w:t>條第</w:t>
      </w:r>
      <w:r w:rsidRPr="005E758A">
        <w:t>2</w:t>
      </w:r>
      <w:r w:rsidRPr="005E758A">
        <w:t>項</w:t>
      </w:r>
    </w:p>
    <w:p w14:paraId="324105AA" w14:textId="77777777" w:rsidR="00CF6265" w:rsidRPr="005E758A" w:rsidRDefault="00CF6265" w:rsidP="00CF6265">
      <w:pPr>
        <w:pStyle w:val="a0"/>
        <w:snapToGrid w:val="0"/>
        <w:spacing w:before="100" w:beforeAutospacing="1" w:after="100" w:afterAutospacing="1"/>
        <w:ind w:leftChars="0" w:left="0" w:firstLineChars="200" w:firstLine="560"/>
        <w:jc w:val="both"/>
        <w:rPr>
          <w:rFonts w:ascii="Times New Roman" w:eastAsia="標楷體" w:hAnsi="Times New Roman"/>
          <w:sz w:val="28"/>
          <w:szCs w:val="28"/>
        </w:rPr>
      </w:pPr>
      <w:r w:rsidRPr="005E758A">
        <w:rPr>
          <w:rFonts w:ascii="Times New Roman" w:eastAsia="標楷體" w:hAnsi="Times New Roman"/>
          <w:sz w:val="28"/>
          <w:szCs w:val="28"/>
        </w:rPr>
        <w:t>充分參與文化和藝術生活：國家尊重及促進兒童充分參加文化和藝術生活的權利時，應注意以下三種方式，以相輔相成：</w:t>
      </w:r>
    </w:p>
    <w:p w14:paraId="03830AE7" w14:textId="77777777" w:rsidR="00CF6265" w:rsidRPr="005E758A" w:rsidRDefault="00CF6265" w:rsidP="00F02A5C">
      <w:pPr>
        <w:pStyle w:val="a0"/>
        <w:numPr>
          <w:ilvl w:val="3"/>
          <w:numId w:val="180"/>
        </w:numPr>
        <w:snapToGrid w:val="0"/>
        <w:ind w:leftChars="0" w:left="993"/>
        <w:rPr>
          <w:rFonts w:ascii="Times New Roman" w:eastAsia="標楷體" w:hAnsi="Times New Roman"/>
          <w:sz w:val="28"/>
          <w:szCs w:val="28"/>
        </w:rPr>
      </w:pPr>
      <w:r w:rsidRPr="005E758A">
        <w:rPr>
          <w:rFonts w:ascii="Times New Roman" w:eastAsia="標楷體" w:hAnsi="Times New Roman"/>
          <w:sz w:val="28"/>
          <w:szCs w:val="28"/>
        </w:rPr>
        <w:t>接觸管道：即提供兒童得以體驗文化和藝術生活的機會，並使其學習各式各樣的表達方式的機會。</w:t>
      </w:r>
    </w:p>
    <w:p w14:paraId="5545DF9D" w14:textId="77777777" w:rsidR="00CF6265" w:rsidRPr="005E758A" w:rsidRDefault="00CF6265" w:rsidP="00F02A5C">
      <w:pPr>
        <w:pStyle w:val="a0"/>
        <w:numPr>
          <w:ilvl w:val="3"/>
          <w:numId w:val="180"/>
        </w:numPr>
        <w:snapToGrid w:val="0"/>
        <w:ind w:leftChars="0" w:left="993"/>
        <w:rPr>
          <w:rFonts w:ascii="Times New Roman" w:eastAsia="標楷體" w:hAnsi="Times New Roman"/>
          <w:sz w:val="28"/>
          <w:szCs w:val="28"/>
        </w:rPr>
      </w:pPr>
      <w:r w:rsidRPr="005E758A">
        <w:rPr>
          <w:rFonts w:ascii="Times New Roman" w:eastAsia="標楷體" w:hAnsi="Times New Roman"/>
          <w:sz w:val="28"/>
          <w:szCs w:val="28"/>
        </w:rPr>
        <w:t>確保兒童的參與：保障兒童能確實的參與文化及藝術生活的機會，並能使兒童有以個人或團體的形式，自由的表達其自我、溝通、表現和參加創造性的活動，從而促進其人格發展。</w:t>
      </w:r>
    </w:p>
    <w:p w14:paraId="74A05D81" w14:textId="77777777" w:rsidR="00CF6265" w:rsidRPr="005E758A" w:rsidRDefault="00CF6265" w:rsidP="00F02A5C">
      <w:pPr>
        <w:pStyle w:val="a0"/>
        <w:numPr>
          <w:ilvl w:val="3"/>
          <w:numId w:val="180"/>
        </w:numPr>
        <w:snapToGrid w:val="0"/>
        <w:ind w:leftChars="0" w:left="993"/>
        <w:rPr>
          <w:rFonts w:ascii="Times New Roman" w:eastAsia="標楷體" w:hAnsi="Times New Roman"/>
          <w:sz w:val="28"/>
          <w:szCs w:val="28"/>
        </w:rPr>
      </w:pPr>
      <w:r w:rsidRPr="005E758A">
        <w:rPr>
          <w:rFonts w:ascii="Times New Roman" w:eastAsia="標楷體" w:hAnsi="Times New Roman"/>
          <w:sz w:val="28"/>
          <w:szCs w:val="28"/>
        </w:rPr>
        <w:t>對文化生活的貢獻：兒童有權利對文化與藝術之精神、物質與情感的表達做出貢獻，從而推動其所屬的社會的發展與轉</w:t>
      </w:r>
      <w:r w:rsidRPr="005E758A">
        <w:rPr>
          <w:rFonts w:ascii="Times New Roman" w:eastAsia="標楷體" w:hAnsi="Times New Roman"/>
          <w:sz w:val="28"/>
          <w:szCs w:val="28"/>
        </w:rPr>
        <w:lastRenderedPageBreak/>
        <w:t>型。</w:t>
      </w:r>
    </w:p>
    <w:p w14:paraId="4730050A" w14:textId="77777777" w:rsidR="00CF6265" w:rsidRPr="005E758A" w:rsidRDefault="00CF6265" w:rsidP="00F02A5C">
      <w:pPr>
        <w:pStyle w:val="a0"/>
        <w:numPr>
          <w:ilvl w:val="3"/>
          <w:numId w:val="180"/>
        </w:numPr>
        <w:snapToGrid w:val="0"/>
        <w:ind w:leftChars="0" w:left="993"/>
        <w:rPr>
          <w:rFonts w:ascii="Times New Roman" w:eastAsia="標楷體" w:hAnsi="Times New Roman"/>
          <w:sz w:val="28"/>
          <w:szCs w:val="28"/>
        </w:rPr>
      </w:pPr>
      <w:r w:rsidRPr="005E758A">
        <w:rPr>
          <w:rFonts w:ascii="Times New Roman" w:eastAsia="標楷體" w:hAnsi="Times New Roman"/>
          <w:sz w:val="28"/>
          <w:szCs w:val="28"/>
        </w:rPr>
        <w:t>鼓勵提供適當的機會：雖然規範中，具體列舉出應鼓勵並提供適當之文化、藝術、娛樂和休閒活動，但根據公約第</w:t>
      </w:r>
      <w:r w:rsidRPr="005E758A">
        <w:rPr>
          <w:rFonts w:ascii="Times New Roman" w:eastAsia="標楷體" w:hAnsi="Times New Roman"/>
          <w:sz w:val="28"/>
          <w:szCs w:val="28"/>
        </w:rPr>
        <w:t>4</w:t>
      </w:r>
      <w:r w:rsidRPr="005E758A">
        <w:rPr>
          <w:rFonts w:ascii="Times New Roman" w:eastAsia="標楷體" w:hAnsi="Times New Roman"/>
          <w:sz w:val="28"/>
          <w:szCs w:val="28"/>
        </w:rPr>
        <w:t>條對此條做出的解釋，也同樣納入了遊戲權。締約國應在必要性及適當性的先決條件下，確保兒童的參與，以促進和增加實現這項權利的機會。只有在必要的立法、政策、預算、環境和服務的框架下，兒童才能實現其權利。</w:t>
      </w:r>
    </w:p>
    <w:p w14:paraId="183E2F1F" w14:textId="77777777" w:rsidR="00CF6265" w:rsidRPr="005E758A" w:rsidRDefault="00CF6265" w:rsidP="00F02A5C">
      <w:pPr>
        <w:pStyle w:val="a0"/>
        <w:numPr>
          <w:ilvl w:val="3"/>
          <w:numId w:val="180"/>
        </w:numPr>
        <w:snapToGrid w:val="0"/>
        <w:ind w:leftChars="0" w:left="993"/>
        <w:rPr>
          <w:rFonts w:ascii="Times New Roman" w:eastAsia="標楷體" w:hAnsi="Times New Roman"/>
          <w:sz w:val="28"/>
          <w:szCs w:val="28"/>
        </w:rPr>
      </w:pPr>
      <w:r w:rsidRPr="005E758A">
        <w:rPr>
          <w:rFonts w:ascii="Times New Roman" w:eastAsia="標楷體" w:hAnsi="Times New Roman"/>
          <w:sz w:val="28"/>
          <w:szCs w:val="28"/>
        </w:rPr>
        <w:t>平等機會：在第</w:t>
      </w:r>
      <w:r w:rsidRPr="005E758A">
        <w:rPr>
          <w:rFonts w:ascii="Times New Roman" w:eastAsia="標楷體" w:hAnsi="Times New Roman"/>
          <w:sz w:val="28"/>
          <w:szCs w:val="28"/>
        </w:rPr>
        <w:t>31</w:t>
      </w:r>
      <w:r w:rsidRPr="005E758A">
        <w:rPr>
          <w:rFonts w:ascii="Times New Roman" w:eastAsia="標楷體" w:hAnsi="Times New Roman"/>
          <w:sz w:val="28"/>
          <w:szCs w:val="28"/>
        </w:rPr>
        <w:t>條之規範下，每</w:t>
      </w:r>
      <w:proofErr w:type="gramStart"/>
      <w:r w:rsidRPr="005E758A">
        <w:rPr>
          <w:rFonts w:ascii="Times New Roman" w:eastAsia="標楷體" w:hAnsi="Times New Roman"/>
          <w:sz w:val="28"/>
          <w:szCs w:val="28"/>
        </w:rPr>
        <w:t>個</w:t>
      </w:r>
      <w:proofErr w:type="gramEnd"/>
      <w:r w:rsidRPr="005E758A">
        <w:rPr>
          <w:rFonts w:ascii="Times New Roman" w:eastAsia="標楷體" w:hAnsi="Times New Roman"/>
          <w:sz w:val="28"/>
          <w:szCs w:val="28"/>
        </w:rPr>
        <w:t>兒童都應該享有其均等的權利，不應有種族、性別、大小等的分別。</w:t>
      </w:r>
    </w:p>
    <w:p w14:paraId="24A26D9D" w14:textId="77777777" w:rsidR="00CF6265" w:rsidRPr="005E758A" w:rsidRDefault="00CF6265" w:rsidP="00CF6265">
      <w:pPr>
        <w:pStyle w:val="2"/>
      </w:pPr>
      <w:r w:rsidRPr="005E758A">
        <w:t>案例介紹</w:t>
      </w:r>
    </w:p>
    <w:p w14:paraId="0653E01A" w14:textId="77777777" w:rsidR="00CF6265" w:rsidRPr="005E758A" w:rsidRDefault="00CF6265" w:rsidP="00F02A5C">
      <w:pPr>
        <w:pStyle w:val="3"/>
        <w:numPr>
          <w:ilvl w:val="0"/>
          <w:numId w:val="181"/>
        </w:numPr>
      </w:pPr>
      <w:r w:rsidRPr="005E758A">
        <w:t>尼加拉瓜原住民社區兒童爭取遊戲權案</w:t>
      </w:r>
      <w:r w:rsidRPr="005E758A">
        <w:rPr>
          <w:rStyle w:val="af3"/>
          <w:szCs w:val="28"/>
        </w:rPr>
        <w:endnoteReference w:id="411"/>
      </w:r>
    </w:p>
    <w:p w14:paraId="5AC90489" w14:textId="77777777" w:rsidR="00CF6265" w:rsidRPr="005E758A" w:rsidRDefault="00CF6265" w:rsidP="00CF6265">
      <w:pPr>
        <w:pStyle w:val="a0"/>
        <w:snapToGrid w:val="0"/>
        <w:spacing w:before="100" w:beforeAutospacing="1" w:after="100" w:afterAutospacing="1"/>
        <w:ind w:leftChars="0" w:left="0" w:firstLineChars="200" w:firstLine="560"/>
        <w:jc w:val="both"/>
        <w:rPr>
          <w:rFonts w:ascii="Times New Roman" w:eastAsia="標楷體" w:hAnsi="Times New Roman"/>
          <w:sz w:val="28"/>
          <w:szCs w:val="28"/>
        </w:rPr>
      </w:pPr>
      <w:r w:rsidRPr="005E758A">
        <w:rPr>
          <w:rFonts w:ascii="Times New Roman" w:eastAsia="標楷體" w:hAnsi="Times New Roman"/>
          <w:sz w:val="28"/>
          <w:szCs w:val="28"/>
        </w:rPr>
        <w:t>北尼加拉瓜</w:t>
      </w:r>
      <w:proofErr w:type="spellStart"/>
      <w:r w:rsidRPr="005E758A">
        <w:rPr>
          <w:rFonts w:ascii="Times New Roman" w:eastAsia="標楷體" w:hAnsi="Times New Roman"/>
          <w:sz w:val="28"/>
          <w:szCs w:val="28"/>
        </w:rPr>
        <w:t>Samulalí</w:t>
      </w:r>
      <w:proofErr w:type="spellEnd"/>
      <w:r w:rsidRPr="005E758A">
        <w:rPr>
          <w:rFonts w:ascii="Times New Roman" w:eastAsia="標楷體" w:hAnsi="Times New Roman"/>
          <w:sz w:val="28"/>
          <w:szCs w:val="28"/>
        </w:rPr>
        <w:t>是個豐饒且多產的區域，但這個國家備受折磨的歷史、脆弱的基礎建設，以及大量的天然災害都再再的阻撓鄉村人民脫貧。極度的貧窮和對咖啡生產的過度依賴，意味著年僅六、七歲的兒童都必須投入工作之中，有時是在咖啡園內、有時是一個小農地，有時是在家裡，有時甚至是三者皆具。</w:t>
      </w:r>
    </w:p>
    <w:p w14:paraId="6CBFD35C" w14:textId="77777777" w:rsidR="00CF6265" w:rsidRPr="005E758A" w:rsidRDefault="00CF6265" w:rsidP="00CF6265">
      <w:pPr>
        <w:pStyle w:val="a0"/>
        <w:snapToGrid w:val="0"/>
        <w:spacing w:before="100" w:beforeAutospacing="1" w:after="100" w:afterAutospacing="1"/>
        <w:ind w:leftChars="0" w:left="0" w:firstLineChars="200" w:firstLine="560"/>
        <w:jc w:val="both"/>
        <w:rPr>
          <w:rFonts w:ascii="Times New Roman" w:eastAsia="標楷體" w:hAnsi="Times New Roman"/>
          <w:sz w:val="28"/>
          <w:szCs w:val="28"/>
        </w:rPr>
      </w:pPr>
      <w:r w:rsidRPr="005E758A">
        <w:rPr>
          <w:rFonts w:ascii="Times New Roman" w:eastAsia="標楷體" w:hAnsi="Times New Roman"/>
          <w:sz w:val="28"/>
          <w:szCs w:val="28"/>
        </w:rPr>
        <w:t>儘管大多數的兒童會上學，但在尼加拉瓜，幾乎所有人都很快的輟學，有些甚至還沒有機會去上學。他們的父母期望他們能從年幼時就開始幫助支持家庭經濟，這使他們很少能參與高等教育以及擁有生活轉機的機會。同樣的，這也讓他們很難有機會參與遊戲。</w:t>
      </w:r>
      <w:proofErr w:type="spellStart"/>
      <w:r w:rsidRPr="005E758A">
        <w:rPr>
          <w:rFonts w:ascii="Times New Roman" w:eastAsia="標楷體" w:hAnsi="Times New Roman"/>
          <w:sz w:val="28"/>
          <w:szCs w:val="28"/>
        </w:rPr>
        <w:t>Samulalí</w:t>
      </w:r>
      <w:proofErr w:type="spellEnd"/>
      <w:r w:rsidRPr="005E758A">
        <w:rPr>
          <w:rFonts w:ascii="Times New Roman" w:eastAsia="標楷體" w:hAnsi="Times New Roman"/>
          <w:sz w:val="28"/>
          <w:szCs w:val="28"/>
        </w:rPr>
        <w:t>是個原住民社區，這裡的居民都是馬塔加爾帕部落的後裔，他們居住在這裡已幾千年。</w:t>
      </w:r>
      <w:r w:rsidRPr="005E758A">
        <w:rPr>
          <w:rFonts w:ascii="Times New Roman" w:eastAsia="標楷體" w:hAnsi="Times New Roman"/>
          <w:sz w:val="28"/>
          <w:szCs w:val="28"/>
        </w:rPr>
        <w:t>2011</w:t>
      </w:r>
      <w:r w:rsidRPr="005E758A">
        <w:rPr>
          <w:rFonts w:ascii="Times New Roman" w:eastAsia="標楷體" w:hAnsi="Times New Roman"/>
          <w:sz w:val="28"/>
          <w:szCs w:val="28"/>
        </w:rPr>
        <w:t>年</w:t>
      </w:r>
      <w:r w:rsidRPr="005E758A">
        <w:rPr>
          <w:rFonts w:ascii="Times New Roman" w:eastAsia="標楷體" w:hAnsi="Times New Roman"/>
          <w:sz w:val="28"/>
          <w:szCs w:val="28"/>
        </w:rPr>
        <w:t>2</w:t>
      </w:r>
      <w:r w:rsidRPr="005E758A">
        <w:rPr>
          <w:rFonts w:ascii="Times New Roman" w:eastAsia="標楷體" w:hAnsi="Times New Roman"/>
          <w:sz w:val="28"/>
          <w:szCs w:val="28"/>
        </w:rPr>
        <w:t>月，</w:t>
      </w:r>
      <w:r w:rsidRPr="005E758A">
        <w:rPr>
          <w:rFonts w:ascii="Times New Roman" w:eastAsia="標楷體" w:hAnsi="Times New Roman"/>
          <w:sz w:val="28"/>
          <w:szCs w:val="28"/>
        </w:rPr>
        <w:t>14</w:t>
      </w:r>
      <w:r w:rsidRPr="005E758A">
        <w:rPr>
          <w:rFonts w:ascii="Times New Roman" w:eastAsia="標楷體" w:hAnsi="Times New Roman"/>
          <w:sz w:val="28"/>
          <w:szCs w:val="28"/>
        </w:rPr>
        <w:t>歲女童</w:t>
      </w:r>
      <w:proofErr w:type="spellStart"/>
      <w:r w:rsidRPr="005E758A">
        <w:rPr>
          <w:rFonts w:ascii="Times New Roman" w:eastAsia="標楷體" w:hAnsi="Times New Roman"/>
          <w:sz w:val="28"/>
          <w:szCs w:val="28"/>
        </w:rPr>
        <w:t>Yenderling</w:t>
      </w:r>
      <w:proofErr w:type="spellEnd"/>
      <w:r w:rsidRPr="005E758A">
        <w:rPr>
          <w:rFonts w:ascii="Times New Roman" w:eastAsia="標楷體" w:hAnsi="Times New Roman"/>
          <w:sz w:val="28"/>
          <w:szCs w:val="28"/>
        </w:rPr>
        <w:t xml:space="preserve"> </w:t>
      </w:r>
      <w:r w:rsidRPr="005E758A">
        <w:rPr>
          <w:rFonts w:ascii="Times New Roman" w:eastAsia="標楷體" w:hAnsi="Times New Roman"/>
          <w:sz w:val="28"/>
          <w:szCs w:val="28"/>
          <w:shd w:val="clear" w:color="auto" w:fill="FFFFFF"/>
        </w:rPr>
        <w:t xml:space="preserve">González </w:t>
      </w:r>
      <w:r w:rsidRPr="005E758A">
        <w:rPr>
          <w:rFonts w:ascii="Times New Roman" w:eastAsia="標楷體" w:hAnsi="Times New Roman"/>
          <w:sz w:val="28"/>
          <w:szCs w:val="28"/>
        </w:rPr>
        <w:t>向當地的非政府組織</w:t>
      </w:r>
      <w:r w:rsidRPr="005E758A">
        <w:rPr>
          <w:rFonts w:ascii="Times New Roman" w:eastAsia="標楷體" w:hAnsi="Times New Roman"/>
          <w:sz w:val="28"/>
          <w:szCs w:val="28"/>
        </w:rPr>
        <w:t xml:space="preserve"> CESESMA</w:t>
      </w:r>
      <w:r w:rsidRPr="005E758A">
        <w:rPr>
          <w:rFonts w:ascii="Times New Roman" w:eastAsia="標楷體" w:hAnsi="Times New Roman"/>
          <w:sz w:val="28"/>
          <w:szCs w:val="28"/>
        </w:rPr>
        <w:t>敘述她的故事。她表示阻止她和小朋友們遊玩的是社區裡的大人。他們總是說：『妳必須先做完妳的工作。』或『照顧小的兄弟姊妹是妳的工作』；同時，還有很多農</w:t>
      </w:r>
      <w:proofErr w:type="gramStart"/>
      <w:r w:rsidRPr="005E758A">
        <w:rPr>
          <w:rFonts w:ascii="Times New Roman" w:eastAsia="標楷體" w:hAnsi="Times New Roman"/>
          <w:sz w:val="28"/>
          <w:szCs w:val="28"/>
        </w:rPr>
        <w:t>務</w:t>
      </w:r>
      <w:proofErr w:type="gramEnd"/>
      <w:r w:rsidRPr="005E758A">
        <w:rPr>
          <w:rFonts w:ascii="Times New Roman" w:eastAsia="標楷體" w:hAnsi="Times New Roman"/>
          <w:sz w:val="28"/>
          <w:szCs w:val="28"/>
        </w:rPr>
        <w:t>及咖啡種植的工作，當他們回到家時已經累壞了，根本沒機會去玩耍。</w:t>
      </w:r>
    </w:p>
    <w:p w14:paraId="161C573A" w14:textId="77777777" w:rsidR="00CF6265" w:rsidRPr="005E758A" w:rsidRDefault="00CF6265" w:rsidP="00CF6265">
      <w:pPr>
        <w:pStyle w:val="a0"/>
        <w:snapToGrid w:val="0"/>
        <w:spacing w:before="100" w:beforeAutospacing="1" w:after="100" w:afterAutospacing="1"/>
        <w:ind w:leftChars="0" w:left="0" w:firstLineChars="200" w:firstLine="560"/>
        <w:jc w:val="both"/>
        <w:rPr>
          <w:rFonts w:ascii="Times New Roman" w:eastAsia="標楷體" w:hAnsi="Times New Roman"/>
          <w:sz w:val="28"/>
          <w:szCs w:val="28"/>
        </w:rPr>
      </w:pPr>
      <w:r w:rsidRPr="005E758A">
        <w:rPr>
          <w:rFonts w:ascii="Times New Roman" w:eastAsia="標楷體" w:hAnsi="Times New Roman"/>
          <w:sz w:val="28"/>
          <w:szCs w:val="28"/>
        </w:rPr>
        <w:t>在</w:t>
      </w:r>
      <w:r w:rsidRPr="005E758A">
        <w:rPr>
          <w:rFonts w:ascii="Times New Roman" w:eastAsia="標楷體" w:hAnsi="Times New Roman"/>
          <w:sz w:val="28"/>
          <w:szCs w:val="28"/>
        </w:rPr>
        <w:t>CESESMA</w:t>
      </w:r>
      <w:r w:rsidRPr="005E758A">
        <w:rPr>
          <w:rFonts w:ascii="Times New Roman" w:eastAsia="標楷體" w:hAnsi="Times New Roman"/>
          <w:sz w:val="28"/>
          <w:szCs w:val="28"/>
        </w:rPr>
        <w:t>的協助下，</w:t>
      </w:r>
      <w:proofErr w:type="spellStart"/>
      <w:r w:rsidRPr="005E758A">
        <w:rPr>
          <w:rFonts w:ascii="Times New Roman" w:eastAsia="標楷體" w:hAnsi="Times New Roman"/>
          <w:sz w:val="28"/>
          <w:szCs w:val="28"/>
        </w:rPr>
        <w:t>Yenderling</w:t>
      </w:r>
      <w:proofErr w:type="spellEnd"/>
      <w:r w:rsidRPr="005E758A">
        <w:rPr>
          <w:rFonts w:ascii="Times New Roman" w:eastAsia="標楷體" w:hAnsi="Times New Roman"/>
          <w:sz w:val="28"/>
          <w:szCs w:val="28"/>
        </w:rPr>
        <w:t>因此組成了一個研究小組。她的研究小組在</w:t>
      </w:r>
      <w:proofErr w:type="spellStart"/>
      <w:r w:rsidRPr="005E758A">
        <w:rPr>
          <w:rFonts w:ascii="Times New Roman" w:eastAsia="標楷體" w:hAnsi="Times New Roman"/>
          <w:sz w:val="28"/>
          <w:szCs w:val="28"/>
        </w:rPr>
        <w:t>Samulalí</w:t>
      </w:r>
      <w:proofErr w:type="spellEnd"/>
      <w:r w:rsidRPr="005E758A">
        <w:rPr>
          <w:rFonts w:ascii="Times New Roman" w:eastAsia="標楷體" w:hAnsi="Times New Roman"/>
          <w:sz w:val="28"/>
          <w:szCs w:val="28"/>
        </w:rPr>
        <w:t>的社區集會上第一次發表了他們的研究成果，建議：</w:t>
      </w:r>
    </w:p>
    <w:p w14:paraId="584B07A3" w14:textId="77777777" w:rsidR="00CF6265" w:rsidRPr="005E758A" w:rsidRDefault="00CF6265" w:rsidP="00F02A5C">
      <w:pPr>
        <w:pStyle w:val="a0"/>
        <w:numPr>
          <w:ilvl w:val="3"/>
          <w:numId w:val="180"/>
        </w:numPr>
        <w:snapToGrid w:val="0"/>
        <w:ind w:leftChars="0" w:left="993"/>
        <w:rPr>
          <w:rFonts w:ascii="Times New Roman" w:eastAsia="標楷體" w:hAnsi="Times New Roman"/>
          <w:sz w:val="28"/>
          <w:szCs w:val="28"/>
        </w:rPr>
      </w:pPr>
      <w:r w:rsidRPr="005E758A">
        <w:rPr>
          <w:rFonts w:ascii="Times New Roman" w:eastAsia="標楷體" w:hAnsi="Times New Roman"/>
          <w:sz w:val="28"/>
          <w:szCs w:val="28"/>
        </w:rPr>
        <w:t>捍衛遊戲權，希望所有的兒童，包括女童和男童，都能夠享有遊戲自由；</w:t>
      </w:r>
    </w:p>
    <w:p w14:paraId="5170E190" w14:textId="77777777" w:rsidR="00CF6265" w:rsidRPr="005E758A" w:rsidRDefault="00CF6265" w:rsidP="00F02A5C">
      <w:pPr>
        <w:pStyle w:val="a0"/>
        <w:numPr>
          <w:ilvl w:val="3"/>
          <w:numId w:val="180"/>
        </w:numPr>
        <w:snapToGrid w:val="0"/>
        <w:ind w:leftChars="0" w:left="993"/>
        <w:rPr>
          <w:rFonts w:ascii="Times New Roman" w:eastAsia="標楷體" w:hAnsi="Times New Roman"/>
          <w:sz w:val="28"/>
          <w:szCs w:val="28"/>
        </w:rPr>
      </w:pPr>
      <w:r w:rsidRPr="005E758A">
        <w:rPr>
          <w:rFonts w:ascii="Times New Roman" w:eastAsia="標楷體" w:hAnsi="Times New Roman"/>
          <w:sz w:val="28"/>
          <w:szCs w:val="28"/>
        </w:rPr>
        <w:t>應該有更多對兒童遊戲的研究主題；</w:t>
      </w:r>
    </w:p>
    <w:p w14:paraId="728A39FC" w14:textId="77777777" w:rsidR="00CF6265" w:rsidRPr="005E758A" w:rsidRDefault="00CF6265" w:rsidP="00F02A5C">
      <w:pPr>
        <w:pStyle w:val="a0"/>
        <w:numPr>
          <w:ilvl w:val="3"/>
          <w:numId w:val="180"/>
        </w:numPr>
        <w:snapToGrid w:val="0"/>
        <w:ind w:leftChars="0" w:left="993"/>
        <w:rPr>
          <w:rFonts w:ascii="Times New Roman" w:eastAsia="標楷體" w:hAnsi="Times New Roman"/>
          <w:sz w:val="28"/>
          <w:szCs w:val="28"/>
        </w:rPr>
      </w:pPr>
      <w:r w:rsidRPr="005E758A">
        <w:rPr>
          <w:rFonts w:ascii="Times New Roman" w:eastAsia="標楷體" w:hAnsi="Times New Roman"/>
          <w:sz w:val="28"/>
          <w:szCs w:val="28"/>
        </w:rPr>
        <w:t>父母應尊重兒童的遊戲權；及</w:t>
      </w:r>
    </w:p>
    <w:p w14:paraId="3BDF6F3C" w14:textId="77777777" w:rsidR="00CF6265" w:rsidRPr="005E758A" w:rsidRDefault="00CF6265" w:rsidP="00F02A5C">
      <w:pPr>
        <w:pStyle w:val="a0"/>
        <w:numPr>
          <w:ilvl w:val="3"/>
          <w:numId w:val="180"/>
        </w:numPr>
        <w:snapToGrid w:val="0"/>
        <w:ind w:leftChars="0" w:left="993"/>
        <w:rPr>
          <w:rFonts w:ascii="Times New Roman" w:eastAsia="標楷體" w:hAnsi="Times New Roman"/>
          <w:sz w:val="28"/>
          <w:szCs w:val="28"/>
        </w:rPr>
      </w:pPr>
      <w:r w:rsidRPr="005E758A">
        <w:rPr>
          <w:rFonts w:ascii="Times New Roman" w:eastAsia="標楷體" w:hAnsi="Times New Roman"/>
          <w:sz w:val="28"/>
          <w:szCs w:val="28"/>
        </w:rPr>
        <w:lastRenderedPageBreak/>
        <w:t>應該要有更多的宣傳和談論去捍衛兒童的遊戲權等。</w:t>
      </w:r>
    </w:p>
    <w:p w14:paraId="05BB1FDA" w14:textId="77777777" w:rsidR="00CF6265" w:rsidRPr="005E758A" w:rsidRDefault="00CF6265" w:rsidP="00CF6265">
      <w:pPr>
        <w:pStyle w:val="a0"/>
        <w:snapToGrid w:val="0"/>
        <w:spacing w:before="100" w:beforeAutospacing="1" w:after="100" w:afterAutospacing="1"/>
        <w:ind w:leftChars="0" w:left="0" w:firstLineChars="200" w:firstLine="560"/>
        <w:jc w:val="both"/>
        <w:rPr>
          <w:rFonts w:ascii="Times New Roman" w:eastAsia="標楷體" w:hAnsi="Times New Roman"/>
          <w:sz w:val="28"/>
          <w:szCs w:val="28"/>
        </w:rPr>
      </w:pPr>
      <w:r w:rsidRPr="005E758A">
        <w:rPr>
          <w:rFonts w:ascii="Times New Roman" w:eastAsia="標楷體" w:hAnsi="Times New Roman"/>
          <w:sz w:val="28"/>
          <w:szCs w:val="28"/>
        </w:rPr>
        <w:t>經過多方的努力下，</w:t>
      </w:r>
      <w:proofErr w:type="spellStart"/>
      <w:r w:rsidRPr="005E758A">
        <w:rPr>
          <w:rFonts w:ascii="Times New Roman" w:eastAsia="標楷體" w:hAnsi="Times New Roman"/>
          <w:sz w:val="28"/>
          <w:szCs w:val="28"/>
        </w:rPr>
        <w:t>Yenderling</w:t>
      </w:r>
      <w:proofErr w:type="spellEnd"/>
      <w:r w:rsidRPr="005E758A">
        <w:rPr>
          <w:rFonts w:ascii="Times New Roman" w:eastAsia="標楷體" w:hAnsi="Times New Roman"/>
          <w:sz w:val="28"/>
          <w:szCs w:val="28"/>
        </w:rPr>
        <w:t>和她的研究小組被邀請在尼加拉瓜的兒童權利雜誌上撰寫他們的改革運動。在該篇文章內，小組簡述兒童遊戲權的重要性：</w:t>
      </w:r>
    </w:p>
    <w:p w14:paraId="76C19382" w14:textId="77777777" w:rsidR="00CF6265" w:rsidRPr="005E758A" w:rsidRDefault="00CF6265" w:rsidP="00F02A5C">
      <w:pPr>
        <w:pStyle w:val="a0"/>
        <w:numPr>
          <w:ilvl w:val="3"/>
          <w:numId w:val="180"/>
        </w:numPr>
        <w:snapToGrid w:val="0"/>
        <w:ind w:leftChars="0" w:left="993"/>
        <w:rPr>
          <w:rFonts w:ascii="Times New Roman" w:eastAsia="標楷體" w:hAnsi="Times New Roman"/>
          <w:sz w:val="28"/>
          <w:szCs w:val="28"/>
        </w:rPr>
      </w:pPr>
      <w:r w:rsidRPr="005E758A">
        <w:rPr>
          <w:rFonts w:ascii="Times New Roman" w:eastAsia="標楷體" w:hAnsi="Times New Roman"/>
          <w:sz w:val="28"/>
          <w:szCs w:val="28"/>
        </w:rPr>
        <w:t>能休息、放鬆及娛樂；</w:t>
      </w:r>
    </w:p>
    <w:p w14:paraId="7B44CD98" w14:textId="77777777" w:rsidR="00CF6265" w:rsidRPr="005E758A" w:rsidRDefault="00CF6265" w:rsidP="00F02A5C">
      <w:pPr>
        <w:pStyle w:val="a0"/>
        <w:numPr>
          <w:ilvl w:val="3"/>
          <w:numId w:val="180"/>
        </w:numPr>
        <w:snapToGrid w:val="0"/>
        <w:ind w:leftChars="0" w:left="993"/>
        <w:rPr>
          <w:rFonts w:ascii="Times New Roman" w:eastAsia="標楷體" w:hAnsi="Times New Roman"/>
          <w:sz w:val="28"/>
          <w:szCs w:val="28"/>
        </w:rPr>
      </w:pPr>
      <w:r w:rsidRPr="005E758A">
        <w:rPr>
          <w:rFonts w:ascii="Times New Roman" w:eastAsia="標楷體" w:hAnsi="Times New Roman"/>
          <w:sz w:val="28"/>
          <w:szCs w:val="28"/>
        </w:rPr>
        <w:t>能令人興奮及愉快的去享有樂趣，及感覺良好；</w:t>
      </w:r>
    </w:p>
    <w:p w14:paraId="19904BAA" w14:textId="77777777" w:rsidR="00CF6265" w:rsidRPr="005E758A" w:rsidRDefault="00CF6265" w:rsidP="00F02A5C">
      <w:pPr>
        <w:pStyle w:val="a0"/>
        <w:numPr>
          <w:ilvl w:val="3"/>
          <w:numId w:val="180"/>
        </w:numPr>
        <w:snapToGrid w:val="0"/>
        <w:ind w:leftChars="0" w:left="993"/>
        <w:rPr>
          <w:rFonts w:ascii="Times New Roman" w:eastAsia="標楷體" w:hAnsi="Times New Roman"/>
          <w:sz w:val="28"/>
          <w:szCs w:val="28"/>
        </w:rPr>
      </w:pPr>
      <w:r w:rsidRPr="005E758A">
        <w:rPr>
          <w:rFonts w:ascii="Times New Roman" w:eastAsia="標楷體" w:hAnsi="Times New Roman"/>
          <w:sz w:val="28"/>
          <w:szCs w:val="28"/>
        </w:rPr>
        <w:t>能促進健康的身心發展；</w:t>
      </w:r>
    </w:p>
    <w:p w14:paraId="4FB36D95" w14:textId="77777777" w:rsidR="00CF6265" w:rsidRPr="005E758A" w:rsidRDefault="00CF6265" w:rsidP="00F02A5C">
      <w:pPr>
        <w:pStyle w:val="a0"/>
        <w:numPr>
          <w:ilvl w:val="3"/>
          <w:numId w:val="180"/>
        </w:numPr>
        <w:snapToGrid w:val="0"/>
        <w:ind w:leftChars="0" w:left="993"/>
        <w:rPr>
          <w:rFonts w:ascii="Times New Roman" w:eastAsia="標楷體" w:hAnsi="Times New Roman"/>
          <w:sz w:val="28"/>
          <w:szCs w:val="28"/>
        </w:rPr>
      </w:pPr>
      <w:r w:rsidRPr="005E758A">
        <w:rPr>
          <w:rFonts w:ascii="Times New Roman" w:eastAsia="標楷體" w:hAnsi="Times New Roman"/>
          <w:sz w:val="28"/>
          <w:szCs w:val="28"/>
        </w:rPr>
        <w:t>能發展創造力及想像力，實現創造、發明和夢想；</w:t>
      </w:r>
    </w:p>
    <w:p w14:paraId="317FC924" w14:textId="77777777" w:rsidR="00CF6265" w:rsidRPr="005E758A" w:rsidRDefault="00CF6265" w:rsidP="00F02A5C">
      <w:pPr>
        <w:pStyle w:val="a0"/>
        <w:numPr>
          <w:ilvl w:val="3"/>
          <w:numId w:val="180"/>
        </w:numPr>
        <w:snapToGrid w:val="0"/>
        <w:ind w:leftChars="0" w:left="993"/>
        <w:rPr>
          <w:rFonts w:ascii="Times New Roman" w:eastAsia="標楷體" w:hAnsi="Times New Roman"/>
          <w:sz w:val="28"/>
          <w:szCs w:val="28"/>
        </w:rPr>
      </w:pPr>
      <w:r w:rsidRPr="005E758A">
        <w:rPr>
          <w:rFonts w:ascii="Times New Roman" w:eastAsia="標楷體" w:hAnsi="Times New Roman"/>
          <w:sz w:val="28"/>
          <w:szCs w:val="28"/>
        </w:rPr>
        <w:t>能使自己有自信的去溝通及分享；</w:t>
      </w:r>
    </w:p>
    <w:p w14:paraId="0E544605" w14:textId="77777777" w:rsidR="00CF6265" w:rsidRPr="005E758A" w:rsidRDefault="00CF6265" w:rsidP="00F02A5C">
      <w:pPr>
        <w:pStyle w:val="a0"/>
        <w:numPr>
          <w:ilvl w:val="3"/>
          <w:numId w:val="180"/>
        </w:numPr>
        <w:snapToGrid w:val="0"/>
        <w:ind w:leftChars="0" w:left="993"/>
        <w:rPr>
          <w:rFonts w:ascii="Times New Roman" w:eastAsia="標楷體" w:hAnsi="Times New Roman"/>
          <w:sz w:val="28"/>
          <w:szCs w:val="28"/>
        </w:rPr>
      </w:pPr>
      <w:r w:rsidRPr="005E758A">
        <w:rPr>
          <w:rFonts w:ascii="Times New Roman" w:eastAsia="標楷體" w:hAnsi="Times New Roman"/>
          <w:sz w:val="28"/>
          <w:szCs w:val="28"/>
        </w:rPr>
        <w:t>能體驗、學習和發展新的技能；</w:t>
      </w:r>
    </w:p>
    <w:p w14:paraId="520EDC6C" w14:textId="77777777" w:rsidR="00CF6265" w:rsidRPr="005E758A" w:rsidRDefault="00CF6265" w:rsidP="00F02A5C">
      <w:pPr>
        <w:pStyle w:val="a0"/>
        <w:numPr>
          <w:ilvl w:val="3"/>
          <w:numId w:val="180"/>
        </w:numPr>
        <w:snapToGrid w:val="0"/>
        <w:ind w:leftChars="0" w:left="993"/>
        <w:rPr>
          <w:rFonts w:ascii="Times New Roman" w:eastAsia="標楷體" w:hAnsi="Times New Roman"/>
          <w:sz w:val="28"/>
          <w:szCs w:val="28"/>
        </w:rPr>
      </w:pPr>
      <w:r w:rsidRPr="005E758A">
        <w:rPr>
          <w:rFonts w:ascii="Times New Roman" w:eastAsia="標楷體" w:hAnsi="Times New Roman"/>
          <w:sz w:val="28"/>
          <w:szCs w:val="28"/>
        </w:rPr>
        <w:t>能用友情與他人有所連結，互相尊重，無論是男童或女童，也不論年齡大小。</w:t>
      </w:r>
    </w:p>
    <w:p w14:paraId="1F2AF454" w14:textId="77777777" w:rsidR="00CF6265" w:rsidRPr="005E758A" w:rsidRDefault="00CF6265" w:rsidP="00F02A5C">
      <w:pPr>
        <w:pStyle w:val="a0"/>
        <w:numPr>
          <w:ilvl w:val="3"/>
          <w:numId w:val="180"/>
        </w:numPr>
        <w:snapToGrid w:val="0"/>
        <w:ind w:leftChars="0" w:left="993"/>
        <w:rPr>
          <w:rFonts w:ascii="Times New Roman" w:eastAsia="標楷體" w:hAnsi="Times New Roman"/>
          <w:sz w:val="28"/>
          <w:szCs w:val="28"/>
        </w:rPr>
      </w:pPr>
      <w:r w:rsidRPr="005E758A">
        <w:rPr>
          <w:rFonts w:ascii="Times New Roman" w:eastAsia="標楷體" w:hAnsi="Times New Roman"/>
          <w:sz w:val="28"/>
          <w:szCs w:val="28"/>
        </w:rPr>
        <w:t>能擁有表達自己意見的空間。</w:t>
      </w:r>
    </w:p>
    <w:p w14:paraId="4DEBECDE" w14:textId="77777777" w:rsidR="00CF6265" w:rsidRPr="005E758A" w:rsidRDefault="00CF6265" w:rsidP="00CF6265">
      <w:pPr>
        <w:pStyle w:val="a0"/>
        <w:snapToGrid w:val="0"/>
        <w:spacing w:before="100" w:beforeAutospacing="1" w:after="100" w:afterAutospacing="1"/>
        <w:ind w:leftChars="0" w:left="0" w:firstLineChars="200" w:firstLine="560"/>
        <w:jc w:val="both"/>
        <w:rPr>
          <w:rFonts w:ascii="Times New Roman" w:eastAsia="標楷體" w:hAnsi="Times New Roman"/>
          <w:sz w:val="28"/>
          <w:szCs w:val="28"/>
        </w:rPr>
      </w:pPr>
      <w:r w:rsidRPr="005E758A">
        <w:rPr>
          <w:rFonts w:ascii="Times New Roman" w:eastAsia="標楷體" w:hAnsi="Times New Roman"/>
          <w:sz w:val="28"/>
          <w:szCs w:val="28"/>
        </w:rPr>
        <w:t>此項促進和捍衛兒童遊戲權的運動在尼加拉瓜仍方興未艾。較令人沮喪的是，在尼加拉瓜，健康、教育、食物、免於性暴力及對抗愛滋等計畫及援助政策始終是第一優先，很少有人會將注意力放在兒童的遊戲權上。</w:t>
      </w:r>
    </w:p>
    <w:p w14:paraId="6EEADCE2" w14:textId="77777777" w:rsidR="00CF6265" w:rsidRPr="005E758A" w:rsidRDefault="00CF6265" w:rsidP="00CF6265">
      <w:pPr>
        <w:pStyle w:val="2"/>
      </w:pPr>
      <w:r w:rsidRPr="005E758A">
        <w:t>綜合分析</w:t>
      </w:r>
    </w:p>
    <w:p w14:paraId="4328BAF2" w14:textId="77777777" w:rsidR="00CF6265" w:rsidRPr="00F76603" w:rsidRDefault="00CF6265" w:rsidP="00CF6265">
      <w:pPr>
        <w:pStyle w:val="a0"/>
        <w:snapToGrid w:val="0"/>
        <w:spacing w:before="100" w:beforeAutospacing="1" w:after="100" w:afterAutospacing="1"/>
        <w:ind w:leftChars="0" w:left="0" w:firstLineChars="200" w:firstLine="560"/>
        <w:jc w:val="both"/>
        <w:rPr>
          <w:rFonts w:ascii="Times New Roman" w:eastAsia="標楷體" w:hAnsi="Times New Roman"/>
          <w:sz w:val="28"/>
          <w:szCs w:val="28"/>
        </w:rPr>
      </w:pPr>
      <w:r w:rsidRPr="005E758A">
        <w:rPr>
          <w:rFonts w:ascii="Times New Roman" w:eastAsia="標楷體" w:hAnsi="Times New Roman"/>
          <w:sz w:val="28"/>
          <w:szCs w:val="28"/>
        </w:rPr>
        <w:t>學者指出，</w:t>
      </w:r>
      <w:r w:rsidRPr="005E758A">
        <w:rPr>
          <w:rFonts w:ascii="Times New Roman" w:eastAsia="標楷體" w:hAnsi="Times New Roman"/>
          <w:sz w:val="28"/>
          <w:szCs w:val="28"/>
        </w:rPr>
        <w:t>12</w:t>
      </w:r>
      <w:r w:rsidRPr="005E758A">
        <w:rPr>
          <w:rFonts w:ascii="Times New Roman" w:eastAsia="標楷體" w:hAnsi="Times New Roman"/>
          <w:sz w:val="28"/>
          <w:szCs w:val="28"/>
        </w:rPr>
        <w:t>歲以下的兒童由於語言能力以及認知能力的發展有限，無法如同成人般運用口語來表達抽象的想法或是生活中的情緒困擾。因此，對於</w:t>
      </w:r>
      <w:r w:rsidR="00F76603">
        <w:rPr>
          <w:rFonts w:ascii="Times New Roman" w:eastAsia="標楷體" w:hAnsi="Times New Roman" w:hint="eastAsia"/>
          <w:sz w:val="28"/>
          <w:szCs w:val="28"/>
        </w:rPr>
        <w:t>這些</w:t>
      </w:r>
      <w:r w:rsidRPr="005E758A">
        <w:rPr>
          <w:rFonts w:ascii="Times New Roman" w:eastAsia="標楷體" w:hAnsi="Times New Roman"/>
          <w:sz w:val="28"/>
          <w:szCs w:val="28"/>
        </w:rPr>
        <w:t>兒童而言，玩具是他們的語言，遊戲則是他們與世界溝通的方式。</w:t>
      </w:r>
      <w:r w:rsidR="00F76603">
        <w:rPr>
          <w:rFonts w:ascii="Times New Roman" w:eastAsia="標楷體" w:hAnsi="Times New Roman" w:hint="eastAsia"/>
          <w:sz w:val="28"/>
          <w:szCs w:val="28"/>
        </w:rPr>
        <w:t>這些</w:t>
      </w:r>
      <w:r w:rsidRPr="005E758A">
        <w:rPr>
          <w:rFonts w:ascii="Times New Roman" w:eastAsia="標楷體" w:hAnsi="Times New Roman"/>
          <w:sz w:val="28"/>
          <w:szCs w:val="28"/>
        </w:rPr>
        <w:t>兒童生活在遊戲中，「遊戲」有代替語言的功能，也因此在心理治療中，</w:t>
      </w:r>
      <w:proofErr w:type="gramStart"/>
      <w:r w:rsidRPr="005E758A">
        <w:rPr>
          <w:rFonts w:ascii="Times New Roman" w:eastAsia="標楷體" w:hAnsi="Times New Roman"/>
          <w:sz w:val="28"/>
          <w:szCs w:val="28"/>
        </w:rPr>
        <w:t>心理師常運用</w:t>
      </w:r>
      <w:proofErr w:type="gramEnd"/>
      <w:r w:rsidRPr="005E758A">
        <w:rPr>
          <w:rFonts w:ascii="Times New Roman" w:eastAsia="標楷體" w:hAnsi="Times New Roman"/>
          <w:sz w:val="28"/>
          <w:szCs w:val="28"/>
        </w:rPr>
        <w:t>玩具、繪畫、布偶、黏土、故事書或是其他好玩的材料，幫助</w:t>
      </w:r>
      <w:r w:rsidR="00F76603">
        <w:rPr>
          <w:rFonts w:ascii="Times New Roman" w:eastAsia="標楷體" w:hAnsi="Times New Roman" w:hint="eastAsia"/>
          <w:sz w:val="28"/>
          <w:szCs w:val="28"/>
        </w:rPr>
        <w:t>這些</w:t>
      </w:r>
      <w:r w:rsidR="00F76603">
        <w:rPr>
          <w:rFonts w:ascii="Times New Roman" w:eastAsia="標楷體" w:hAnsi="Times New Roman"/>
          <w:sz w:val="28"/>
          <w:szCs w:val="28"/>
        </w:rPr>
        <w:t>兒童透過遊戲「說出」兒童的語言，也就是運用「遊戲」來和兒童溝通</w:t>
      </w:r>
      <w:r w:rsidRPr="005E758A">
        <w:rPr>
          <w:rStyle w:val="af3"/>
          <w:rFonts w:ascii="Times New Roman" w:eastAsia="標楷體" w:hAnsi="Times New Roman"/>
          <w:sz w:val="28"/>
          <w:szCs w:val="28"/>
        </w:rPr>
        <w:endnoteReference w:id="412"/>
      </w:r>
      <w:r w:rsidR="00F76603">
        <w:rPr>
          <w:rFonts w:ascii="Times New Roman" w:eastAsia="標楷體" w:hAnsi="Times New Roman" w:hint="eastAsia"/>
          <w:sz w:val="28"/>
          <w:szCs w:val="28"/>
        </w:rPr>
        <w:t>。</w:t>
      </w:r>
    </w:p>
    <w:p w14:paraId="0C989EAC" w14:textId="77777777" w:rsidR="00CF6265" w:rsidRPr="005E758A" w:rsidRDefault="00CF6265" w:rsidP="00CF6265">
      <w:pPr>
        <w:pStyle w:val="a0"/>
        <w:snapToGrid w:val="0"/>
        <w:spacing w:before="100" w:beforeAutospacing="1" w:after="100" w:afterAutospacing="1"/>
        <w:ind w:leftChars="0" w:left="0" w:firstLineChars="200" w:firstLine="560"/>
        <w:jc w:val="both"/>
        <w:rPr>
          <w:rFonts w:ascii="Times New Roman" w:eastAsia="標楷體" w:hAnsi="Times New Roman"/>
          <w:sz w:val="28"/>
          <w:szCs w:val="28"/>
        </w:rPr>
      </w:pPr>
      <w:r w:rsidRPr="005E758A">
        <w:rPr>
          <w:rFonts w:ascii="Times New Roman" w:eastAsia="標楷體" w:hAnsi="Times New Roman"/>
          <w:sz w:val="28"/>
          <w:szCs w:val="28"/>
        </w:rPr>
        <w:t>另外，遊戲可促進兒童對創造性、想像力、自信、自我效能以及身體、社會、認知和情感力量和技能的培養。遊戲和娛樂對於兒童在各方面的學習也有所貢獻，因為它們是兒童參與日常生活的一種媒介，為兒童提供了享受和快樂，所以具有其獨特的內在價值。</w:t>
      </w:r>
      <w:r w:rsidRPr="005E758A">
        <w:rPr>
          <w:rStyle w:val="af3"/>
          <w:rFonts w:ascii="Times New Roman" w:eastAsia="標楷體" w:hAnsi="Times New Roman"/>
          <w:sz w:val="28"/>
          <w:szCs w:val="28"/>
        </w:rPr>
        <w:endnoteReference w:id="413"/>
      </w:r>
    </w:p>
    <w:p w14:paraId="560BEE45" w14:textId="77777777" w:rsidR="00CF6265" w:rsidRPr="005E758A" w:rsidRDefault="00CF6265" w:rsidP="00CF6265">
      <w:pPr>
        <w:pStyle w:val="a0"/>
        <w:snapToGrid w:val="0"/>
        <w:spacing w:before="100" w:beforeAutospacing="1" w:after="100" w:afterAutospacing="1"/>
        <w:ind w:leftChars="0" w:left="0" w:firstLineChars="200" w:firstLine="560"/>
        <w:jc w:val="both"/>
        <w:rPr>
          <w:rFonts w:ascii="Times New Roman" w:eastAsia="標楷體" w:hAnsi="Times New Roman"/>
          <w:kern w:val="0"/>
          <w:sz w:val="28"/>
          <w:szCs w:val="28"/>
        </w:rPr>
      </w:pPr>
      <w:proofErr w:type="gramStart"/>
      <w:r w:rsidRPr="005E758A">
        <w:rPr>
          <w:rFonts w:ascii="Times New Roman" w:eastAsia="標楷體" w:hAnsi="Times New Roman"/>
          <w:sz w:val="28"/>
          <w:szCs w:val="28"/>
        </w:rPr>
        <w:t>再者，</w:t>
      </w:r>
      <w:proofErr w:type="gramEnd"/>
      <w:r w:rsidRPr="005E758A">
        <w:rPr>
          <w:rFonts w:ascii="Times New Roman" w:eastAsia="標楷體" w:hAnsi="Times New Roman"/>
          <w:sz w:val="28"/>
          <w:szCs w:val="28"/>
        </w:rPr>
        <w:t>遊戲對兒童自發產生發展動力至關重要。</w:t>
      </w:r>
      <w:r w:rsidRPr="005E758A">
        <w:rPr>
          <w:rFonts w:ascii="Times New Roman" w:eastAsia="標楷體" w:hAnsi="Times New Roman"/>
          <w:kern w:val="0"/>
          <w:sz w:val="28"/>
          <w:szCs w:val="28"/>
        </w:rPr>
        <w:t>對嬰幼兒來說，幼兒的生活就是遊戲的生活，且年齡愈小，花在遊戲上面的時間愈多，遊戲的功能也愈加重要，而「玩具」則是遊戲過程中重要的輔助工具，</w:t>
      </w:r>
      <w:r w:rsidRPr="005E758A">
        <w:rPr>
          <w:rFonts w:ascii="Times New Roman" w:eastAsia="標楷體" w:hAnsi="Times New Roman"/>
          <w:kern w:val="0"/>
          <w:sz w:val="28"/>
          <w:szCs w:val="28"/>
        </w:rPr>
        <w:lastRenderedPageBreak/>
        <w:t>透過它兒童能獲得適當的身心發展及生活體驗。因此，不能輕忽玩具對兒童的重要性，因為幼兒藉著遊戲操弄玩具的過程當中來探索環境，增進對事物的認識與瞭解，發揮想像力、創造力、解決問題的能力，以及提供兒童學習待人接物之道理及增進兒童社會能力的發展。</w:t>
      </w:r>
      <w:r w:rsidRPr="005E758A">
        <w:rPr>
          <w:rStyle w:val="af3"/>
          <w:rFonts w:ascii="Times New Roman" w:eastAsia="標楷體" w:hAnsi="Times New Roman"/>
          <w:kern w:val="0"/>
          <w:sz w:val="28"/>
          <w:szCs w:val="28"/>
        </w:rPr>
        <w:endnoteReference w:id="414"/>
      </w:r>
    </w:p>
    <w:p w14:paraId="22C0B957" w14:textId="77777777" w:rsidR="00CF6265" w:rsidRPr="005E758A" w:rsidRDefault="006B621C" w:rsidP="00CF6265">
      <w:pPr>
        <w:pStyle w:val="a0"/>
        <w:snapToGrid w:val="0"/>
        <w:spacing w:before="100" w:beforeAutospacing="1" w:after="100" w:afterAutospacing="1"/>
        <w:ind w:leftChars="0" w:left="0" w:firstLineChars="200" w:firstLine="560"/>
        <w:jc w:val="both"/>
        <w:rPr>
          <w:rFonts w:ascii="Times New Roman" w:eastAsia="標楷體" w:hAnsi="Times New Roman"/>
          <w:sz w:val="28"/>
          <w:szCs w:val="28"/>
        </w:rPr>
      </w:pPr>
      <w:r>
        <w:rPr>
          <w:rFonts w:ascii="Times New Roman" w:eastAsia="標楷體" w:hAnsi="Times New Roman" w:hint="eastAsia"/>
          <w:sz w:val="28"/>
          <w:szCs w:val="28"/>
        </w:rPr>
        <w:t>對不同年齡層的兒童而言，</w:t>
      </w:r>
      <w:r w:rsidR="00CF6265" w:rsidRPr="005E758A">
        <w:rPr>
          <w:rFonts w:ascii="Times New Roman" w:eastAsia="標楷體" w:hAnsi="Times New Roman"/>
          <w:sz w:val="28"/>
          <w:szCs w:val="28"/>
        </w:rPr>
        <w:t>遊戲權是一項常被成人忽略的權利，因為對成人來說遊戲通常被視為一種奢侈，然而遊戲卻是兒童去體驗及促進他們的能力的一種必要因素，藉由遊戲兒童可以發展他們的溝通能力、社交能力等等。可惜國家往往因預算有限等的阻礙，使兒童的遊戲環境和設施被削減，加上成人對於兒童工作和學習的需要不斷增加，兒童的遊戲權被過度忽視</w:t>
      </w:r>
      <w:r w:rsidR="00CF6265" w:rsidRPr="005E758A">
        <w:rPr>
          <w:rStyle w:val="af3"/>
          <w:rFonts w:ascii="Times New Roman" w:eastAsia="標楷體" w:hAnsi="Times New Roman"/>
          <w:sz w:val="28"/>
          <w:szCs w:val="28"/>
        </w:rPr>
        <w:endnoteReference w:id="415"/>
      </w:r>
      <w:r w:rsidRPr="005E758A">
        <w:rPr>
          <w:rFonts w:ascii="Times New Roman" w:eastAsia="標楷體" w:hAnsi="Times New Roman"/>
          <w:sz w:val="28"/>
          <w:szCs w:val="28"/>
        </w:rPr>
        <w:t>。</w:t>
      </w:r>
      <w:r w:rsidR="00CF6265" w:rsidRPr="005E758A">
        <w:rPr>
          <w:rFonts w:ascii="Times New Roman" w:eastAsia="標楷體" w:hAnsi="Times New Roman"/>
          <w:sz w:val="28"/>
          <w:szCs w:val="28"/>
        </w:rPr>
        <w:t>因此，如何保障兒童的遊戲權，使兒童得以經由遊戲建構自我成長，為國家應認真省思的嚴肅議題。在台灣，學校及公園皆可見兒童遊戲設施，惟兒童因設施的不當設計或欠缺維護往往造成兒童不幸的傷亡。遊戲設施的安全在我國有必要予以特別關注，以落實本條的遊戲權。</w:t>
      </w:r>
    </w:p>
    <w:p w14:paraId="56930423" w14:textId="77777777" w:rsidR="00CF6265" w:rsidRPr="005E758A" w:rsidRDefault="00CF6265" w:rsidP="00CF6265">
      <w:pPr>
        <w:pStyle w:val="2"/>
      </w:pPr>
      <w:r w:rsidRPr="005E758A">
        <w:t>參考資料</w:t>
      </w:r>
    </w:p>
    <w:p w14:paraId="6112A222" w14:textId="77777777" w:rsidR="00CF6265" w:rsidRPr="005E758A" w:rsidRDefault="00CF6265" w:rsidP="00F02A5C">
      <w:pPr>
        <w:pStyle w:val="a0"/>
        <w:numPr>
          <w:ilvl w:val="0"/>
          <w:numId w:val="182"/>
        </w:numPr>
        <w:snapToGrid w:val="0"/>
        <w:ind w:leftChars="0"/>
        <w:jc w:val="both"/>
        <w:rPr>
          <w:rFonts w:ascii="Times New Roman" w:eastAsia="標楷體" w:hAnsi="Times New Roman"/>
          <w:sz w:val="28"/>
          <w:szCs w:val="28"/>
        </w:rPr>
      </w:pPr>
      <w:r w:rsidRPr="005E758A">
        <w:rPr>
          <w:rFonts w:ascii="Times New Roman" w:hAnsi="Times New Roman"/>
          <w:smallCaps/>
          <w:sz w:val="28"/>
          <w:szCs w:val="28"/>
        </w:rPr>
        <w:t xml:space="preserve">UNICEF, Implementation Handbook for the Convention on the Rights of the Child </w:t>
      </w:r>
      <w:r w:rsidRPr="005E758A">
        <w:rPr>
          <w:rFonts w:ascii="Times New Roman" w:hAnsi="Times New Roman"/>
          <w:sz w:val="28"/>
          <w:szCs w:val="28"/>
        </w:rPr>
        <w:t>(3d. 2007).</w:t>
      </w:r>
    </w:p>
    <w:p w14:paraId="22E2D004" w14:textId="77777777" w:rsidR="00CF6265" w:rsidRPr="005E758A" w:rsidRDefault="00CF6265" w:rsidP="00F02A5C">
      <w:pPr>
        <w:pStyle w:val="a0"/>
        <w:numPr>
          <w:ilvl w:val="0"/>
          <w:numId w:val="182"/>
        </w:numPr>
        <w:snapToGrid w:val="0"/>
        <w:ind w:leftChars="0"/>
        <w:jc w:val="both"/>
        <w:rPr>
          <w:rFonts w:ascii="Times New Roman" w:eastAsia="標楷體" w:hAnsi="Times New Roman"/>
          <w:sz w:val="28"/>
          <w:szCs w:val="28"/>
        </w:rPr>
      </w:pPr>
      <w:r w:rsidRPr="005E758A">
        <w:rPr>
          <w:rFonts w:ascii="Times New Roman" w:eastAsia="標楷體" w:hAnsi="Times New Roman"/>
          <w:sz w:val="28"/>
          <w:szCs w:val="28"/>
        </w:rPr>
        <w:t>兒童權利委員會，第</w:t>
      </w:r>
      <w:r w:rsidRPr="005E758A">
        <w:rPr>
          <w:rFonts w:ascii="Times New Roman" w:eastAsia="標楷體" w:hAnsi="Times New Roman"/>
          <w:sz w:val="28"/>
          <w:szCs w:val="28"/>
        </w:rPr>
        <w:t>17</w:t>
      </w:r>
      <w:r w:rsidRPr="005E758A">
        <w:rPr>
          <w:rFonts w:ascii="Times New Roman" w:eastAsia="標楷體" w:hAnsi="Times New Roman"/>
          <w:sz w:val="28"/>
          <w:szCs w:val="28"/>
        </w:rPr>
        <w:t>號一般性意見「兒童休閒權」。</w:t>
      </w:r>
      <w:r w:rsidRPr="005E758A">
        <w:rPr>
          <w:rFonts w:ascii="Times New Roman" w:eastAsia="標楷體" w:hAnsi="Times New Roman"/>
          <w:sz w:val="28"/>
          <w:szCs w:val="28"/>
        </w:rPr>
        <w:t>(Committee on the Rights of the Child, General Comment No. 17</w:t>
      </w:r>
      <w:r w:rsidRPr="005E758A">
        <w:rPr>
          <w:rFonts w:ascii="Times New Roman" w:hAnsi="Times New Roman"/>
        </w:rPr>
        <w:t xml:space="preserve"> </w:t>
      </w:r>
      <w:r w:rsidRPr="005E758A">
        <w:rPr>
          <w:rFonts w:ascii="Times New Roman" w:eastAsia="標楷體" w:hAnsi="Times New Roman"/>
          <w:sz w:val="28"/>
          <w:szCs w:val="28"/>
        </w:rPr>
        <w:t xml:space="preserve">on the Right of the Child to Rest, Leisure, Play, Recreational Activities, Cultural </w:t>
      </w:r>
      <w:proofErr w:type="gramStart"/>
      <w:r w:rsidRPr="005E758A">
        <w:rPr>
          <w:rFonts w:ascii="Times New Roman" w:eastAsia="標楷體" w:hAnsi="Times New Roman"/>
          <w:sz w:val="28"/>
          <w:szCs w:val="28"/>
        </w:rPr>
        <w:t>Life</w:t>
      </w:r>
      <w:proofErr w:type="gramEnd"/>
      <w:r w:rsidRPr="005E758A">
        <w:rPr>
          <w:rFonts w:ascii="Times New Roman" w:eastAsia="標楷體" w:hAnsi="Times New Roman"/>
          <w:sz w:val="28"/>
          <w:szCs w:val="28"/>
        </w:rPr>
        <w:t xml:space="preserve"> and the Arts (Art. 31), U.N. Doc. CRC/C/GC/17 (Apr. 17, 2013).)</w:t>
      </w:r>
    </w:p>
    <w:p w14:paraId="7252DEE0" w14:textId="77777777" w:rsidR="00CF6265" w:rsidRPr="005E758A" w:rsidRDefault="00CF6265" w:rsidP="00CF6265">
      <w:pPr>
        <w:pStyle w:val="a0"/>
        <w:tabs>
          <w:tab w:val="left" w:pos="900"/>
          <w:tab w:val="left" w:pos="1080"/>
        </w:tabs>
        <w:ind w:leftChars="0" w:left="0"/>
        <w:rPr>
          <w:rFonts w:ascii="Times New Roman" w:eastAsia="標楷體" w:hAnsi="Times New Roman"/>
          <w:sz w:val="28"/>
          <w:szCs w:val="28"/>
        </w:rPr>
      </w:pPr>
    </w:p>
    <w:p w14:paraId="703D24C5" w14:textId="77777777" w:rsidR="00CF6265" w:rsidRPr="005E758A" w:rsidRDefault="00CF6265" w:rsidP="00CF6265">
      <w:pPr>
        <w:pStyle w:val="a0"/>
        <w:tabs>
          <w:tab w:val="left" w:pos="900"/>
          <w:tab w:val="left" w:pos="1080"/>
        </w:tabs>
        <w:ind w:leftChars="0" w:left="0"/>
        <w:rPr>
          <w:rFonts w:ascii="Times New Roman" w:eastAsia="標楷體" w:hAnsi="Times New Roman"/>
          <w:sz w:val="28"/>
          <w:szCs w:val="28"/>
        </w:rPr>
      </w:pPr>
      <w:r w:rsidRPr="005E758A">
        <w:rPr>
          <w:rFonts w:ascii="Times New Roman" w:eastAsia="標楷體" w:hAnsi="Times New Roman"/>
          <w:sz w:val="28"/>
          <w:szCs w:val="28"/>
        </w:rPr>
        <w:t>關鍵詞：遊戲權、休息、休閒、文化與藝術生活</w:t>
      </w:r>
    </w:p>
    <w:p w14:paraId="74B87AE5" w14:textId="77777777" w:rsidR="002100BC" w:rsidRPr="005E758A" w:rsidRDefault="002100BC" w:rsidP="002100BC">
      <w:pPr>
        <w:pStyle w:val="1"/>
        <w:sectPr w:rsidR="002100BC" w:rsidRPr="005E758A" w:rsidSect="00135FC9">
          <w:footnotePr>
            <w:numRestart w:val="eachSect"/>
          </w:footnotePr>
          <w:endnotePr>
            <w:numFmt w:val="decimal"/>
            <w:numRestart w:val="eachSect"/>
          </w:endnotePr>
          <w:pgSz w:w="11906" w:h="16838"/>
          <w:pgMar w:top="1440" w:right="1797" w:bottom="1440" w:left="1797" w:header="851" w:footer="992" w:gutter="0"/>
          <w:cols w:space="425"/>
          <w:docGrid w:linePitch="360"/>
        </w:sectPr>
      </w:pPr>
    </w:p>
    <w:p w14:paraId="644FA198" w14:textId="77777777" w:rsidR="006B621C" w:rsidRDefault="006B621C" w:rsidP="006B621C">
      <w:pPr>
        <w:pStyle w:val="1"/>
        <w:rPr>
          <w:sz w:val="28"/>
          <w:szCs w:val="28"/>
        </w:rPr>
      </w:pPr>
      <w:bookmarkStart w:id="90" w:name="_Toc431072748"/>
      <w:bookmarkEnd w:id="52"/>
      <w:r w:rsidRPr="005E758A">
        <w:lastRenderedPageBreak/>
        <w:t>第</w:t>
      </w:r>
      <w:r w:rsidRPr="005E758A">
        <w:t>32</w:t>
      </w:r>
      <w:r w:rsidRPr="005E758A">
        <w:t>條</w:t>
      </w:r>
      <w:r>
        <w:rPr>
          <w:rFonts w:hint="eastAsia"/>
        </w:rPr>
        <w:t xml:space="preserve">　</w:t>
      </w:r>
      <w:r w:rsidR="00170406">
        <w:rPr>
          <w:rFonts w:hint="eastAsia"/>
        </w:rPr>
        <w:t>經濟剝削</w:t>
      </w:r>
      <w:bookmarkEnd w:id="90"/>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8220"/>
      </w:tblGrid>
      <w:tr w:rsidR="006B621C" w:rsidRPr="005E758A" w14:paraId="388FB633" w14:textId="77777777" w:rsidTr="002B035C">
        <w:trPr>
          <w:jc w:val="center"/>
        </w:trPr>
        <w:tc>
          <w:tcPr>
            <w:tcW w:w="8220" w:type="dxa"/>
          </w:tcPr>
          <w:p w14:paraId="5DF72E8A" w14:textId="77777777" w:rsidR="006B621C" w:rsidRPr="005E758A" w:rsidRDefault="006B621C" w:rsidP="002B035C">
            <w:pPr>
              <w:pStyle w:val="a0"/>
              <w:numPr>
                <w:ilvl w:val="0"/>
                <w:numId w:val="176"/>
              </w:numPr>
              <w:snapToGrid w:val="0"/>
              <w:spacing w:before="100" w:beforeAutospacing="1" w:after="100" w:afterAutospacing="1" w:line="0" w:lineRule="atLeast"/>
              <w:ind w:leftChars="0"/>
              <w:jc w:val="both"/>
              <w:rPr>
                <w:rFonts w:ascii="Times New Roman" w:eastAsia="標楷體" w:hAnsi="Times New Roman"/>
                <w:sz w:val="28"/>
                <w:szCs w:val="28"/>
              </w:rPr>
            </w:pPr>
            <w:r w:rsidRPr="005E758A">
              <w:rPr>
                <w:rFonts w:ascii="Times New Roman" w:eastAsia="標楷體" w:hAnsi="Times New Roman"/>
                <w:sz w:val="28"/>
                <w:szCs w:val="28"/>
              </w:rPr>
              <w:t>締約國承認兒童有免受經濟剝削之權利，及避免從事任何可能妨礙或影響其接受教育，或對其健康或身體、心理、精神、道德或社會發展有害之工作。</w:t>
            </w:r>
          </w:p>
          <w:p w14:paraId="6EC15AAB" w14:textId="77777777" w:rsidR="006B621C" w:rsidRPr="005E758A" w:rsidRDefault="006B621C" w:rsidP="002B035C">
            <w:pPr>
              <w:pStyle w:val="a0"/>
              <w:numPr>
                <w:ilvl w:val="0"/>
                <w:numId w:val="176"/>
              </w:numPr>
              <w:snapToGrid w:val="0"/>
              <w:spacing w:before="100" w:beforeAutospacing="1" w:after="100" w:afterAutospacing="1" w:line="0" w:lineRule="atLeast"/>
              <w:ind w:leftChars="0"/>
              <w:jc w:val="both"/>
              <w:rPr>
                <w:rFonts w:ascii="Times New Roman" w:eastAsia="標楷體" w:hAnsi="Times New Roman"/>
                <w:sz w:val="28"/>
                <w:szCs w:val="28"/>
              </w:rPr>
            </w:pPr>
            <w:r w:rsidRPr="005E758A">
              <w:rPr>
                <w:rFonts w:ascii="Times New Roman" w:eastAsia="標楷體" w:hAnsi="Times New Roman"/>
                <w:sz w:val="28"/>
                <w:szCs w:val="28"/>
              </w:rPr>
              <w:t>締約國應採取立法、行政、社會與教育措施以確保本條規定之實施。為此目的並參照其他國際文件之相關規定，締約國尤應：</w:t>
            </w:r>
          </w:p>
          <w:p w14:paraId="0AC0399A" w14:textId="77777777" w:rsidR="006B621C" w:rsidRPr="005E758A" w:rsidRDefault="006B621C" w:rsidP="002B035C">
            <w:pPr>
              <w:pStyle w:val="a0"/>
              <w:numPr>
                <w:ilvl w:val="0"/>
                <w:numId w:val="27"/>
              </w:numPr>
              <w:snapToGrid w:val="0"/>
              <w:spacing w:before="100" w:beforeAutospacing="1" w:after="100" w:afterAutospacing="1" w:line="0" w:lineRule="atLeast"/>
              <w:ind w:leftChars="0" w:left="818" w:hanging="357"/>
              <w:jc w:val="both"/>
              <w:rPr>
                <w:rFonts w:ascii="Times New Roman" w:eastAsia="標楷體" w:hAnsi="Times New Roman"/>
                <w:sz w:val="28"/>
                <w:szCs w:val="28"/>
              </w:rPr>
            </w:pPr>
            <w:r w:rsidRPr="005E758A">
              <w:rPr>
                <w:rFonts w:ascii="Times New Roman" w:eastAsia="標楷體" w:hAnsi="Times New Roman"/>
                <w:sz w:val="28"/>
                <w:szCs w:val="28"/>
              </w:rPr>
              <w:t>規定單一或二個以上之最低受</w:t>
            </w:r>
            <w:proofErr w:type="gramStart"/>
            <w:r w:rsidRPr="005E758A">
              <w:rPr>
                <w:rFonts w:ascii="Times New Roman" w:eastAsia="標楷體" w:hAnsi="Times New Roman"/>
                <w:sz w:val="28"/>
                <w:szCs w:val="28"/>
              </w:rPr>
              <w:t>僱</w:t>
            </w:r>
            <w:proofErr w:type="gramEnd"/>
            <w:r w:rsidRPr="005E758A">
              <w:rPr>
                <w:rFonts w:ascii="Times New Roman" w:eastAsia="標楷體" w:hAnsi="Times New Roman"/>
                <w:sz w:val="28"/>
                <w:szCs w:val="28"/>
              </w:rPr>
              <w:t>年齡；</w:t>
            </w:r>
          </w:p>
          <w:p w14:paraId="0B6E7695" w14:textId="77777777" w:rsidR="006B621C" w:rsidRPr="005E758A" w:rsidRDefault="006B621C" w:rsidP="002B035C">
            <w:pPr>
              <w:pStyle w:val="a0"/>
              <w:numPr>
                <w:ilvl w:val="0"/>
                <w:numId w:val="27"/>
              </w:numPr>
              <w:snapToGrid w:val="0"/>
              <w:spacing w:before="100" w:beforeAutospacing="1" w:after="100" w:afterAutospacing="1" w:line="0" w:lineRule="atLeast"/>
              <w:ind w:leftChars="0" w:left="818" w:hanging="357"/>
              <w:jc w:val="both"/>
              <w:rPr>
                <w:rFonts w:ascii="Times New Roman" w:eastAsia="標楷體" w:hAnsi="Times New Roman"/>
                <w:sz w:val="28"/>
                <w:szCs w:val="28"/>
              </w:rPr>
            </w:pPr>
            <w:r w:rsidRPr="005E758A">
              <w:rPr>
                <w:rFonts w:ascii="Times New Roman" w:eastAsia="標楷體" w:hAnsi="Times New Roman"/>
                <w:sz w:val="28"/>
                <w:szCs w:val="28"/>
              </w:rPr>
              <w:t>規定有關工作時間及工作條件之適當規則；</w:t>
            </w:r>
          </w:p>
          <w:p w14:paraId="27C7D6FF" w14:textId="77777777" w:rsidR="006B621C" w:rsidRPr="005E758A" w:rsidRDefault="006B621C" w:rsidP="002B035C">
            <w:pPr>
              <w:pStyle w:val="a0"/>
              <w:numPr>
                <w:ilvl w:val="0"/>
                <w:numId w:val="27"/>
              </w:numPr>
              <w:snapToGrid w:val="0"/>
              <w:spacing w:before="100" w:beforeAutospacing="1" w:after="100" w:afterAutospacing="1" w:line="0" w:lineRule="atLeast"/>
              <w:ind w:leftChars="0" w:left="818" w:hanging="357"/>
              <w:jc w:val="both"/>
              <w:rPr>
                <w:rFonts w:ascii="Times New Roman" w:eastAsia="標楷體" w:hAnsi="Times New Roman"/>
                <w:sz w:val="28"/>
                <w:szCs w:val="28"/>
              </w:rPr>
            </w:pPr>
            <w:r w:rsidRPr="005E758A">
              <w:rPr>
                <w:rFonts w:ascii="Times New Roman" w:eastAsia="標楷體" w:hAnsi="Times New Roman"/>
                <w:sz w:val="28"/>
                <w:szCs w:val="28"/>
              </w:rPr>
              <w:t>規定適當罰則或其他制裁措施以確保本條款之有效執行。</w:t>
            </w:r>
          </w:p>
        </w:tc>
      </w:tr>
    </w:tbl>
    <w:p w14:paraId="7C4D99E4" w14:textId="77777777" w:rsidR="006B621C" w:rsidRPr="006B621C" w:rsidRDefault="006B621C" w:rsidP="006B621C">
      <w:pPr>
        <w:snapToGrid w:val="0"/>
        <w:spacing w:before="100" w:beforeAutospacing="1" w:after="100" w:afterAutospacing="1" w:line="0" w:lineRule="atLeast"/>
        <w:jc w:val="both"/>
        <w:rPr>
          <w:sz w:val="28"/>
          <w:szCs w:val="28"/>
        </w:rPr>
      </w:pPr>
    </w:p>
    <w:p w14:paraId="4815B816" w14:textId="77777777" w:rsidR="000424AB" w:rsidRPr="005E758A" w:rsidRDefault="000424AB" w:rsidP="00490C95">
      <w:pPr>
        <w:pStyle w:val="2"/>
        <w:numPr>
          <w:ilvl w:val="0"/>
          <w:numId w:val="16"/>
        </w:numPr>
        <w:spacing w:line="0" w:lineRule="atLeast"/>
        <w:rPr>
          <w:szCs w:val="28"/>
        </w:rPr>
      </w:pPr>
      <w:r w:rsidRPr="005E758A">
        <w:rPr>
          <w:szCs w:val="28"/>
        </w:rPr>
        <w:t>規範宗旨</w:t>
      </w:r>
    </w:p>
    <w:p w14:paraId="0444125E" w14:textId="77777777" w:rsidR="000424AB" w:rsidRPr="005E758A" w:rsidRDefault="000424AB" w:rsidP="00490C95">
      <w:pPr>
        <w:snapToGrid w:val="0"/>
        <w:spacing w:before="100" w:beforeAutospacing="1" w:after="100" w:afterAutospacing="1" w:line="0" w:lineRule="atLeast"/>
        <w:ind w:firstLineChars="200" w:firstLine="560"/>
        <w:jc w:val="both"/>
        <w:rPr>
          <w:sz w:val="28"/>
          <w:szCs w:val="28"/>
        </w:rPr>
      </w:pPr>
      <w:r w:rsidRPr="005E758A">
        <w:rPr>
          <w:sz w:val="28"/>
          <w:szCs w:val="28"/>
        </w:rPr>
        <w:t>本條條</w:t>
      </w:r>
      <w:r w:rsidR="0065794C" w:rsidRPr="005E758A">
        <w:rPr>
          <w:sz w:val="28"/>
          <w:szCs w:val="28"/>
        </w:rPr>
        <w:t>文肯定兒童有權受保護免受經濟剝削的權利並避免從事對其有害的工作。</w:t>
      </w:r>
      <w:r w:rsidRPr="005E758A">
        <w:rPr>
          <w:sz w:val="28"/>
          <w:szCs w:val="28"/>
        </w:rPr>
        <w:t>條文規範與公約內許多條文（例如第</w:t>
      </w:r>
      <w:r w:rsidRPr="005E758A">
        <w:rPr>
          <w:sz w:val="28"/>
          <w:szCs w:val="28"/>
        </w:rPr>
        <w:t>24</w:t>
      </w:r>
      <w:r w:rsidRPr="005E758A">
        <w:rPr>
          <w:sz w:val="28"/>
          <w:szCs w:val="28"/>
        </w:rPr>
        <w:t>條規範的健康權及第</w:t>
      </w:r>
      <w:r w:rsidRPr="005E758A">
        <w:rPr>
          <w:sz w:val="28"/>
          <w:szCs w:val="28"/>
        </w:rPr>
        <w:t>28</w:t>
      </w:r>
      <w:r w:rsidRPr="005E758A">
        <w:rPr>
          <w:sz w:val="28"/>
          <w:szCs w:val="28"/>
        </w:rPr>
        <w:t>條規範的受教權）以及其他公約條文（例如國際勞工組織相關公約）密切相關，希望透過經濟剝削及有害工作的禁止，促進兒童的發展以及其他權利的落實</w:t>
      </w:r>
      <w:bookmarkStart w:id="91" w:name="_Ref425293995"/>
      <w:r w:rsidRPr="005E758A">
        <w:rPr>
          <w:rStyle w:val="af3"/>
          <w:sz w:val="28"/>
          <w:szCs w:val="28"/>
        </w:rPr>
        <w:endnoteReference w:id="416"/>
      </w:r>
      <w:bookmarkEnd w:id="91"/>
      <w:r w:rsidRPr="005E758A">
        <w:rPr>
          <w:sz w:val="28"/>
          <w:szCs w:val="28"/>
        </w:rPr>
        <w:t>。</w:t>
      </w:r>
    </w:p>
    <w:p w14:paraId="4281429E" w14:textId="77777777" w:rsidR="000424AB" w:rsidRPr="005E758A" w:rsidRDefault="000424AB" w:rsidP="00490C95">
      <w:pPr>
        <w:pStyle w:val="2"/>
        <w:spacing w:line="0" w:lineRule="atLeast"/>
        <w:rPr>
          <w:szCs w:val="28"/>
        </w:rPr>
      </w:pPr>
      <w:r w:rsidRPr="005E758A">
        <w:rPr>
          <w:szCs w:val="28"/>
        </w:rPr>
        <w:t>條文</w:t>
      </w:r>
      <w:r w:rsidR="00371A18" w:rsidRPr="005E758A">
        <w:rPr>
          <w:szCs w:val="28"/>
        </w:rPr>
        <w:t>要</w:t>
      </w:r>
      <w:r w:rsidRPr="005E758A">
        <w:rPr>
          <w:szCs w:val="28"/>
        </w:rPr>
        <w:t>義</w:t>
      </w:r>
    </w:p>
    <w:p w14:paraId="73E57027" w14:textId="77777777" w:rsidR="000424AB" w:rsidRPr="005E758A" w:rsidRDefault="000424AB" w:rsidP="00490C95">
      <w:pPr>
        <w:pStyle w:val="3"/>
        <w:numPr>
          <w:ilvl w:val="0"/>
          <w:numId w:val="17"/>
        </w:numPr>
        <w:spacing w:line="0" w:lineRule="atLeast"/>
        <w:rPr>
          <w:szCs w:val="28"/>
        </w:rPr>
      </w:pPr>
      <w:r w:rsidRPr="005E758A">
        <w:rPr>
          <w:szCs w:val="28"/>
        </w:rPr>
        <w:t>第</w:t>
      </w:r>
      <w:r w:rsidRPr="005E758A">
        <w:rPr>
          <w:szCs w:val="28"/>
        </w:rPr>
        <w:t>32</w:t>
      </w:r>
      <w:r w:rsidRPr="005E758A">
        <w:rPr>
          <w:szCs w:val="28"/>
        </w:rPr>
        <w:t>條第</w:t>
      </w:r>
      <w:r w:rsidRPr="005E758A">
        <w:rPr>
          <w:szCs w:val="28"/>
        </w:rPr>
        <w:t>1</w:t>
      </w:r>
      <w:r w:rsidRPr="005E758A">
        <w:rPr>
          <w:szCs w:val="28"/>
        </w:rPr>
        <w:t>項</w:t>
      </w:r>
    </w:p>
    <w:p w14:paraId="440C7052" w14:textId="77777777" w:rsidR="000424AB" w:rsidRPr="005E758A" w:rsidRDefault="000424AB" w:rsidP="00490C95">
      <w:pPr>
        <w:pStyle w:val="4"/>
        <w:numPr>
          <w:ilvl w:val="0"/>
          <w:numId w:val="18"/>
        </w:numPr>
        <w:spacing w:line="0" w:lineRule="atLeast"/>
        <w:ind w:left="1315" w:hanging="357"/>
        <w:rPr>
          <w:szCs w:val="28"/>
        </w:rPr>
      </w:pPr>
      <w:r w:rsidRPr="005E758A">
        <w:rPr>
          <w:szCs w:val="28"/>
        </w:rPr>
        <w:t>「締約國承認兒童有免受經濟剝削之權利」</w:t>
      </w:r>
    </w:p>
    <w:p w14:paraId="2C3DBFD9" w14:textId="77777777" w:rsidR="000424AB" w:rsidRPr="005E758A" w:rsidRDefault="000424AB" w:rsidP="00490C95">
      <w:pPr>
        <w:snapToGrid w:val="0"/>
        <w:spacing w:before="100" w:beforeAutospacing="1" w:after="100" w:afterAutospacing="1" w:line="0" w:lineRule="atLeast"/>
        <w:ind w:firstLineChars="200" w:firstLine="560"/>
        <w:jc w:val="both"/>
        <w:rPr>
          <w:sz w:val="28"/>
          <w:szCs w:val="28"/>
        </w:rPr>
      </w:pPr>
      <w:r w:rsidRPr="005E758A">
        <w:rPr>
          <w:sz w:val="28"/>
          <w:szCs w:val="28"/>
        </w:rPr>
        <w:t>這部分的條文明確的將免受經濟剝削列為兒童的「權利」，雖然兒童權利委員會未曾就「經濟剝削」下定義，其曾經強調本條權利的落實與公約中許多其他條文（例如第</w:t>
      </w:r>
      <w:r w:rsidRPr="005E758A">
        <w:rPr>
          <w:sz w:val="28"/>
          <w:szCs w:val="28"/>
        </w:rPr>
        <w:t>2</w:t>
      </w:r>
      <w:r w:rsidRPr="005E758A">
        <w:rPr>
          <w:sz w:val="28"/>
          <w:szCs w:val="28"/>
        </w:rPr>
        <w:t>條至第</w:t>
      </w:r>
      <w:r w:rsidRPr="005E758A">
        <w:rPr>
          <w:sz w:val="28"/>
          <w:szCs w:val="28"/>
        </w:rPr>
        <w:t>4</w:t>
      </w:r>
      <w:r w:rsidRPr="005E758A">
        <w:rPr>
          <w:sz w:val="28"/>
          <w:szCs w:val="28"/>
        </w:rPr>
        <w:t>條）息息相關，委員會並建議採取以下幾個方面的措施</w:t>
      </w:r>
      <w:r w:rsidRPr="005E758A">
        <w:rPr>
          <w:rStyle w:val="af3"/>
          <w:sz w:val="28"/>
          <w:szCs w:val="28"/>
        </w:rPr>
        <w:endnoteReference w:id="417"/>
      </w:r>
      <w:r w:rsidRPr="005E758A">
        <w:rPr>
          <w:sz w:val="28"/>
          <w:szCs w:val="28"/>
        </w:rPr>
        <w:t>：</w:t>
      </w:r>
    </w:p>
    <w:p w14:paraId="57F5BB4D" w14:textId="77777777" w:rsidR="000424AB" w:rsidRPr="005E758A" w:rsidRDefault="000424AB" w:rsidP="00490C95">
      <w:pPr>
        <w:pStyle w:val="a0"/>
        <w:numPr>
          <w:ilvl w:val="0"/>
          <w:numId w:val="15"/>
        </w:numPr>
        <w:snapToGrid w:val="0"/>
        <w:spacing w:before="100" w:beforeAutospacing="1" w:after="100" w:afterAutospacing="1" w:line="0" w:lineRule="atLeast"/>
        <w:ind w:leftChars="0" w:left="1276"/>
        <w:jc w:val="both"/>
        <w:rPr>
          <w:rFonts w:ascii="Times New Roman" w:eastAsia="標楷體" w:hAnsi="Times New Roman"/>
          <w:sz w:val="28"/>
          <w:szCs w:val="28"/>
        </w:rPr>
      </w:pPr>
      <w:r w:rsidRPr="005E758A">
        <w:rPr>
          <w:rFonts w:ascii="Times New Roman" w:eastAsia="標楷體" w:hAnsi="Times New Roman"/>
          <w:sz w:val="28"/>
          <w:szCs w:val="28"/>
        </w:rPr>
        <w:t>加強避免經濟剝削的發生以及其對於兒童生活的重大影響；</w:t>
      </w:r>
    </w:p>
    <w:p w14:paraId="091F6027" w14:textId="77777777" w:rsidR="000424AB" w:rsidRPr="005E758A" w:rsidRDefault="000424AB" w:rsidP="00490C95">
      <w:pPr>
        <w:pStyle w:val="a0"/>
        <w:numPr>
          <w:ilvl w:val="0"/>
          <w:numId w:val="15"/>
        </w:numPr>
        <w:snapToGrid w:val="0"/>
        <w:spacing w:before="100" w:beforeAutospacing="1" w:after="100" w:afterAutospacing="1" w:line="0" w:lineRule="atLeast"/>
        <w:ind w:leftChars="0" w:left="1276"/>
        <w:jc w:val="both"/>
        <w:rPr>
          <w:rFonts w:ascii="Times New Roman" w:eastAsia="標楷體" w:hAnsi="Times New Roman"/>
          <w:sz w:val="28"/>
          <w:szCs w:val="28"/>
        </w:rPr>
      </w:pPr>
      <w:r w:rsidRPr="005E758A">
        <w:rPr>
          <w:rFonts w:ascii="Times New Roman" w:eastAsia="標楷體" w:hAnsi="Times New Roman"/>
          <w:sz w:val="28"/>
          <w:szCs w:val="28"/>
        </w:rPr>
        <w:t>強化兒童保護體系；</w:t>
      </w:r>
    </w:p>
    <w:p w14:paraId="13B87038" w14:textId="77777777" w:rsidR="000424AB" w:rsidRPr="005E758A" w:rsidRDefault="000424AB" w:rsidP="00490C95">
      <w:pPr>
        <w:pStyle w:val="a0"/>
        <w:numPr>
          <w:ilvl w:val="0"/>
          <w:numId w:val="15"/>
        </w:numPr>
        <w:snapToGrid w:val="0"/>
        <w:spacing w:before="100" w:beforeAutospacing="1" w:after="100" w:afterAutospacing="1" w:line="0" w:lineRule="atLeast"/>
        <w:ind w:leftChars="0" w:left="1276"/>
        <w:jc w:val="both"/>
        <w:rPr>
          <w:rFonts w:ascii="Times New Roman" w:eastAsia="標楷體" w:hAnsi="Times New Roman"/>
          <w:sz w:val="28"/>
          <w:szCs w:val="28"/>
        </w:rPr>
      </w:pPr>
      <w:r w:rsidRPr="005E758A">
        <w:rPr>
          <w:rFonts w:ascii="Times New Roman" w:eastAsia="標楷體" w:hAnsi="Times New Roman"/>
          <w:sz w:val="28"/>
          <w:szCs w:val="28"/>
        </w:rPr>
        <w:t>在培養兒童健康、自重及尊嚴的環境中．促進遭經濟剝削之受害兒童身心上的復原並幫助重回社會。</w:t>
      </w:r>
    </w:p>
    <w:p w14:paraId="25B5C2BA" w14:textId="77777777" w:rsidR="000424AB" w:rsidRPr="005E758A" w:rsidRDefault="0065794C" w:rsidP="00490C95">
      <w:pPr>
        <w:snapToGrid w:val="0"/>
        <w:spacing w:before="100" w:beforeAutospacing="1" w:after="100" w:afterAutospacing="1" w:line="0" w:lineRule="atLeast"/>
        <w:ind w:firstLineChars="200" w:firstLine="560"/>
        <w:jc w:val="both"/>
        <w:rPr>
          <w:sz w:val="28"/>
          <w:szCs w:val="28"/>
        </w:rPr>
      </w:pPr>
      <w:r w:rsidRPr="005E758A">
        <w:rPr>
          <w:sz w:val="28"/>
          <w:szCs w:val="28"/>
        </w:rPr>
        <w:t>另外應注意的是，雖然同條第</w:t>
      </w:r>
      <w:r w:rsidRPr="005E758A">
        <w:rPr>
          <w:sz w:val="28"/>
          <w:szCs w:val="28"/>
        </w:rPr>
        <w:t>2</w:t>
      </w:r>
      <w:r w:rsidR="000424AB" w:rsidRPr="005E758A">
        <w:rPr>
          <w:sz w:val="28"/>
          <w:szCs w:val="28"/>
        </w:rPr>
        <w:t>項涉及最低受</w:t>
      </w:r>
      <w:proofErr w:type="gramStart"/>
      <w:r w:rsidR="000424AB" w:rsidRPr="005E758A">
        <w:rPr>
          <w:sz w:val="28"/>
          <w:szCs w:val="28"/>
        </w:rPr>
        <w:t>僱</w:t>
      </w:r>
      <w:proofErr w:type="gramEnd"/>
      <w:r w:rsidR="000424AB" w:rsidRPr="005E758A">
        <w:rPr>
          <w:sz w:val="28"/>
          <w:szCs w:val="28"/>
        </w:rPr>
        <w:t>年齡的規範，本條所保障的免受經濟剝削權乃是所有兒童均享有，而並不僅限於年齡</w:t>
      </w:r>
      <w:r w:rsidR="000424AB" w:rsidRPr="005E758A">
        <w:rPr>
          <w:sz w:val="28"/>
          <w:szCs w:val="28"/>
        </w:rPr>
        <w:lastRenderedPageBreak/>
        <w:t>低於最低受</w:t>
      </w:r>
      <w:proofErr w:type="gramStart"/>
      <w:r w:rsidR="000424AB" w:rsidRPr="005E758A">
        <w:rPr>
          <w:sz w:val="28"/>
          <w:szCs w:val="28"/>
        </w:rPr>
        <w:t>僱</w:t>
      </w:r>
      <w:proofErr w:type="gramEnd"/>
      <w:r w:rsidR="000424AB" w:rsidRPr="005E758A">
        <w:rPr>
          <w:sz w:val="28"/>
          <w:szCs w:val="28"/>
        </w:rPr>
        <w:t>年齡之兒童</w:t>
      </w:r>
      <w:bookmarkStart w:id="92" w:name="_Ref425203803"/>
      <w:r w:rsidR="000424AB" w:rsidRPr="005E758A">
        <w:rPr>
          <w:rStyle w:val="af3"/>
          <w:sz w:val="28"/>
          <w:szCs w:val="28"/>
        </w:rPr>
        <w:endnoteReference w:id="418"/>
      </w:r>
      <w:bookmarkEnd w:id="92"/>
      <w:r w:rsidR="000424AB" w:rsidRPr="005E758A">
        <w:rPr>
          <w:sz w:val="28"/>
          <w:szCs w:val="28"/>
        </w:rPr>
        <w:t>。兒童權利委員會在其就少年健康與發展所作成的第</w:t>
      </w:r>
      <w:r w:rsidR="000424AB" w:rsidRPr="005E758A">
        <w:rPr>
          <w:sz w:val="28"/>
          <w:szCs w:val="28"/>
        </w:rPr>
        <w:t>4</w:t>
      </w:r>
      <w:r w:rsidR="000424AB" w:rsidRPr="005E758A">
        <w:rPr>
          <w:sz w:val="28"/>
          <w:szCs w:val="28"/>
        </w:rPr>
        <w:t>號一般性意見中指出，國家有義務更加「關注危害這一年齡組的各種特定形式的虐待、忽視、暴力和剝削」</w:t>
      </w:r>
      <w:r w:rsidR="000424AB" w:rsidRPr="005E758A">
        <w:rPr>
          <w:rStyle w:val="af3"/>
          <w:sz w:val="28"/>
          <w:szCs w:val="28"/>
        </w:rPr>
        <w:endnoteReference w:id="419"/>
      </w:r>
      <w:r w:rsidR="000424AB" w:rsidRPr="005E758A">
        <w:rPr>
          <w:sz w:val="28"/>
          <w:szCs w:val="28"/>
        </w:rPr>
        <w:t>，並要求「從消除最有害的形式著手，廢除</w:t>
      </w:r>
      <w:r w:rsidRPr="005E758A">
        <w:rPr>
          <w:sz w:val="28"/>
          <w:szCs w:val="28"/>
        </w:rPr>
        <w:t>一切童工形式，經常不斷地審查全國最低就業年齡條例，以期</w:t>
      </w:r>
      <w:r w:rsidR="000424AB" w:rsidRPr="005E758A">
        <w:rPr>
          <w:sz w:val="28"/>
          <w:szCs w:val="28"/>
        </w:rPr>
        <w:t>符合國際標準，並（根據公約第</w:t>
      </w:r>
      <w:r w:rsidR="000424AB" w:rsidRPr="005E758A">
        <w:rPr>
          <w:sz w:val="28"/>
          <w:szCs w:val="28"/>
        </w:rPr>
        <w:t>32</w:t>
      </w:r>
      <w:r w:rsidR="000424AB" w:rsidRPr="005E758A">
        <w:rPr>
          <w:sz w:val="28"/>
          <w:szCs w:val="28"/>
        </w:rPr>
        <w:t>條以及國際勞工組織第</w:t>
      </w:r>
      <w:r w:rsidR="000424AB" w:rsidRPr="005E758A">
        <w:rPr>
          <w:sz w:val="28"/>
          <w:szCs w:val="28"/>
        </w:rPr>
        <w:t>138</w:t>
      </w:r>
      <w:r w:rsidR="000424AB" w:rsidRPr="005E758A">
        <w:rPr>
          <w:sz w:val="28"/>
          <w:szCs w:val="28"/>
        </w:rPr>
        <w:t>和</w:t>
      </w:r>
      <w:r w:rsidR="000424AB" w:rsidRPr="005E758A">
        <w:rPr>
          <w:sz w:val="28"/>
          <w:szCs w:val="28"/>
        </w:rPr>
        <w:t>182</w:t>
      </w:r>
      <w:r w:rsidR="000424AB" w:rsidRPr="005E758A">
        <w:rPr>
          <w:sz w:val="28"/>
          <w:szCs w:val="28"/>
        </w:rPr>
        <w:t>號公約）</w:t>
      </w:r>
      <w:r w:rsidRPr="005E758A">
        <w:rPr>
          <w:sz w:val="28"/>
          <w:szCs w:val="28"/>
        </w:rPr>
        <w:t>管制就業少年的工作環境和條件，從而確保</w:t>
      </w:r>
      <w:r w:rsidR="000424AB" w:rsidRPr="005E758A">
        <w:rPr>
          <w:sz w:val="28"/>
          <w:szCs w:val="28"/>
        </w:rPr>
        <w:t>少年得到充分保護並可訴諸法律補救機制。」</w:t>
      </w:r>
      <w:r w:rsidR="000424AB" w:rsidRPr="005E758A">
        <w:rPr>
          <w:rStyle w:val="af3"/>
          <w:sz w:val="28"/>
          <w:szCs w:val="28"/>
        </w:rPr>
        <w:endnoteReference w:id="420"/>
      </w:r>
      <w:r w:rsidR="000424AB" w:rsidRPr="005E758A">
        <w:rPr>
          <w:sz w:val="28"/>
          <w:szCs w:val="28"/>
        </w:rPr>
        <w:t>兒童權利委員會在其後的國家報告審查中亦曾採取類似立場，例如：在審查阿爾巴尼亞國家報告後，兒童權利委員重申上述立場並提出以下幾點確切建議</w:t>
      </w:r>
      <w:bookmarkStart w:id="93" w:name="_Ref426180026"/>
      <w:r w:rsidR="000424AB" w:rsidRPr="005E758A">
        <w:rPr>
          <w:rStyle w:val="af3"/>
          <w:sz w:val="28"/>
          <w:szCs w:val="28"/>
        </w:rPr>
        <w:endnoteReference w:id="421"/>
      </w:r>
      <w:bookmarkEnd w:id="93"/>
      <w:r w:rsidR="000424AB" w:rsidRPr="005E758A">
        <w:rPr>
          <w:sz w:val="28"/>
          <w:szCs w:val="28"/>
        </w:rPr>
        <w:t>：</w:t>
      </w:r>
    </w:p>
    <w:p w14:paraId="48FC1DC1" w14:textId="77777777" w:rsidR="000424AB" w:rsidRPr="005E758A" w:rsidRDefault="000424AB" w:rsidP="00490C95">
      <w:pPr>
        <w:pStyle w:val="a0"/>
        <w:numPr>
          <w:ilvl w:val="0"/>
          <w:numId w:val="15"/>
        </w:numPr>
        <w:snapToGrid w:val="0"/>
        <w:spacing w:before="100" w:beforeAutospacing="1" w:after="100" w:afterAutospacing="1" w:line="0" w:lineRule="atLeast"/>
        <w:ind w:leftChars="0" w:left="1276"/>
        <w:jc w:val="both"/>
        <w:rPr>
          <w:rFonts w:ascii="Times New Roman" w:eastAsia="標楷體" w:hAnsi="Times New Roman"/>
          <w:sz w:val="28"/>
          <w:szCs w:val="28"/>
        </w:rPr>
      </w:pPr>
      <w:r w:rsidRPr="005E758A">
        <w:rPr>
          <w:rFonts w:ascii="Times New Roman" w:eastAsia="標楷體" w:hAnsi="Times New Roman"/>
          <w:sz w:val="28"/>
          <w:szCs w:val="28"/>
        </w:rPr>
        <w:t>加強勞動檢查機制並提供勞動檢查官所需的支援，協助其有效的監督勞動標準的落實；</w:t>
      </w:r>
    </w:p>
    <w:p w14:paraId="0B0E5A32" w14:textId="77777777" w:rsidR="000424AB" w:rsidRPr="005E758A" w:rsidRDefault="000424AB" w:rsidP="00490C95">
      <w:pPr>
        <w:pStyle w:val="a0"/>
        <w:numPr>
          <w:ilvl w:val="0"/>
          <w:numId w:val="15"/>
        </w:numPr>
        <w:snapToGrid w:val="0"/>
        <w:spacing w:before="100" w:beforeAutospacing="1" w:after="100" w:afterAutospacing="1" w:line="0" w:lineRule="atLeast"/>
        <w:ind w:leftChars="0" w:left="1276"/>
        <w:jc w:val="both"/>
        <w:rPr>
          <w:rFonts w:ascii="Times New Roman" w:eastAsia="標楷體" w:hAnsi="Times New Roman"/>
          <w:sz w:val="28"/>
          <w:szCs w:val="28"/>
        </w:rPr>
      </w:pPr>
      <w:r w:rsidRPr="005E758A">
        <w:rPr>
          <w:rFonts w:ascii="Times New Roman" w:eastAsia="標楷體" w:hAnsi="Times New Roman"/>
          <w:sz w:val="28"/>
          <w:szCs w:val="28"/>
        </w:rPr>
        <w:t>持續向國際勞工組織尋求這方面的技術支援；</w:t>
      </w:r>
    </w:p>
    <w:p w14:paraId="40A6E4EA" w14:textId="77777777" w:rsidR="000424AB" w:rsidRPr="005E758A" w:rsidRDefault="000424AB" w:rsidP="00490C95">
      <w:pPr>
        <w:pStyle w:val="a0"/>
        <w:numPr>
          <w:ilvl w:val="0"/>
          <w:numId w:val="15"/>
        </w:numPr>
        <w:snapToGrid w:val="0"/>
        <w:spacing w:before="100" w:beforeAutospacing="1" w:after="100" w:afterAutospacing="1" w:line="0" w:lineRule="atLeast"/>
        <w:ind w:leftChars="0" w:left="1276"/>
        <w:jc w:val="both"/>
        <w:rPr>
          <w:rFonts w:ascii="Times New Roman" w:eastAsia="標楷體" w:hAnsi="Times New Roman"/>
          <w:sz w:val="28"/>
          <w:szCs w:val="28"/>
        </w:rPr>
      </w:pPr>
      <w:r w:rsidRPr="005E758A">
        <w:rPr>
          <w:rFonts w:ascii="Times New Roman" w:eastAsia="標楷體" w:hAnsi="Times New Roman"/>
          <w:sz w:val="28"/>
          <w:szCs w:val="28"/>
        </w:rPr>
        <w:t>考慮批准國際勞工組織於</w:t>
      </w:r>
      <w:r w:rsidRPr="005E758A">
        <w:rPr>
          <w:rFonts w:ascii="Times New Roman" w:eastAsia="標楷體" w:hAnsi="Times New Roman"/>
          <w:sz w:val="28"/>
          <w:szCs w:val="28"/>
        </w:rPr>
        <w:t>2011</w:t>
      </w:r>
      <w:r w:rsidRPr="005E758A">
        <w:rPr>
          <w:rFonts w:ascii="Times New Roman" w:eastAsia="標楷體" w:hAnsi="Times New Roman"/>
          <w:sz w:val="28"/>
          <w:szCs w:val="28"/>
        </w:rPr>
        <w:t>年通過的第</w:t>
      </w:r>
      <w:r w:rsidRPr="005E758A">
        <w:rPr>
          <w:rFonts w:ascii="Times New Roman" w:eastAsia="標楷體" w:hAnsi="Times New Roman"/>
          <w:sz w:val="28"/>
          <w:szCs w:val="28"/>
        </w:rPr>
        <w:t>189</w:t>
      </w:r>
      <w:r w:rsidRPr="005E758A">
        <w:rPr>
          <w:rFonts w:ascii="Times New Roman" w:eastAsia="標楷體" w:hAnsi="Times New Roman"/>
          <w:sz w:val="28"/>
          <w:szCs w:val="28"/>
        </w:rPr>
        <w:t>號家庭勞工尊嚴勞動公約。</w:t>
      </w:r>
    </w:p>
    <w:p w14:paraId="5DA8BA0D" w14:textId="77777777" w:rsidR="000424AB" w:rsidRPr="005E758A" w:rsidRDefault="000424AB" w:rsidP="00490C95">
      <w:pPr>
        <w:pStyle w:val="4"/>
        <w:numPr>
          <w:ilvl w:val="0"/>
          <w:numId w:val="18"/>
        </w:numPr>
        <w:spacing w:line="0" w:lineRule="atLeast"/>
        <w:ind w:left="1315" w:hanging="357"/>
        <w:rPr>
          <w:szCs w:val="28"/>
        </w:rPr>
      </w:pPr>
      <w:r w:rsidRPr="005E758A">
        <w:rPr>
          <w:szCs w:val="28"/>
        </w:rPr>
        <w:t>「避免從事任何可能妨礙或影響其接受教育，或對其健康或身體、心理、精神、道德或社會發展有害之工作」</w:t>
      </w:r>
    </w:p>
    <w:p w14:paraId="2CF664C8" w14:textId="77777777" w:rsidR="000424AB" w:rsidRPr="005E758A" w:rsidRDefault="0065794C" w:rsidP="00490C95">
      <w:pPr>
        <w:snapToGrid w:val="0"/>
        <w:spacing w:before="100" w:beforeAutospacing="1" w:after="100" w:afterAutospacing="1" w:line="0" w:lineRule="atLeast"/>
        <w:ind w:firstLineChars="200" w:firstLine="560"/>
        <w:jc w:val="both"/>
        <w:rPr>
          <w:sz w:val="28"/>
          <w:szCs w:val="28"/>
        </w:rPr>
      </w:pPr>
      <w:r w:rsidRPr="005E758A">
        <w:rPr>
          <w:sz w:val="28"/>
          <w:szCs w:val="28"/>
        </w:rPr>
        <w:t>條文中所指的「工作」不限於同條第</w:t>
      </w:r>
      <w:r w:rsidRPr="005E758A">
        <w:rPr>
          <w:sz w:val="28"/>
          <w:szCs w:val="28"/>
        </w:rPr>
        <w:t>2</w:t>
      </w:r>
      <w:r w:rsidR="000424AB" w:rsidRPr="005E758A">
        <w:rPr>
          <w:sz w:val="28"/>
          <w:szCs w:val="28"/>
        </w:rPr>
        <w:t>項提到之「受</w:t>
      </w:r>
      <w:proofErr w:type="gramStart"/>
      <w:r w:rsidR="000424AB" w:rsidRPr="005E758A">
        <w:rPr>
          <w:sz w:val="28"/>
          <w:szCs w:val="28"/>
        </w:rPr>
        <w:t>僱</w:t>
      </w:r>
      <w:proofErr w:type="gramEnd"/>
      <w:r w:rsidR="000424AB" w:rsidRPr="005E758A">
        <w:rPr>
          <w:sz w:val="28"/>
          <w:szCs w:val="28"/>
        </w:rPr>
        <w:t>」的概念，換而言之，此處指的「工作」</w:t>
      </w:r>
      <w:r w:rsidRPr="005E758A">
        <w:rPr>
          <w:sz w:val="28"/>
          <w:szCs w:val="28"/>
        </w:rPr>
        <w:t>包括兒童在</w:t>
      </w:r>
      <w:proofErr w:type="gramStart"/>
      <w:r w:rsidRPr="005E758A">
        <w:rPr>
          <w:sz w:val="28"/>
          <w:szCs w:val="28"/>
        </w:rPr>
        <w:t>僱傭</w:t>
      </w:r>
      <w:proofErr w:type="gramEnd"/>
      <w:r w:rsidRPr="005E758A">
        <w:rPr>
          <w:sz w:val="28"/>
          <w:szCs w:val="28"/>
        </w:rPr>
        <w:t>關係之外所從事的所有形式的工作，這樣的詮釋呼應了締</w:t>
      </w:r>
      <w:r w:rsidR="000424AB" w:rsidRPr="005E758A">
        <w:rPr>
          <w:sz w:val="28"/>
          <w:szCs w:val="28"/>
        </w:rPr>
        <w:t>約過程</w:t>
      </w:r>
      <w:r w:rsidRPr="005E758A">
        <w:rPr>
          <w:sz w:val="28"/>
          <w:szCs w:val="28"/>
        </w:rPr>
        <w:t>中</w:t>
      </w:r>
      <w:r w:rsidR="000424AB" w:rsidRPr="005E758A">
        <w:rPr>
          <w:sz w:val="28"/>
          <w:szCs w:val="28"/>
        </w:rPr>
        <w:t>各國的態度，也符合兒童權利委員會的立場</w:t>
      </w:r>
      <w:r w:rsidR="000424AB" w:rsidRPr="005E758A">
        <w:rPr>
          <w:rStyle w:val="af3"/>
          <w:sz w:val="28"/>
          <w:szCs w:val="28"/>
        </w:rPr>
        <w:endnoteReference w:id="422"/>
      </w:r>
      <w:r w:rsidR="000424AB" w:rsidRPr="005E758A">
        <w:rPr>
          <w:sz w:val="28"/>
          <w:szCs w:val="28"/>
        </w:rPr>
        <w:t>。</w:t>
      </w:r>
    </w:p>
    <w:p w14:paraId="03852141" w14:textId="77777777" w:rsidR="000424AB" w:rsidRPr="005E758A" w:rsidRDefault="000424AB" w:rsidP="00490C95">
      <w:pPr>
        <w:snapToGrid w:val="0"/>
        <w:spacing w:before="100" w:beforeAutospacing="1" w:after="100" w:afterAutospacing="1" w:line="0" w:lineRule="atLeast"/>
        <w:ind w:firstLineChars="200" w:firstLine="560"/>
        <w:jc w:val="both"/>
        <w:rPr>
          <w:sz w:val="28"/>
          <w:szCs w:val="28"/>
        </w:rPr>
      </w:pPr>
      <w:r w:rsidRPr="005E758A">
        <w:rPr>
          <w:sz w:val="28"/>
          <w:szCs w:val="28"/>
        </w:rPr>
        <w:t>工作對兒童及整體社會的影響極大，一方面帶給兒童身體及心理上的壓力，影響兒童的教育及發展，另一方面也會由於阻礙兒童成長成為有生產力的社會成員而影響到整體國家經濟發展。兒童權利委員會在審查國家報告時也常強調工作對兒童受教權的影響，在國家規定最低僱用年齡以及義務教育完成年齡有出入時，兒童權利委員會也會表示關注，並建議修改法律</w:t>
      </w:r>
      <w:r w:rsidRPr="005E758A">
        <w:rPr>
          <w:rStyle w:val="af3"/>
          <w:sz w:val="28"/>
          <w:szCs w:val="28"/>
        </w:rPr>
        <w:endnoteReference w:id="423"/>
      </w:r>
      <w:r w:rsidRPr="005E758A">
        <w:rPr>
          <w:sz w:val="28"/>
          <w:szCs w:val="28"/>
        </w:rPr>
        <w:t>。</w:t>
      </w:r>
    </w:p>
    <w:p w14:paraId="255970DD" w14:textId="77777777" w:rsidR="000424AB" w:rsidRPr="005E758A" w:rsidRDefault="000424AB" w:rsidP="00490C95">
      <w:pPr>
        <w:snapToGrid w:val="0"/>
        <w:spacing w:before="100" w:beforeAutospacing="1" w:after="100" w:afterAutospacing="1" w:line="0" w:lineRule="atLeast"/>
        <w:ind w:firstLineChars="200" w:firstLine="560"/>
        <w:jc w:val="both"/>
        <w:rPr>
          <w:sz w:val="28"/>
          <w:szCs w:val="28"/>
        </w:rPr>
      </w:pPr>
      <w:r w:rsidRPr="005E758A">
        <w:rPr>
          <w:sz w:val="28"/>
          <w:szCs w:val="28"/>
        </w:rPr>
        <w:t>兒童權利委員會在評估兒童工作對健康的影響時，不僅考慮工作本身，工作環境也是考量的範圍，雖然委員會對何種工作對兒童健康有害討論不多，但曾經表示擔憂採</w:t>
      </w:r>
      <w:r w:rsidR="0059076C" w:rsidRPr="005E758A">
        <w:rPr>
          <w:sz w:val="28"/>
          <w:szCs w:val="28"/>
        </w:rPr>
        <w:t>礦、糖料作物種植、農牧業、賽馬等工作對兒童健康的傷害，亦有建議</w:t>
      </w:r>
      <w:r w:rsidRPr="005E758A">
        <w:rPr>
          <w:sz w:val="28"/>
          <w:szCs w:val="28"/>
        </w:rPr>
        <w:t>締約國定義何謂有害兒童健康的工作</w:t>
      </w:r>
      <w:r w:rsidRPr="005E758A">
        <w:rPr>
          <w:rStyle w:val="af3"/>
          <w:sz w:val="28"/>
          <w:szCs w:val="28"/>
        </w:rPr>
        <w:endnoteReference w:id="424"/>
      </w:r>
      <w:r w:rsidRPr="005E758A">
        <w:rPr>
          <w:sz w:val="28"/>
          <w:szCs w:val="28"/>
        </w:rPr>
        <w:t>。</w:t>
      </w:r>
    </w:p>
    <w:p w14:paraId="734B953D" w14:textId="77777777" w:rsidR="000424AB" w:rsidRPr="005E758A" w:rsidRDefault="000424AB" w:rsidP="00490C95">
      <w:pPr>
        <w:snapToGrid w:val="0"/>
        <w:spacing w:before="100" w:beforeAutospacing="1" w:after="100" w:afterAutospacing="1" w:line="0" w:lineRule="atLeast"/>
        <w:ind w:firstLineChars="200" w:firstLine="560"/>
        <w:jc w:val="both"/>
        <w:rPr>
          <w:sz w:val="28"/>
          <w:szCs w:val="28"/>
        </w:rPr>
      </w:pPr>
      <w:r w:rsidRPr="005E758A">
        <w:rPr>
          <w:sz w:val="28"/>
          <w:szCs w:val="28"/>
        </w:rPr>
        <w:t>而何謂對兒童「身體、心理、精神、道德或社會發展有害之工作」，</w:t>
      </w:r>
      <w:r w:rsidRPr="005E758A">
        <w:rPr>
          <w:sz w:val="28"/>
          <w:szCs w:val="28"/>
        </w:rPr>
        <w:lastRenderedPageBreak/>
        <w:t>對身體及心理發展的保障呼應了前述兒童受教權的保障，這項規定要求保護兒童免於從事可能損害心智或學習能力的工作，至於有害精神或道德發展的工作可能包括國際勞工組織第</w:t>
      </w:r>
      <w:r w:rsidRPr="005E758A">
        <w:rPr>
          <w:sz w:val="28"/>
          <w:szCs w:val="28"/>
        </w:rPr>
        <w:t>182</w:t>
      </w:r>
      <w:r w:rsidR="0059076C" w:rsidRPr="005E758A">
        <w:rPr>
          <w:sz w:val="28"/>
          <w:szCs w:val="28"/>
        </w:rPr>
        <w:t>號公約</w:t>
      </w:r>
      <w:r w:rsidR="00985C6A" w:rsidRPr="005E758A">
        <w:rPr>
          <w:sz w:val="28"/>
          <w:szCs w:val="28"/>
        </w:rPr>
        <w:t>所指</w:t>
      </w:r>
      <w:r w:rsidR="0059076C" w:rsidRPr="005E758A">
        <w:rPr>
          <w:sz w:val="28"/>
          <w:szCs w:val="28"/>
        </w:rPr>
        <w:t>兒童賣淫、色情、製造及走私藥品等工作。</w:t>
      </w:r>
      <w:r w:rsidRPr="005E758A">
        <w:rPr>
          <w:sz w:val="28"/>
          <w:szCs w:val="28"/>
        </w:rPr>
        <w:t>國家應該立即無條件地禁止此類兒童工作。最後，影響兒童社會發展的</w:t>
      </w:r>
      <w:r w:rsidR="0059076C" w:rsidRPr="005E758A">
        <w:rPr>
          <w:sz w:val="28"/>
          <w:szCs w:val="28"/>
        </w:rPr>
        <w:t>工作乃是指阻礙兒童成為國家有用的一員或阻礙其學習在社會中的角色。這類</w:t>
      </w:r>
      <w:r w:rsidRPr="005E758A">
        <w:rPr>
          <w:sz w:val="28"/>
          <w:szCs w:val="28"/>
        </w:rPr>
        <w:t>工作可能妨礙兒童受教或與其他人定期互動，在這方面，兒童權利委員會曾要求國家協助遭受商業性剝削的兒童以及流浪街頭的兒童重回社會</w:t>
      </w:r>
      <w:r w:rsidRPr="005E758A">
        <w:rPr>
          <w:rStyle w:val="af3"/>
          <w:sz w:val="28"/>
          <w:szCs w:val="28"/>
        </w:rPr>
        <w:endnoteReference w:id="425"/>
      </w:r>
      <w:r w:rsidRPr="005E758A">
        <w:rPr>
          <w:sz w:val="28"/>
          <w:szCs w:val="28"/>
        </w:rPr>
        <w:t>。</w:t>
      </w:r>
    </w:p>
    <w:p w14:paraId="35A945E3" w14:textId="77777777" w:rsidR="000424AB" w:rsidRPr="005E758A" w:rsidRDefault="000424AB" w:rsidP="00490C95">
      <w:pPr>
        <w:pStyle w:val="3"/>
        <w:spacing w:line="0" w:lineRule="atLeast"/>
        <w:rPr>
          <w:szCs w:val="28"/>
        </w:rPr>
      </w:pPr>
      <w:r w:rsidRPr="005E758A">
        <w:rPr>
          <w:szCs w:val="28"/>
        </w:rPr>
        <w:t>第</w:t>
      </w:r>
      <w:r w:rsidRPr="005E758A">
        <w:rPr>
          <w:szCs w:val="28"/>
        </w:rPr>
        <w:t>32</w:t>
      </w:r>
      <w:r w:rsidRPr="005E758A">
        <w:rPr>
          <w:szCs w:val="28"/>
        </w:rPr>
        <w:t>條第</w:t>
      </w:r>
      <w:r w:rsidRPr="005E758A">
        <w:rPr>
          <w:szCs w:val="28"/>
        </w:rPr>
        <w:t>2</w:t>
      </w:r>
      <w:r w:rsidRPr="005E758A">
        <w:rPr>
          <w:szCs w:val="28"/>
        </w:rPr>
        <w:t>項</w:t>
      </w:r>
    </w:p>
    <w:p w14:paraId="39EAF1B4" w14:textId="77777777" w:rsidR="000424AB" w:rsidRPr="005E758A" w:rsidRDefault="000424AB" w:rsidP="00490C95">
      <w:pPr>
        <w:pStyle w:val="4"/>
        <w:numPr>
          <w:ilvl w:val="0"/>
          <w:numId w:val="19"/>
        </w:numPr>
        <w:spacing w:line="0" w:lineRule="atLeast"/>
        <w:ind w:left="1315" w:hanging="357"/>
        <w:rPr>
          <w:szCs w:val="28"/>
        </w:rPr>
      </w:pPr>
      <w:r w:rsidRPr="005E758A">
        <w:rPr>
          <w:szCs w:val="28"/>
        </w:rPr>
        <w:t>「締約國應採取立法、行政、社會與教育措施以確保本條規定之實施。」</w:t>
      </w:r>
    </w:p>
    <w:p w14:paraId="054750E0" w14:textId="77777777" w:rsidR="000424AB" w:rsidRPr="005E758A" w:rsidRDefault="0059076C" w:rsidP="00490C95">
      <w:pPr>
        <w:snapToGrid w:val="0"/>
        <w:spacing w:before="100" w:beforeAutospacing="1" w:after="100" w:afterAutospacing="1" w:line="0" w:lineRule="atLeast"/>
        <w:ind w:firstLineChars="200" w:firstLine="560"/>
        <w:jc w:val="both"/>
        <w:rPr>
          <w:sz w:val="28"/>
          <w:szCs w:val="28"/>
        </w:rPr>
      </w:pPr>
      <w:r w:rsidRPr="005E758A">
        <w:rPr>
          <w:sz w:val="28"/>
          <w:szCs w:val="28"/>
        </w:rPr>
        <w:t>由於本項指定的措施種類廣泛，締約國究應採取何種</w:t>
      </w:r>
      <w:r w:rsidR="000424AB" w:rsidRPr="005E758A">
        <w:rPr>
          <w:sz w:val="28"/>
          <w:szCs w:val="28"/>
        </w:rPr>
        <w:t>措施，需視個別情況判斷。兒童權利委員會在審查報告時，經常建議締約國批准或加入相關的國際勞工組織條約</w:t>
      </w:r>
      <w:r w:rsidR="000424AB" w:rsidRPr="005E758A">
        <w:rPr>
          <w:rStyle w:val="af3"/>
          <w:sz w:val="28"/>
          <w:szCs w:val="28"/>
        </w:rPr>
        <w:endnoteReference w:id="426"/>
      </w:r>
      <w:r w:rsidR="000424AB" w:rsidRPr="005E758A">
        <w:rPr>
          <w:sz w:val="28"/>
          <w:szCs w:val="28"/>
        </w:rPr>
        <w:t>或尋求國際勞工組織的技術協助</w:t>
      </w:r>
      <w:r w:rsidR="000424AB" w:rsidRPr="005E758A">
        <w:rPr>
          <w:rStyle w:val="af3"/>
          <w:sz w:val="28"/>
          <w:szCs w:val="28"/>
        </w:rPr>
        <w:endnoteReference w:id="427"/>
      </w:r>
      <w:r w:rsidR="000424AB" w:rsidRPr="005E758A">
        <w:rPr>
          <w:sz w:val="28"/>
          <w:szCs w:val="28"/>
        </w:rPr>
        <w:t>，兒</w:t>
      </w:r>
      <w:r w:rsidRPr="005E758A">
        <w:rPr>
          <w:sz w:val="28"/>
          <w:szCs w:val="28"/>
        </w:rPr>
        <w:t>童權利委員會有時</w:t>
      </w:r>
      <w:r w:rsidR="000424AB" w:rsidRPr="005E758A">
        <w:rPr>
          <w:sz w:val="28"/>
          <w:szCs w:val="28"/>
        </w:rPr>
        <w:t>會直接建議確切措施，例如：為加強相關規範的執行，締約國應該提供勞工檢查作業更多的人力及其他資源</w:t>
      </w:r>
      <w:r w:rsidR="000424AB" w:rsidRPr="005E758A">
        <w:rPr>
          <w:rStyle w:val="af3"/>
          <w:sz w:val="28"/>
          <w:szCs w:val="28"/>
        </w:rPr>
        <w:endnoteReference w:id="428"/>
      </w:r>
      <w:r w:rsidR="000424AB" w:rsidRPr="005E758A">
        <w:rPr>
          <w:sz w:val="28"/>
          <w:szCs w:val="28"/>
        </w:rPr>
        <w:t>。</w:t>
      </w:r>
    </w:p>
    <w:p w14:paraId="1BF6439F" w14:textId="77777777" w:rsidR="000424AB" w:rsidRPr="005E758A" w:rsidRDefault="00FC16DD" w:rsidP="00490C95">
      <w:pPr>
        <w:pStyle w:val="4"/>
        <w:numPr>
          <w:ilvl w:val="0"/>
          <w:numId w:val="19"/>
        </w:numPr>
        <w:spacing w:line="0" w:lineRule="atLeast"/>
        <w:ind w:left="1315" w:hanging="357"/>
        <w:rPr>
          <w:szCs w:val="28"/>
        </w:rPr>
      </w:pPr>
      <w:r w:rsidRPr="005E758A">
        <w:rPr>
          <w:szCs w:val="28"/>
        </w:rPr>
        <w:t>第</w:t>
      </w:r>
      <w:r w:rsidR="000424AB" w:rsidRPr="005E758A">
        <w:rPr>
          <w:szCs w:val="28"/>
        </w:rPr>
        <w:t>32</w:t>
      </w:r>
      <w:r w:rsidR="000424AB" w:rsidRPr="005E758A">
        <w:rPr>
          <w:szCs w:val="28"/>
        </w:rPr>
        <w:t>條第</w:t>
      </w:r>
      <w:r w:rsidR="000424AB" w:rsidRPr="005E758A">
        <w:rPr>
          <w:szCs w:val="28"/>
        </w:rPr>
        <w:t>2</w:t>
      </w:r>
      <w:r w:rsidR="000424AB" w:rsidRPr="005E758A">
        <w:rPr>
          <w:szCs w:val="28"/>
        </w:rPr>
        <w:t>項後段</w:t>
      </w:r>
    </w:p>
    <w:p w14:paraId="518CDE9D" w14:textId="77777777" w:rsidR="000424AB" w:rsidRPr="005E758A" w:rsidRDefault="000424AB" w:rsidP="00490C95">
      <w:pPr>
        <w:snapToGrid w:val="0"/>
        <w:spacing w:before="100" w:beforeAutospacing="1" w:after="100" w:afterAutospacing="1" w:line="0" w:lineRule="atLeast"/>
        <w:ind w:firstLineChars="200" w:firstLine="560"/>
        <w:jc w:val="both"/>
        <w:rPr>
          <w:sz w:val="28"/>
          <w:szCs w:val="28"/>
        </w:rPr>
      </w:pPr>
      <w:r w:rsidRPr="005E758A">
        <w:rPr>
          <w:sz w:val="28"/>
          <w:szCs w:val="28"/>
        </w:rPr>
        <w:t>本項後段提及需參照「其他國際文件」，兒童權利委員會除如前述曾建議締約國批准或加入相關的國際勞工組織條約外，亦曾建</w:t>
      </w:r>
      <w:r w:rsidR="0059076C" w:rsidRPr="005E758A">
        <w:rPr>
          <w:sz w:val="28"/>
          <w:szCs w:val="28"/>
        </w:rPr>
        <w:t>議締約國執行國際勞工組織在監督條約時對個別締約國做出的建議，以切</w:t>
      </w:r>
      <w:r w:rsidRPr="005E758A">
        <w:rPr>
          <w:sz w:val="28"/>
          <w:szCs w:val="28"/>
        </w:rPr>
        <w:t>實落實該條約</w:t>
      </w:r>
      <w:r w:rsidR="0059076C" w:rsidRPr="005E758A">
        <w:rPr>
          <w:sz w:val="28"/>
          <w:szCs w:val="28"/>
        </w:rPr>
        <w:t>之</w:t>
      </w:r>
      <w:r w:rsidRPr="005E758A">
        <w:rPr>
          <w:sz w:val="28"/>
          <w:szCs w:val="28"/>
        </w:rPr>
        <w:t>義務</w:t>
      </w:r>
      <w:r w:rsidRPr="005E758A">
        <w:rPr>
          <w:rStyle w:val="af3"/>
          <w:sz w:val="28"/>
          <w:szCs w:val="28"/>
        </w:rPr>
        <w:endnoteReference w:id="429"/>
      </w:r>
      <w:r w:rsidRPr="005E758A">
        <w:rPr>
          <w:sz w:val="28"/>
          <w:szCs w:val="28"/>
        </w:rPr>
        <w:t>。雖然公約的準備文件以及兒童權利委員會的實踐均顯示國際勞工組織的相關條約（特別是第</w:t>
      </w:r>
      <w:r w:rsidRPr="005E758A">
        <w:rPr>
          <w:sz w:val="28"/>
          <w:szCs w:val="28"/>
        </w:rPr>
        <w:t>138</w:t>
      </w:r>
      <w:r w:rsidRPr="005E758A">
        <w:rPr>
          <w:sz w:val="28"/>
          <w:szCs w:val="28"/>
        </w:rPr>
        <w:t>和</w:t>
      </w:r>
      <w:r w:rsidRPr="005E758A">
        <w:rPr>
          <w:sz w:val="28"/>
          <w:szCs w:val="28"/>
        </w:rPr>
        <w:t>182</w:t>
      </w:r>
      <w:r w:rsidRPr="005E758A">
        <w:rPr>
          <w:sz w:val="28"/>
          <w:szCs w:val="28"/>
        </w:rPr>
        <w:t>號公約）是最重要的參考依據，惟最終公約文字選用「其他國際文件」，而非僅限於特定條約，因此解釋上亦不應受限於國際勞工組織條約</w:t>
      </w:r>
      <w:r w:rsidRPr="005E758A">
        <w:rPr>
          <w:rStyle w:val="af3"/>
          <w:sz w:val="28"/>
          <w:szCs w:val="28"/>
        </w:rPr>
        <w:endnoteReference w:id="430"/>
      </w:r>
      <w:r w:rsidRPr="005E758A">
        <w:rPr>
          <w:sz w:val="28"/>
          <w:szCs w:val="28"/>
        </w:rPr>
        <w:t>。</w:t>
      </w:r>
    </w:p>
    <w:p w14:paraId="2444FB30" w14:textId="77777777" w:rsidR="000424AB" w:rsidRPr="005E758A" w:rsidRDefault="000424AB" w:rsidP="00490C95">
      <w:pPr>
        <w:snapToGrid w:val="0"/>
        <w:spacing w:before="100" w:beforeAutospacing="1" w:after="100" w:afterAutospacing="1" w:line="0" w:lineRule="atLeast"/>
        <w:ind w:firstLineChars="200" w:firstLine="560"/>
        <w:jc w:val="both"/>
        <w:rPr>
          <w:sz w:val="28"/>
          <w:szCs w:val="28"/>
        </w:rPr>
      </w:pPr>
      <w:r w:rsidRPr="005E758A">
        <w:rPr>
          <w:sz w:val="28"/>
          <w:szCs w:val="28"/>
        </w:rPr>
        <w:t>本項最後列出</w:t>
      </w:r>
      <w:r w:rsidRPr="005E758A">
        <w:rPr>
          <w:sz w:val="28"/>
          <w:szCs w:val="28"/>
        </w:rPr>
        <w:t>3</w:t>
      </w:r>
      <w:r w:rsidRPr="005E758A">
        <w:rPr>
          <w:sz w:val="28"/>
          <w:szCs w:val="28"/>
        </w:rPr>
        <w:t>款締約國「尤應」規範的事項，表示這三款乃屬例示而非列舉規定。第</w:t>
      </w:r>
      <w:r w:rsidRPr="005E758A">
        <w:rPr>
          <w:sz w:val="28"/>
          <w:szCs w:val="28"/>
        </w:rPr>
        <w:t>1</w:t>
      </w:r>
      <w:r w:rsidRPr="005E758A">
        <w:rPr>
          <w:sz w:val="28"/>
          <w:szCs w:val="28"/>
        </w:rPr>
        <w:t>款為最低受</w:t>
      </w:r>
      <w:proofErr w:type="gramStart"/>
      <w:r w:rsidRPr="005E758A">
        <w:rPr>
          <w:sz w:val="28"/>
          <w:szCs w:val="28"/>
        </w:rPr>
        <w:t>僱</w:t>
      </w:r>
      <w:proofErr w:type="gramEnd"/>
      <w:r w:rsidRPr="005E758A">
        <w:rPr>
          <w:sz w:val="28"/>
          <w:szCs w:val="28"/>
        </w:rPr>
        <w:t>年齡的規範，公約起草過程中，各國對於最低受</w:t>
      </w:r>
      <w:proofErr w:type="gramStart"/>
      <w:r w:rsidRPr="005E758A">
        <w:rPr>
          <w:sz w:val="28"/>
          <w:szCs w:val="28"/>
        </w:rPr>
        <w:t>僱</w:t>
      </w:r>
      <w:proofErr w:type="gramEnd"/>
      <w:r w:rsidRPr="005E758A">
        <w:rPr>
          <w:sz w:val="28"/>
          <w:szCs w:val="28"/>
        </w:rPr>
        <w:t>年齡為何無法達成共識，因此未於條文中訂立確切數字</w:t>
      </w:r>
      <w:r w:rsidRPr="005E758A">
        <w:rPr>
          <w:rStyle w:val="af3"/>
          <w:sz w:val="28"/>
          <w:szCs w:val="28"/>
        </w:rPr>
        <w:endnoteReference w:id="431"/>
      </w:r>
      <w:r w:rsidRPr="005E758A">
        <w:rPr>
          <w:sz w:val="28"/>
          <w:szCs w:val="28"/>
        </w:rPr>
        <w:t>，最終版的</w:t>
      </w:r>
      <w:r w:rsidR="0059076C" w:rsidRPr="005E758A">
        <w:rPr>
          <w:sz w:val="28"/>
          <w:szCs w:val="28"/>
        </w:rPr>
        <w:t>條文反映各國國情不同，無法以統一標準規範，另外本</w:t>
      </w:r>
      <w:r w:rsidRPr="005E758A">
        <w:rPr>
          <w:sz w:val="28"/>
          <w:szCs w:val="28"/>
        </w:rPr>
        <w:t>款「單一或二個以上」的用語也承認不同的工作應有不同的最低受</w:t>
      </w:r>
      <w:proofErr w:type="gramStart"/>
      <w:r w:rsidRPr="005E758A">
        <w:rPr>
          <w:sz w:val="28"/>
          <w:szCs w:val="28"/>
        </w:rPr>
        <w:t>僱</w:t>
      </w:r>
      <w:proofErr w:type="gramEnd"/>
      <w:r w:rsidRPr="005E758A">
        <w:rPr>
          <w:sz w:val="28"/>
          <w:szCs w:val="28"/>
        </w:rPr>
        <w:t>年齡規範</w:t>
      </w:r>
      <w:r w:rsidR="0059076C" w:rsidRPr="005E758A">
        <w:rPr>
          <w:sz w:val="28"/>
          <w:szCs w:val="28"/>
        </w:rPr>
        <w:t>。</w:t>
      </w:r>
      <w:r w:rsidRPr="005E758A">
        <w:rPr>
          <w:sz w:val="28"/>
          <w:szCs w:val="28"/>
        </w:rPr>
        <w:t>實踐上兒童權利委員會經常引用國際勞工組織第</w:t>
      </w:r>
      <w:r w:rsidRPr="005E758A">
        <w:rPr>
          <w:sz w:val="28"/>
          <w:szCs w:val="28"/>
        </w:rPr>
        <w:t>138</w:t>
      </w:r>
      <w:r w:rsidRPr="005E758A">
        <w:rPr>
          <w:sz w:val="28"/>
          <w:szCs w:val="28"/>
        </w:rPr>
        <w:t>號公約的標準，作為對締約國的建議</w:t>
      </w:r>
      <w:r w:rsidRPr="005E758A">
        <w:rPr>
          <w:rStyle w:val="af3"/>
          <w:sz w:val="28"/>
          <w:szCs w:val="28"/>
        </w:rPr>
        <w:endnoteReference w:id="432"/>
      </w:r>
      <w:r w:rsidRPr="005E758A">
        <w:rPr>
          <w:sz w:val="28"/>
          <w:szCs w:val="28"/>
        </w:rPr>
        <w:t>。</w:t>
      </w:r>
    </w:p>
    <w:p w14:paraId="0565253A" w14:textId="77777777" w:rsidR="000424AB" w:rsidRPr="005E758A" w:rsidRDefault="000424AB" w:rsidP="00490C95">
      <w:pPr>
        <w:snapToGrid w:val="0"/>
        <w:spacing w:before="100" w:beforeAutospacing="1" w:after="100" w:afterAutospacing="1" w:line="0" w:lineRule="atLeast"/>
        <w:ind w:firstLineChars="200" w:firstLine="560"/>
        <w:jc w:val="both"/>
        <w:rPr>
          <w:sz w:val="28"/>
          <w:szCs w:val="28"/>
        </w:rPr>
      </w:pPr>
      <w:r w:rsidRPr="005E758A">
        <w:rPr>
          <w:sz w:val="28"/>
          <w:szCs w:val="28"/>
        </w:rPr>
        <w:t>根據本項第</w:t>
      </w:r>
      <w:r w:rsidRPr="005E758A">
        <w:rPr>
          <w:sz w:val="28"/>
          <w:szCs w:val="28"/>
        </w:rPr>
        <w:t>2</w:t>
      </w:r>
      <w:r w:rsidR="0059076C" w:rsidRPr="005E758A">
        <w:rPr>
          <w:sz w:val="28"/>
          <w:szCs w:val="28"/>
        </w:rPr>
        <w:t>款，締約國有義務就工時與工作條件規定「適當」</w:t>
      </w:r>
      <w:r w:rsidR="0059076C" w:rsidRPr="005E758A">
        <w:rPr>
          <w:sz w:val="28"/>
          <w:szCs w:val="28"/>
        </w:rPr>
        <w:lastRenderedPageBreak/>
        <w:t>規則，就</w:t>
      </w:r>
      <w:r w:rsidRPr="005E758A">
        <w:rPr>
          <w:sz w:val="28"/>
          <w:szCs w:val="28"/>
        </w:rPr>
        <w:t>此</w:t>
      </w:r>
      <w:r w:rsidR="0059076C" w:rsidRPr="005E758A">
        <w:rPr>
          <w:sz w:val="28"/>
          <w:szCs w:val="28"/>
        </w:rPr>
        <w:t>，</w:t>
      </w:r>
      <w:r w:rsidRPr="005E758A">
        <w:rPr>
          <w:sz w:val="28"/>
          <w:szCs w:val="28"/>
        </w:rPr>
        <w:t>公</w:t>
      </w:r>
      <w:r w:rsidR="0059076C" w:rsidRPr="005E758A">
        <w:rPr>
          <w:sz w:val="28"/>
          <w:szCs w:val="28"/>
        </w:rPr>
        <w:t>約同樣沒有設下明確標準。</w:t>
      </w:r>
      <w:r w:rsidRPr="005E758A">
        <w:rPr>
          <w:sz w:val="28"/>
          <w:szCs w:val="28"/>
        </w:rPr>
        <w:t>本項前段提及</w:t>
      </w:r>
      <w:r w:rsidR="0059076C" w:rsidRPr="005E758A">
        <w:rPr>
          <w:sz w:val="28"/>
          <w:szCs w:val="28"/>
        </w:rPr>
        <w:t>的</w:t>
      </w:r>
      <w:r w:rsidRPr="005E758A">
        <w:rPr>
          <w:sz w:val="28"/>
          <w:szCs w:val="28"/>
        </w:rPr>
        <w:t>「立法、行政、社會與教育措施</w:t>
      </w:r>
      <w:r w:rsidR="0059076C" w:rsidRPr="005E758A">
        <w:rPr>
          <w:sz w:val="28"/>
          <w:szCs w:val="28"/>
        </w:rPr>
        <w:t>」</w:t>
      </w:r>
      <w:r w:rsidRPr="005E758A">
        <w:rPr>
          <w:sz w:val="28"/>
          <w:szCs w:val="28"/>
        </w:rPr>
        <w:t>，締約國可</w:t>
      </w:r>
      <w:r w:rsidR="0059076C" w:rsidRPr="005E758A">
        <w:rPr>
          <w:sz w:val="28"/>
          <w:szCs w:val="28"/>
        </w:rPr>
        <w:t>以立法或</w:t>
      </w:r>
      <w:r w:rsidRPr="005E758A">
        <w:rPr>
          <w:sz w:val="28"/>
          <w:szCs w:val="28"/>
        </w:rPr>
        <w:t>行政命令訂定工時及工作條件標準，另外</w:t>
      </w:r>
      <w:r w:rsidR="0059076C" w:rsidRPr="005E758A">
        <w:rPr>
          <w:sz w:val="28"/>
          <w:szCs w:val="28"/>
        </w:rPr>
        <w:t>，亦可透過工會與僱主間集體協商</w:t>
      </w:r>
      <w:r w:rsidRPr="005E758A">
        <w:rPr>
          <w:sz w:val="28"/>
          <w:szCs w:val="28"/>
        </w:rPr>
        <w:t>之社會措施達成本條規範</w:t>
      </w:r>
      <w:r w:rsidR="0059076C" w:rsidRPr="005E758A">
        <w:rPr>
          <w:sz w:val="28"/>
          <w:szCs w:val="28"/>
        </w:rPr>
        <w:t>的</w:t>
      </w:r>
      <w:r w:rsidRPr="005E758A">
        <w:rPr>
          <w:sz w:val="28"/>
          <w:szCs w:val="28"/>
        </w:rPr>
        <w:t>目的</w:t>
      </w:r>
      <w:r w:rsidRPr="005E758A">
        <w:rPr>
          <w:rStyle w:val="af3"/>
          <w:sz w:val="28"/>
          <w:szCs w:val="28"/>
        </w:rPr>
        <w:endnoteReference w:id="433"/>
      </w:r>
      <w:r w:rsidRPr="005E758A">
        <w:rPr>
          <w:sz w:val="28"/>
          <w:szCs w:val="28"/>
        </w:rPr>
        <w:t>。訂定工時與工作條件規則時，可參考國際勞工組織相關條約</w:t>
      </w:r>
      <w:proofErr w:type="gramStart"/>
      <w:r w:rsidRPr="005E758A">
        <w:rPr>
          <w:sz w:val="28"/>
          <w:szCs w:val="28"/>
        </w:rPr>
        <w:t>（</w:t>
      </w:r>
      <w:proofErr w:type="gramEnd"/>
      <w:r w:rsidRPr="005E758A">
        <w:rPr>
          <w:sz w:val="28"/>
          <w:szCs w:val="28"/>
        </w:rPr>
        <w:t>例如：第</w:t>
      </w:r>
      <w:r w:rsidRPr="005E758A">
        <w:rPr>
          <w:sz w:val="28"/>
          <w:szCs w:val="28"/>
        </w:rPr>
        <w:t>5</w:t>
      </w:r>
      <w:r w:rsidRPr="005E758A">
        <w:rPr>
          <w:sz w:val="28"/>
          <w:szCs w:val="28"/>
        </w:rPr>
        <w:t>、</w:t>
      </w:r>
      <w:r w:rsidRPr="005E758A">
        <w:rPr>
          <w:sz w:val="28"/>
          <w:szCs w:val="28"/>
        </w:rPr>
        <w:t>6</w:t>
      </w:r>
      <w:r w:rsidRPr="005E758A">
        <w:rPr>
          <w:sz w:val="28"/>
          <w:szCs w:val="28"/>
        </w:rPr>
        <w:t>、</w:t>
      </w:r>
      <w:r w:rsidRPr="005E758A">
        <w:rPr>
          <w:sz w:val="28"/>
          <w:szCs w:val="28"/>
        </w:rPr>
        <w:t>79</w:t>
      </w:r>
      <w:r w:rsidRPr="005E758A">
        <w:rPr>
          <w:sz w:val="28"/>
          <w:szCs w:val="28"/>
        </w:rPr>
        <w:t>、</w:t>
      </w:r>
      <w:r w:rsidRPr="005E758A">
        <w:rPr>
          <w:sz w:val="28"/>
          <w:szCs w:val="28"/>
        </w:rPr>
        <w:t>90</w:t>
      </w:r>
      <w:r w:rsidRPr="005E758A">
        <w:rPr>
          <w:sz w:val="28"/>
          <w:szCs w:val="28"/>
        </w:rPr>
        <w:t>、</w:t>
      </w:r>
      <w:r w:rsidRPr="005E758A">
        <w:rPr>
          <w:sz w:val="28"/>
          <w:szCs w:val="28"/>
        </w:rPr>
        <w:t>123</w:t>
      </w:r>
      <w:r w:rsidRPr="005E758A">
        <w:rPr>
          <w:sz w:val="28"/>
          <w:szCs w:val="28"/>
        </w:rPr>
        <w:t>、</w:t>
      </w:r>
      <w:r w:rsidRPr="005E758A">
        <w:rPr>
          <w:sz w:val="28"/>
          <w:szCs w:val="28"/>
        </w:rPr>
        <w:t>124</w:t>
      </w:r>
      <w:r w:rsidRPr="005E758A">
        <w:rPr>
          <w:sz w:val="28"/>
          <w:szCs w:val="28"/>
        </w:rPr>
        <w:t>號</w:t>
      </w:r>
      <w:proofErr w:type="gramStart"/>
      <w:r w:rsidRPr="005E758A">
        <w:rPr>
          <w:sz w:val="28"/>
          <w:szCs w:val="28"/>
        </w:rPr>
        <w:t>）</w:t>
      </w:r>
      <w:proofErr w:type="gramEnd"/>
      <w:r w:rsidRPr="005E758A">
        <w:rPr>
          <w:sz w:val="28"/>
          <w:szCs w:val="28"/>
        </w:rPr>
        <w:t>。</w:t>
      </w:r>
    </w:p>
    <w:p w14:paraId="1451CBCF" w14:textId="77777777" w:rsidR="000424AB" w:rsidRPr="005E758A" w:rsidRDefault="0059076C" w:rsidP="00490C95">
      <w:pPr>
        <w:snapToGrid w:val="0"/>
        <w:spacing w:before="100" w:beforeAutospacing="1" w:after="100" w:afterAutospacing="1" w:line="0" w:lineRule="atLeast"/>
        <w:ind w:firstLineChars="200" w:firstLine="560"/>
        <w:jc w:val="both"/>
        <w:rPr>
          <w:sz w:val="28"/>
          <w:szCs w:val="28"/>
        </w:rPr>
      </w:pPr>
      <w:r w:rsidRPr="005E758A">
        <w:rPr>
          <w:sz w:val="28"/>
          <w:szCs w:val="28"/>
        </w:rPr>
        <w:t>本項</w:t>
      </w:r>
      <w:r w:rsidR="000424AB" w:rsidRPr="005E758A">
        <w:rPr>
          <w:sz w:val="28"/>
          <w:szCs w:val="28"/>
        </w:rPr>
        <w:t>第</w:t>
      </w:r>
      <w:r w:rsidR="000424AB" w:rsidRPr="005E758A">
        <w:rPr>
          <w:sz w:val="28"/>
          <w:szCs w:val="28"/>
        </w:rPr>
        <w:t>3</w:t>
      </w:r>
      <w:r w:rsidRPr="005E758A">
        <w:rPr>
          <w:sz w:val="28"/>
          <w:szCs w:val="28"/>
        </w:rPr>
        <w:t>款</w:t>
      </w:r>
      <w:r w:rsidR="000424AB" w:rsidRPr="005E758A">
        <w:rPr>
          <w:sz w:val="28"/>
          <w:szCs w:val="28"/>
        </w:rPr>
        <w:t>，要求締約國為確保落實本條義務訂立「適當」罰則或其他制裁措施</w:t>
      </w:r>
      <w:r w:rsidRPr="005E758A">
        <w:rPr>
          <w:sz w:val="28"/>
          <w:szCs w:val="28"/>
        </w:rPr>
        <w:t>，亦</w:t>
      </w:r>
      <w:r w:rsidR="000424AB" w:rsidRPr="005E758A">
        <w:rPr>
          <w:sz w:val="28"/>
          <w:szCs w:val="28"/>
        </w:rPr>
        <w:t>未訂立特定標準，罰則可能包括罰金或拘役等刑罰</w:t>
      </w:r>
      <w:r w:rsidR="000424AB" w:rsidRPr="005E758A">
        <w:rPr>
          <w:rStyle w:val="af3"/>
          <w:sz w:val="28"/>
          <w:szCs w:val="28"/>
        </w:rPr>
        <w:endnoteReference w:id="434"/>
      </w:r>
      <w:r w:rsidR="000424AB" w:rsidRPr="005E758A">
        <w:rPr>
          <w:sz w:val="28"/>
          <w:szCs w:val="28"/>
        </w:rPr>
        <w:t>，但兒童權利委員會較少就罰則或措施提供明確建議，但曾建議締約國提供勞動檢查員足夠的資源，使其能監督勞動標準的落實，並處理申訴案件</w:t>
      </w:r>
      <w:r w:rsidR="000424AB" w:rsidRPr="005E758A">
        <w:rPr>
          <w:rStyle w:val="af3"/>
          <w:sz w:val="28"/>
          <w:szCs w:val="28"/>
        </w:rPr>
        <w:endnoteReference w:id="435"/>
      </w:r>
      <w:r w:rsidR="000424AB" w:rsidRPr="005E758A">
        <w:rPr>
          <w:sz w:val="28"/>
          <w:szCs w:val="28"/>
        </w:rPr>
        <w:t>。</w:t>
      </w:r>
    </w:p>
    <w:p w14:paraId="21047E59" w14:textId="77777777" w:rsidR="000424AB" w:rsidRPr="005E758A" w:rsidRDefault="000424AB" w:rsidP="00490C95">
      <w:pPr>
        <w:pStyle w:val="2"/>
        <w:spacing w:line="0" w:lineRule="atLeast"/>
        <w:rPr>
          <w:szCs w:val="28"/>
        </w:rPr>
      </w:pPr>
      <w:r w:rsidRPr="005E758A">
        <w:rPr>
          <w:szCs w:val="28"/>
        </w:rPr>
        <w:t>案例介紹</w:t>
      </w:r>
    </w:p>
    <w:p w14:paraId="446FCE02" w14:textId="77777777" w:rsidR="000424AB" w:rsidRPr="005E758A" w:rsidRDefault="00500FF9" w:rsidP="00490C95">
      <w:pPr>
        <w:pStyle w:val="3"/>
        <w:numPr>
          <w:ilvl w:val="0"/>
          <w:numId w:val="20"/>
        </w:numPr>
        <w:spacing w:line="0" w:lineRule="atLeast"/>
        <w:rPr>
          <w:szCs w:val="28"/>
        </w:rPr>
      </w:pPr>
      <w:r w:rsidRPr="005E758A">
        <w:rPr>
          <w:szCs w:val="28"/>
        </w:rPr>
        <w:t>2005</w:t>
      </w:r>
      <w:r w:rsidRPr="005E758A">
        <w:rPr>
          <w:szCs w:val="28"/>
        </w:rPr>
        <w:t>年</w:t>
      </w:r>
      <w:r w:rsidR="000424AB" w:rsidRPr="005E758A">
        <w:rPr>
          <w:szCs w:val="28"/>
        </w:rPr>
        <w:t>歐洲人權法院女童</w:t>
      </w:r>
      <w:r w:rsidR="00FC16DD" w:rsidRPr="005E758A">
        <w:rPr>
          <w:szCs w:val="28"/>
        </w:rPr>
        <w:t>奴役</w:t>
      </w:r>
      <w:r w:rsidR="000424AB" w:rsidRPr="005E758A">
        <w:rPr>
          <w:szCs w:val="28"/>
        </w:rPr>
        <w:t>案：</w:t>
      </w:r>
      <w:proofErr w:type="spellStart"/>
      <w:r w:rsidR="000424AB" w:rsidRPr="005E758A">
        <w:rPr>
          <w:szCs w:val="28"/>
        </w:rPr>
        <w:t>Silia</w:t>
      </w:r>
      <w:r w:rsidR="00DE1BCB" w:rsidRPr="005E758A">
        <w:rPr>
          <w:szCs w:val="28"/>
        </w:rPr>
        <w:t>n</w:t>
      </w:r>
      <w:r w:rsidR="000424AB" w:rsidRPr="005E758A">
        <w:rPr>
          <w:szCs w:val="28"/>
        </w:rPr>
        <w:t>din</w:t>
      </w:r>
      <w:proofErr w:type="spellEnd"/>
      <w:r w:rsidR="000424AB" w:rsidRPr="005E758A">
        <w:rPr>
          <w:szCs w:val="28"/>
        </w:rPr>
        <w:t xml:space="preserve"> v. France</w:t>
      </w:r>
      <w:r w:rsidR="000424AB" w:rsidRPr="005E758A">
        <w:rPr>
          <w:rStyle w:val="af3"/>
          <w:szCs w:val="28"/>
        </w:rPr>
        <w:endnoteReference w:id="436"/>
      </w:r>
    </w:p>
    <w:p w14:paraId="103F0CFA" w14:textId="77777777" w:rsidR="000424AB" w:rsidRPr="005E758A" w:rsidRDefault="000424AB" w:rsidP="00490C95">
      <w:pPr>
        <w:snapToGrid w:val="0"/>
        <w:spacing w:before="100" w:beforeAutospacing="1" w:after="100" w:afterAutospacing="1" w:line="0" w:lineRule="atLeast"/>
        <w:ind w:firstLineChars="200" w:firstLine="560"/>
        <w:jc w:val="both"/>
        <w:rPr>
          <w:sz w:val="28"/>
          <w:szCs w:val="28"/>
        </w:rPr>
      </w:pPr>
      <w:r w:rsidRPr="005E758A">
        <w:rPr>
          <w:sz w:val="28"/>
          <w:szCs w:val="28"/>
        </w:rPr>
        <w:t>一名</w:t>
      </w:r>
      <w:proofErr w:type="gramStart"/>
      <w:r w:rsidRPr="005E758A">
        <w:rPr>
          <w:sz w:val="28"/>
          <w:szCs w:val="28"/>
        </w:rPr>
        <w:t>多哥籍</w:t>
      </w:r>
      <w:r w:rsidRPr="005E758A">
        <w:rPr>
          <w:sz w:val="28"/>
          <w:szCs w:val="28"/>
        </w:rPr>
        <w:t>15</w:t>
      </w:r>
      <w:r w:rsidRPr="005E758A">
        <w:rPr>
          <w:sz w:val="28"/>
          <w:szCs w:val="28"/>
        </w:rPr>
        <w:t>歲女童持觀光</w:t>
      </w:r>
      <w:proofErr w:type="gramEnd"/>
      <w:r w:rsidRPr="005E758A">
        <w:rPr>
          <w:sz w:val="28"/>
          <w:szCs w:val="28"/>
        </w:rPr>
        <w:t>簽證隨著法籍</w:t>
      </w:r>
      <w:proofErr w:type="gramStart"/>
      <w:r w:rsidRPr="005E758A">
        <w:rPr>
          <w:sz w:val="28"/>
          <w:szCs w:val="28"/>
        </w:rPr>
        <w:t>多哥裔</w:t>
      </w:r>
      <w:proofErr w:type="gramEnd"/>
      <w:r w:rsidRPr="005E758A">
        <w:rPr>
          <w:sz w:val="28"/>
          <w:szCs w:val="28"/>
        </w:rPr>
        <w:t>D</w:t>
      </w:r>
      <w:r w:rsidRPr="005E758A">
        <w:rPr>
          <w:sz w:val="28"/>
          <w:szCs w:val="28"/>
        </w:rPr>
        <w:t>女子進入法國，雙方原先約定該名女童在</w:t>
      </w:r>
      <w:r w:rsidRPr="005E758A">
        <w:rPr>
          <w:sz w:val="28"/>
          <w:szCs w:val="28"/>
        </w:rPr>
        <w:t>D</w:t>
      </w:r>
      <w:r w:rsidRPr="005E758A">
        <w:rPr>
          <w:sz w:val="28"/>
          <w:szCs w:val="28"/>
        </w:rPr>
        <w:t>女子家中工作以還清多哥到法國的機票費用，</w:t>
      </w:r>
      <w:r w:rsidRPr="005E758A">
        <w:rPr>
          <w:sz w:val="28"/>
          <w:szCs w:val="28"/>
        </w:rPr>
        <w:t>D</w:t>
      </w:r>
      <w:r w:rsidR="0059076C" w:rsidRPr="005E758A">
        <w:rPr>
          <w:sz w:val="28"/>
          <w:szCs w:val="28"/>
        </w:rPr>
        <w:t>女子並承諾讓女童在學校註冊並受教育以及處理相關移民手續。</w:t>
      </w:r>
      <w:r w:rsidRPr="005E758A">
        <w:rPr>
          <w:sz w:val="28"/>
          <w:szCs w:val="28"/>
        </w:rPr>
        <w:t>但是兩人到了法國之後，</w:t>
      </w:r>
      <w:r w:rsidRPr="005E758A">
        <w:rPr>
          <w:sz w:val="28"/>
          <w:szCs w:val="28"/>
        </w:rPr>
        <w:t>D</w:t>
      </w:r>
      <w:r w:rsidRPr="005E758A">
        <w:rPr>
          <w:sz w:val="28"/>
          <w:szCs w:val="28"/>
        </w:rPr>
        <w:t>女子沒收女童的護照並逼迫其無償擔任家中的僕人，並於其後將女童「借」給</w:t>
      </w:r>
      <w:r w:rsidRPr="005E758A">
        <w:rPr>
          <w:sz w:val="28"/>
          <w:szCs w:val="28"/>
        </w:rPr>
        <w:t>B</w:t>
      </w:r>
      <w:r w:rsidRPr="005E758A">
        <w:rPr>
          <w:sz w:val="28"/>
          <w:szCs w:val="28"/>
        </w:rPr>
        <w:t>夫婦，</w:t>
      </w:r>
      <w:r w:rsidRPr="005E758A">
        <w:rPr>
          <w:sz w:val="28"/>
          <w:szCs w:val="28"/>
        </w:rPr>
        <w:t>B</w:t>
      </w:r>
      <w:r w:rsidRPr="005E758A">
        <w:rPr>
          <w:sz w:val="28"/>
          <w:szCs w:val="28"/>
        </w:rPr>
        <w:t>夫婦同樣逼迫女童無償擔任家中的僕人，每週工作</w:t>
      </w:r>
      <w:r w:rsidRPr="005E758A">
        <w:rPr>
          <w:sz w:val="28"/>
          <w:szCs w:val="28"/>
        </w:rPr>
        <w:t>7</w:t>
      </w:r>
      <w:r w:rsidRPr="005E758A">
        <w:rPr>
          <w:sz w:val="28"/>
          <w:szCs w:val="28"/>
        </w:rPr>
        <w:t>天，每天工作</w:t>
      </w:r>
      <w:r w:rsidRPr="005E758A">
        <w:rPr>
          <w:sz w:val="28"/>
          <w:szCs w:val="28"/>
        </w:rPr>
        <w:t>15</w:t>
      </w:r>
      <w:r w:rsidRPr="005E758A">
        <w:rPr>
          <w:sz w:val="28"/>
          <w:szCs w:val="28"/>
        </w:rPr>
        <w:t>小時，女童並沒有機會受教育，且相關移民手續亦未辦理。後來在鄰居通報下，</w:t>
      </w:r>
      <w:r w:rsidRPr="005E758A">
        <w:rPr>
          <w:sz w:val="28"/>
          <w:szCs w:val="28"/>
        </w:rPr>
        <w:t>B</w:t>
      </w:r>
      <w:r w:rsidR="0059076C" w:rsidRPr="005E758A">
        <w:rPr>
          <w:sz w:val="28"/>
          <w:szCs w:val="28"/>
        </w:rPr>
        <w:t>夫婦住處遭搜索，並於其後依照法國刑法定罪並</w:t>
      </w:r>
      <w:proofErr w:type="gramStart"/>
      <w:r w:rsidR="0059076C" w:rsidRPr="005E758A">
        <w:rPr>
          <w:sz w:val="28"/>
          <w:szCs w:val="28"/>
        </w:rPr>
        <w:t>判刑且處以</w:t>
      </w:r>
      <w:proofErr w:type="gramEnd"/>
      <w:r w:rsidR="0059076C" w:rsidRPr="005E758A">
        <w:rPr>
          <w:sz w:val="28"/>
          <w:szCs w:val="28"/>
        </w:rPr>
        <w:t>罰金。但巴黎上訴法院駁回原判決並宣告被告無罪。另一方面，女童在民事訴訟部分</w:t>
      </w:r>
      <w:r w:rsidRPr="005E758A">
        <w:rPr>
          <w:sz w:val="28"/>
          <w:szCs w:val="28"/>
        </w:rPr>
        <w:t>上訴成功，凡爾賽上訴法院及巴黎工業法院均判決</w:t>
      </w:r>
      <w:r w:rsidRPr="005E758A">
        <w:rPr>
          <w:sz w:val="28"/>
          <w:szCs w:val="28"/>
        </w:rPr>
        <w:t>B</w:t>
      </w:r>
      <w:r w:rsidRPr="005E758A">
        <w:rPr>
          <w:sz w:val="28"/>
          <w:szCs w:val="28"/>
        </w:rPr>
        <w:t>夫婦須賠償女童。女童後來向歐洲人權法院提出告訴，主張法國</w:t>
      </w:r>
      <w:r w:rsidR="0059076C" w:rsidRPr="005E758A">
        <w:rPr>
          <w:sz w:val="28"/>
          <w:szCs w:val="28"/>
        </w:rPr>
        <w:t>未透過適當的刑法規定避免及有效的懲罰違反奴隸、奴役及強制勞動罪</w:t>
      </w:r>
      <w:r w:rsidR="009C0DA2" w:rsidRPr="005E758A">
        <w:rPr>
          <w:sz w:val="28"/>
          <w:szCs w:val="28"/>
        </w:rPr>
        <w:t>等犯罪</w:t>
      </w:r>
      <w:r w:rsidR="00F935D9" w:rsidRPr="005E758A">
        <w:rPr>
          <w:sz w:val="28"/>
          <w:szCs w:val="28"/>
        </w:rPr>
        <w:t>行</w:t>
      </w:r>
      <w:r w:rsidR="009C0DA2" w:rsidRPr="005E758A">
        <w:rPr>
          <w:sz w:val="28"/>
          <w:szCs w:val="28"/>
        </w:rPr>
        <w:t>為</w:t>
      </w:r>
      <w:r w:rsidR="003A0C3E" w:rsidRPr="005E758A">
        <w:rPr>
          <w:sz w:val="28"/>
          <w:szCs w:val="28"/>
        </w:rPr>
        <w:t>，違反歐洲人權公約第</w:t>
      </w:r>
      <w:r w:rsidR="003A0C3E" w:rsidRPr="005E758A">
        <w:rPr>
          <w:sz w:val="28"/>
          <w:szCs w:val="28"/>
        </w:rPr>
        <w:t>4</w:t>
      </w:r>
      <w:r w:rsidR="003A0C3E" w:rsidRPr="005E758A">
        <w:rPr>
          <w:sz w:val="28"/>
          <w:szCs w:val="28"/>
        </w:rPr>
        <w:t>條。</w:t>
      </w:r>
    </w:p>
    <w:p w14:paraId="5DE19C06" w14:textId="77777777" w:rsidR="000424AB" w:rsidRPr="005E758A" w:rsidRDefault="009C0DA2" w:rsidP="00490C95">
      <w:pPr>
        <w:snapToGrid w:val="0"/>
        <w:spacing w:before="100" w:beforeAutospacing="1" w:after="100" w:afterAutospacing="1" w:line="0" w:lineRule="atLeast"/>
        <w:ind w:firstLineChars="200" w:firstLine="560"/>
        <w:jc w:val="both"/>
        <w:rPr>
          <w:sz w:val="28"/>
          <w:szCs w:val="28"/>
        </w:rPr>
      </w:pPr>
      <w:r w:rsidRPr="005E758A">
        <w:rPr>
          <w:sz w:val="28"/>
          <w:szCs w:val="28"/>
        </w:rPr>
        <w:t>歐洲人權</w:t>
      </w:r>
      <w:r w:rsidR="000424AB" w:rsidRPr="005E758A">
        <w:rPr>
          <w:sz w:val="28"/>
          <w:szCs w:val="28"/>
        </w:rPr>
        <w:t>法院認為在現行的法律及趨勢下，國家</w:t>
      </w:r>
      <w:r w:rsidRPr="005E758A">
        <w:rPr>
          <w:sz w:val="28"/>
          <w:szCs w:val="28"/>
        </w:rPr>
        <w:t>有積極的義務透過刑法規範處罰並起訴涉及奴隸、奴役及強迫勞動的人。</w:t>
      </w:r>
      <w:r w:rsidR="000424AB" w:rsidRPr="005E758A">
        <w:rPr>
          <w:sz w:val="28"/>
          <w:szCs w:val="28"/>
        </w:rPr>
        <w:t>法國刑法中相關條文僅處罰透過工作的一般剝削以及不符合人性尊嚴的工作及生活條件，並非特定處罰使</w:t>
      </w:r>
      <w:proofErr w:type="gramStart"/>
      <w:r w:rsidR="000424AB" w:rsidRPr="005E758A">
        <w:rPr>
          <w:sz w:val="28"/>
          <w:szCs w:val="28"/>
        </w:rPr>
        <w:t>人為奴</w:t>
      </w:r>
      <w:proofErr w:type="gramEnd"/>
      <w:r w:rsidR="000424AB" w:rsidRPr="005E758A">
        <w:rPr>
          <w:sz w:val="28"/>
          <w:szCs w:val="28"/>
        </w:rPr>
        <w:t>的犯行，規範顯有不足之處。針對兒童及其他弱勢族群，國家更有義務提供保護，透過有效的嚇阻措施避免及打擊對個人尊嚴的嚴重侵犯。</w:t>
      </w:r>
    </w:p>
    <w:p w14:paraId="332B7DC7" w14:textId="77777777" w:rsidR="000424AB" w:rsidRPr="005E758A" w:rsidRDefault="000424AB" w:rsidP="00490C95">
      <w:pPr>
        <w:snapToGrid w:val="0"/>
        <w:spacing w:before="100" w:beforeAutospacing="1" w:after="100" w:afterAutospacing="1" w:line="0" w:lineRule="atLeast"/>
        <w:ind w:firstLineChars="200" w:firstLine="560"/>
        <w:jc w:val="both"/>
        <w:rPr>
          <w:sz w:val="28"/>
          <w:szCs w:val="28"/>
        </w:rPr>
      </w:pPr>
      <w:r w:rsidRPr="005E758A">
        <w:rPr>
          <w:sz w:val="28"/>
          <w:szCs w:val="28"/>
        </w:rPr>
        <w:t>歐洲人權法院在</w:t>
      </w:r>
      <w:r w:rsidRPr="005E758A">
        <w:rPr>
          <w:sz w:val="28"/>
          <w:szCs w:val="28"/>
        </w:rPr>
        <w:t>2013</w:t>
      </w:r>
      <w:r w:rsidRPr="005E758A">
        <w:rPr>
          <w:sz w:val="28"/>
          <w:szCs w:val="28"/>
        </w:rPr>
        <w:t>年的</w:t>
      </w:r>
      <w:r w:rsidRPr="005E758A">
        <w:rPr>
          <w:i/>
          <w:sz w:val="28"/>
          <w:szCs w:val="28"/>
        </w:rPr>
        <w:t>C.N. and V. v. France</w:t>
      </w:r>
      <w:r w:rsidRPr="005E758A">
        <w:rPr>
          <w:sz w:val="28"/>
          <w:szCs w:val="28"/>
        </w:rPr>
        <w:t>案判決中再次的檢視了法國刑法的規定，由於在</w:t>
      </w:r>
      <w:proofErr w:type="spellStart"/>
      <w:r w:rsidRPr="005E758A">
        <w:rPr>
          <w:i/>
          <w:sz w:val="28"/>
          <w:szCs w:val="28"/>
        </w:rPr>
        <w:t>Siliandin</w:t>
      </w:r>
      <w:proofErr w:type="spellEnd"/>
      <w:r w:rsidRPr="005E758A">
        <w:rPr>
          <w:i/>
          <w:sz w:val="28"/>
          <w:szCs w:val="28"/>
        </w:rPr>
        <w:t xml:space="preserve"> v. France</w:t>
      </w:r>
      <w:r w:rsidRPr="005E758A">
        <w:rPr>
          <w:sz w:val="28"/>
          <w:szCs w:val="28"/>
        </w:rPr>
        <w:t>案判決做成後法國</w:t>
      </w:r>
      <w:r w:rsidRPr="005E758A">
        <w:rPr>
          <w:sz w:val="28"/>
          <w:szCs w:val="28"/>
        </w:rPr>
        <w:lastRenderedPageBreak/>
        <w:t>並未修改其刑法，因此</w:t>
      </w:r>
      <w:r w:rsidR="009C0DA2" w:rsidRPr="005E758A">
        <w:rPr>
          <w:sz w:val="28"/>
          <w:szCs w:val="28"/>
        </w:rPr>
        <w:t>歐洲人權</w:t>
      </w:r>
      <w:r w:rsidRPr="005E758A">
        <w:rPr>
          <w:sz w:val="28"/>
          <w:szCs w:val="28"/>
        </w:rPr>
        <w:t>法院在</w:t>
      </w:r>
      <w:r w:rsidRPr="005E758A">
        <w:rPr>
          <w:sz w:val="28"/>
          <w:szCs w:val="28"/>
        </w:rPr>
        <w:t>2013</w:t>
      </w:r>
      <w:r w:rsidRPr="005E758A">
        <w:rPr>
          <w:sz w:val="28"/>
          <w:szCs w:val="28"/>
        </w:rPr>
        <w:t>年的判決中重申了透過刑法有效規範的重要性。</w:t>
      </w:r>
    </w:p>
    <w:p w14:paraId="26850ED7" w14:textId="77777777" w:rsidR="000424AB" w:rsidRPr="005E758A" w:rsidRDefault="00500FF9" w:rsidP="00490C95">
      <w:pPr>
        <w:pStyle w:val="3"/>
        <w:spacing w:line="0" w:lineRule="atLeast"/>
        <w:rPr>
          <w:szCs w:val="28"/>
        </w:rPr>
      </w:pPr>
      <w:r w:rsidRPr="005E758A">
        <w:rPr>
          <w:szCs w:val="28"/>
        </w:rPr>
        <w:t>2014</w:t>
      </w:r>
      <w:r w:rsidRPr="005E758A">
        <w:rPr>
          <w:szCs w:val="28"/>
        </w:rPr>
        <w:t>年</w:t>
      </w:r>
      <w:r w:rsidR="000424AB" w:rsidRPr="005E758A">
        <w:rPr>
          <w:szCs w:val="28"/>
        </w:rPr>
        <w:t>非洲兒童權利和福利專家委員會強迫乞討案：</w:t>
      </w:r>
      <w:r w:rsidR="000424AB" w:rsidRPr="005E758A">
        <w:rPr>
          <w:szCs w:val="28"/>
        </w:rPr>
        <w:t xml:space="preserve">Centre for Human Rights, University of </w:t>
      </w:r>
      <w:proofErr w:type="gramStart"/>
      <w:r w:rsidR="000424AB" w:rsidRPr="005E758A">
        <w:rPr>
          <w:szCs w:val="28"/>
        </w:rPr>
        <w:t>Pretoria</w:t>
      </w:r>
      <w:proofErr w:type="gramEnd"/>
      <w:r w:rsidR="000424AB" w:rsidRPr="005E758A">
        <w:rPr>
          <w:szCs w:val="28"/>
        </w:rPr>
        <w:t xml:space="preserve"> and La Rencontre </w:t>
      </w:r>
      <w:proofErr w:type="spellStart"/>
      <w:r w:rsidR="000424AB" w:rsidRPr="005E758A">
        <w:rPr>
          <w:szCs w:val="28"/>
        </w:rPr>
        <w:t>Africaine</w:t>
      </w:r>
      <w:proofErr w:type="spellEnd"/>
      <w:r w:rsidR="000424AB" w:rsidRPr="005E758A">
        <w:rPr>
          <w:szCs w:val="28"/>
        </w:rPr>
        <w:t xml:space="preserve"> pour la Defense des Droits de </w:t>
      </w:r>
      <w:proofErr w:type="spellStart"/>
      <w:r w:rsidR="000424AB" w:rsidRPr="005E758A">
        <w:rPr>
          <w:szCs w:val="28"/>
        </w:rPr>
        <w:t>L’Homme</w:t>
      </w:r>
      <w:proofErr w:type="spellEnd"/>
      <w:r w:rsidR="000424AB" w:rsidRPr="005E758A">
        <w:rPr>
          <w:szCs w:val="28"/>
        </w:rPr>
        <w:t xml:space="preserve"> v. Senegal</w:t>
      </w:r>
      <w:r w:rsidR="000424AB" w:rsidRPr="005E758A">
        <w:rPr>
          <w:rStyle w:val="af3"/>
          <w:szCs w:val="28"/>
        </w:rPr>
        <w:endnoteReference w:id="437"/>
      </w:r>
    </w:p>
    <w:p w14:paraId="599715E3" w14:textId="77777777" w:rsidR="000424AB" w:rsidRPr="005E758A" w:rsidRDefault="000424AB" w:rsidP="00490C95">
      <w:pPr>
        <w:snapToGrid w:val="0"/>
        <w:spacing w:before="100" w:beforeAutospacing="1" w:after="100" w:afterAutospacing="1" w:line="0" w:lineRule="atLeast"/>
        <w:ind w:firstLineChars="200" w:firstLine="560"/>
        <w:jc w:val="both"/>
        <w:rPr>
          <w:sz w:val="28"/>
          <w:szCs w:val="28"/>
        </w:rPr>
      </w:pPr>
      <w:r w:rsidRPr="005E758A">
        <w:rPr>
          <w:sz w:val="28"/>
          <w:szCs w:val="28"/>
        </w:rPr>
        <w:t>塞內加爾境內有許多伊斯蘭教修士（稱為</w:t>
      </w:r>
      <w:r w:rsidRPr="005E758A">
        <w:rPr>
          <w:sz w:val="28"/>
          <w:szCs w:val="28"/>
        </w:rPr>
        <w:t>marabouts</w:t>
      </w:r>
      <w:r w:rsidRPr="005E758A">
        <w:rPr>
          <w:sz w:val="28"/>
          <w:szCs w:val="28"/>
        </w:rPr>
        <w:t>）宣稱要在塞內加爾城市中心的宗教學校（稱為</w:t>
      </w:r>
      <w:proofErr w:type="spellStart"/>
      <w:r w:rsidRPr="005E758A">
        <w:rPr>
          <w:sz w:val="28"/>
          <w:szCs w:val="28"/>
        </w:rPr>
        <w:t>daaras</w:t>
      </w:r>
      <w:proofErr w:type="spellEnd"/>
      <w:r w:rsidRPr="005E758A">
        <w:rPr>
          <w:sz w:val="28"/>
          <w:szCs w:val="28"/>
        </w:rPr>
        <w:t>）提供男童符合可蘭經的教育，計有</w:t>
      </w:r>
      <w:r w:rsidRPr="005E758A">
        <w:rPr>
          <w:sz w:val="28"/>
          <w:szCs w:val="28"/>
        </w:rPr>
        <w:t>10</w:t>
      </w:r>
      <w:r w:rsidRPr="005E758A">
        <w:rPr>
          <w:sz w:val="28"/>
          <w:szCs w:val="28"/>
        </w:rPr>
        <w:t>萬名</w:t>
      </w:r>
      <w:r w:rsidRPr="005E758A">
        <w:rPr>
          <w:sz w:val="28"/>
          <w:szCs w:val="28"/>
        </w:rPr>
        <w:t>4</w:t>
      </w:r>
      <w:r w:rsidRPr="005E758A">
        <w:rPr>
          <w:sz w:val="28"/>
          <w:szCs w:val="28"/>
        </w:rPr>
        <w:t>歲至</w:t>
      </w:r>
      <w:r w:rsidRPr="005E758A">
        <w:rPr>
          <w:sz w:val="28"/>
          <w:szCs w:val="28"/>
        </w:rPr>
        <w:t>12</w:t>
      </w:r>
      <w:r w:rsidRPr="005E758A">
        <w:rPr>
          <w:sz w:val="28"/>
          <w:szCs w:val="28"/>
        </w:rPr>
        <w:t>歲的男童（稱為</w:t>
      </w:r>
      <w:proofErr w:type="spellStart"/>
      <w:r w:rsidRPr="005E758A">
        <w:rPr>
          <w:sz w:val="28"/>
          <w:szCs w:val="28"/>
        </w:rPr>
        <w:t>talibés</w:t>
      </w:r>
      <w:proofErr w:type="spellEnd"/>
      <w:r w:rsidRPr="005E758A">
        <w:rPr>
          <w:sz w:val="28"/>
          <w:szCs w:val="28"/>
        </w:rPr>
        <w:t>）因此被帶離各自的家庭。針對此一現象，兩個民間組織對非洲兒童權利和福利專家委員會</w:t>
      </w:r>
      <w:r w:rsidR="009C0DA2" w:rsidRPr="005E758A">
        <w:rPr>
          <w:sz w:val="28"/>
          <w:szCs w:val="28"/>
        </w:rPr>
        <w:t>提出申訴</w:t>
      </w:r>
      <w:r w:rsidRPr="005E758A">
        <w:rPr>
          <w:sz w:val="28"/>
          <w:szCs w:val="28"/>
        </w:rPr>
        <w:t>，主張這些男童一旦被交給修士即被迫每天要在街上乞討</w:t>
      </w:r>
      <w:r w:rsidRPr="005E758A">
        <w:rPr>
          <w:sz w:val="28"/>
          <w:szCs w:val="28"/>
        </w:rPr>
        <w:t>6</w:t>
      </w:r>
      <w:r w:rsidRPr="005E758A">
        <w:rPr>
          <w:sz w:val="28"/>
          <w:szCs w:val="28"/>
        </w:rPr>
        <w:t>到</w:t>
      </w:r>
      <w:r w:rsidRPr="005E758A">
        <w:rPr>
          <w:sz w:val="28"/>
          <w:szCs w:val="28"/>
        </w:rPr>
        <w:t>8</w:t>
      </w:r>
      <w:r w:rsidRPr="005E758A">
        <w:rPr>
          <w:sz w:val="28"/>
          <w:szCs w:val="28"/>
        </w:rPr>
        <w:t>小時，其每天所受的可蘭經教育即被壓縮至</w:t>
      </w:r>
      <w:r w:rsidRPr="005E758A">
        <w:rPr>
          <w:sz w:val="28"/>
          <w:szCs w:val="28"/>
        </w:rPr>
        <w:t>5</w:t>
      </w:r>
      <w:r w:rsidR="009C0DA2" w:rsidRPr="005E758A">
        <w:rPr>
          <w:sz w:val="28"/>
          <w:szCs w:val="28"/>
        </w:rPr>
        <w:t>小時以下，而其乞討的成果必須符合每日收穫的標準，未達標準者會被修士體罰和處罰。該</w:t>
      </w:r>
      <w:r w:rsidRPr="005E758A">
        <w:rPr>
          <w:sz w:val="28"/>
          <w:szCs w:val="28"/>
        </w:rPr>
        <w:t>宗教學校的環境不安全、不衛生</w:t>
      </w:r>
      <w:r w:rsidR="009C0DA2" w:rsidRPr="005E758A">
        <w:rPr>
          <w:sz w:val="28"/>
          <w:szCs w:val="28"/>
        </w:rPr>
        <w:t>，且不適合兒童居住，這些男童也長期營養不足。在乞討時若受傷，修士亦不提供醫療照護或協助。</w:t>
      </w:r>
      <w:r w:rsidRPr="005E758A">
        <w:rPr>
          <w:sz w:val="28"/>
          <w:szCs w:val="28"/>
        </w:rPr>
        <w:t>前述民間組織主張塞內加爾政府未妥善保護這些男童免受修士的剝削，也就是未依義務採取必要措施保護兒童免於經濟剝削等權利。</w:t>
      </w:r>
    </w:p>
    <w:p w14:paraId="142F7FC2" w14:textId="77777777" w:rsidR="000424AB" w:rsidRPr="005E758A" w:rsidRDefault="000424AB" w:rsidP="00490C95">
      <w:pPr>
        <w:snapToGrid w:val="0"/>
        <w:spacing w:before="100" w:beforeAutospacing="1" w:after="100" w:afterAutospacing="1" w:line="0" w:lineRule="atLeast"/>
        <w:ind w:firstLineChars="200" w:firstLine="560"/>
        <w:jc w:val="both"/>
        <w:rPr>
          <w:sz w:val="28"/>
          <w:szCs w:val="28"/>
        </w:rPr>
      </w:pPr>
      <w:r w:rsidRPr="005E758A">
        <w:rPr>
          <w:sz w:val="28"/>
          <w:szCs w:val="28"/>
        </w:rPr>
        <w:t>委員會表示，雖然塞內加爾政府有採取措施</w:t>
      </w:r>
      <w:proofErr w:type="gramStart"/>
      <w:r w:rsidRPr="005E758A">
        <w:rPr>
          <w:sz w:val="28"/>
          <w:szCs w:val="28"/>
        </w:rPr>
        <w:t>（</w:t>
      </w:r>
      <w:proofErr w:type="gramEnd"/>
      <w:r w:rsidRPr="005E758A">
        <w:rPr>
          <w:sz w:val="28"/>
          <w:szCs w:val="28"/>
        </w:rPr>
        <w:t>例如：舉辦計劃消除兒童乞討行動之工作坊、設立部會間管理兒童乞討的理事會及成立特設委員會針對消除兒童乞討提出建議等</w:t>
      </w:r>
      <w:proofErr w:type="gramStart"/>
      <w:r w:rsidRPr="005E758A">
        <w:rPr>
          <w:sz w:val="28"/>
          <w:szCs w:val="28"/>
        </w:rPr>
        <w:t>）</w:t>
      </w:r>
      <w:proofErr w:type="gramEnd"/>
      <w:r w:rsidRPr="005E758A">
        <w:rPr>
          <w:sz w:val="28"/>
          <w:szCs w:val="28"/>
        </w:rPr>
        <w:t>，但是證據顯示雖然已立法禁止逼迫兒童乞討，但起訴率極低</w:t>
      </w:r>
      <w:r w:rsidR="009C0DA2" w:rsidRPr="005E758A">
        <w:rPr>
          <w:sz w:val="28"/>
          <w:szCs w:val="28"/>
        </w:rPr>
        <w:t>，</w:t>
      </w:r>
      <w:r w:rsidRPr="005E758A">
        <w:rPr>
          <w:sz w:val="28"/>
          <w:szCs w:val="28"/>
        </w:rPr>
        <w:t>且涉及此類行為的教士並未受到適當的處罰，政</w:t>
      </w:r>
      <w:r w:rsidR="009C0DA2" w:rsidRPr="005E758A">
        <w:rPr>
          <w:sz w:val="28"/>
          <w:szCs w:val="28"/>
        </w:rPr>
        <w:t>府亦未透過檢查宗教學校等措施，有效落實現行國內法、區域及國際法和協定。因</w:t>
      </w:r>
      <w:r w:rsidRPr="005E758A">
        <w:rPr>
          <w:sz w:val="28"/>
          <w:szCs w:val="28"/>
        </w:rPr>
        <w:t>此，雖然塞內加爾政府的確有採取立法措施且並不直接為剝削男童的行為負責，這些措施並不足以保護男童的權利，塞內加爾政府應該採取更積極且恰當的措施。</w:t>
      </w:r>
    </w:p>
    <w:p w14:paraId="7D44E43A" w14:textId="77777777" w:rsidR="000424AB" w:rsidRPr="005E758A" w:rsidRDefault="009C0DA2" w:rsidP="00490C95">
      <w:pPr>
        <w:snapToGrid w:val="0"/>
        <w:spacing w:before="100" w:beforeAutospacing="1" w:after="100" w:afterAutospacing="1" w:line="0" w:lineRule="atLeast"/>
        <w:ind w:firstLineChars="200" w:firstLine="560"/>
        <w:jc w:val="both"/>
        <w:rPr>
          <w:sz w:val="28"/>
          <w:szCs w:val="28"/>
        </w:rPr>
      </w:pPr>
      <w:r w:rsidRPr="005E758A">
        <w:rPr>
          <w:sz w:val="28"/>
          <w:szCs w:val="28"/>
        </w:rPr>
        <w:t>強迫乞討一直是塞內加爾境內的嚴重問題，本案於</w:t>
      </w:r>
      <w:r w:rsidR="000424AB" w:rsidRPr="005E758A">
        <w:rPr>
          <w:sz w:val="28"/>
          <w:szCs w:val="28"/>
        </w:rPr>
        <w:t>2014</w:t>
      </w:r>
      <w:r w:rsidR="000424AB" w:rsidRPr="005E758A">
        <w:rPr>
          <w:sz w:val="28"/>
          <w:szCs w:val="28"/>
        </w:rPr>
        <w:t>年</w:t>
      </w:r>
      <w:r w:rsidR="000424AB" w:rsidRPr="005E758A">
        <w:rPr>
          <w:sz w:val="28"/>
          <w:szCs w:val="28"/>
        </w:rPr>
        <w:t>4</w:t>
      </w:r>
      <w:r w:rsidR="000424AB" w:rsidRPr="005E758A">
        <w:rPr>
          <w:sz w:val="28"/>
          <w:szCs w:val="28"/>
        </w:rPr>
        <w:t>月做成</w:t>
      </w:r>
      <w:r w:rsidRPr="005E758A">
        <w:rPr>
          <w:sz w:val="28"/>
          <w:szCs w:val="28"/>
        </w:rPr>
        <w:t>決定，並</w:t>
      </w:r>
      <w:r w:rsidR="000424AB" w:rsidRPr="005E758A">
        <w:rPr>
          <w:sz w:val="28"/>
          <w:szCs w:val="28"/>
        </w:rPr>
        <w:t>於</w:t>
      </w:r>
      <w:r w:rsidR="000424AB" w:rsidRPr="005E758A">
        <w:rPr>
          <w:sz w:val="28"/>
          <w:szCs w:val="28"/>
        </w:rPr>
        <w:t>2015</w:t>
      </w:r>
      <w:r w:rsidR="000424AB" w:rsidRPr="005E758A">
        <w:rPr>
          <w:sz w:val="28"/>
          <w:szCs w:val="28"/>
        </w:rPr>
        <w:t>年</w:t>
      </w:r>
      <w:r w:rsidR="000424AB" w:rsidRPr="005E758A">
        <w:rPr>
          <w:sz w:val="28"/>
          <w:szCs w:val="28"/>
        </w:rPr>
        <w:t>5</w:t>
      </w:r>
      <w:r w:rsidRPr="005E758A">
        <w:rPr>
          <w:sz w:val="28"/>
          <w:szCs w:val="28"/>
        </w:rPr>
        <w:t>月公布</w:t>
      </w:r>
      <w:r w:rsidR="000424AB" w:rsidRPr="005E758A">
        <w:rPr>
          <w:sz w:val="28"/>
          <w:szCs w:val="28"/>
        </w:rPr>
        <w:t>，是否能有效促使塞內加爾政府採取更積極的措施，仍有待觀察。</w:t>
      </w:r>
    </w:p>
    <w:p w14:paraId="56F49275" w14:textId="77777777" w:rsidR="000424AB" w:rsidRPr="005E758A" w:rsidRDefault="008D0C6C" w:rsidP="00490C95">
      <w:pPr>
        <w:pStyle w:val="2"/>
        <w:spacing w:line="0" w:lineRule="atLeast"/>
        <w:rPr>
          <w:szCs w:val="28"/>
        </w:rPr>
      </w:pPr>
      <w:r w:rsidRPr="005E758A">
        <w:rPr>
          <w:szCs w:val="28"/>
        </w:rPr>
        <w:t>綜合分析</w:t>
      </w:r>
    </w:p>
    <w:p w14:paraId="7FA38969" w14:textId="77777777" w:rsidR="008D0C6C" w:rsidRPr="005E758A" w:rsidRDefault="008D0C6C" w:rsidP="00490C95">
      <w:pPr>
        <w:snapToGrid w:val="0"/>
        <w:spacing w:before="100" w:beforeAutospacing="1" w:after="100" w:afterAutospacing="1" w:line="0" w:lineRule="atLeast"/>
        <w:ind w:firstLineChars="200" w:firstLine="560"/>
        <w:jc w:val="both"/>
        <w:rPr>
          <w:sz w:val="28"/>
          <w:szCs w:val="28"/>
        </w:rPr>
      </w:pPr>
      <w:r w:rsidRPr="005E758A">
        <w:rPr>
          <w:sz w:val="28"/>
          <w:szCs w:val="28"/>
        </w:rPr>
        <w:t>雖然第</w:t>
      </w:r>
      <w:r w:rsidRPr="005E758A">
        <w:rPr>
          <w:sz w:val="28"/>
          <w:szCs w:val="28"/>
        </w:rPr>
        <w:t>32</w:t>
      </w:r>
      <w:r w:rsidRPr="005E758A">
        <w:rPr>
          <w:sz w:val="28"/>
          <w:szCs w:val="28"/>
        </w:rPr>
        <w:t>條於第</w:t>
      </w:r>
      <w:r w:rsidRPr="005E758A">
        <w:rPr>
          <w:sz w:val="28"/>
          <w:szCs w:val="28"/>
        </w:rPr>
        <w:t>2</w:t>
      </w:r>
      <w:r w:rsidRPr="005E758A">
        <w:rPr>
          <w:sz w:val="28"/>
          <w:szCs w:val="28"/>
        </w:rPr>
        <w:t>項設下幾項締約國為確保兒童免於經濟剝削而有義務規範的事項，</w:t>
      </w:r>
      <w:r w:rsidR="009C0DA2" w:rsidRPr="005E758A">
        <w:rPr>
          <w:sz w:val="28"/>
          <w:szCs w:val="28"/>
        </w:rPr>
        <w:t>但公約中並未明白指出如何規範，而是交由各締約國決定如何處理。</w:t>
      </w:r>
      <w:r w:rsidRPr="005E758A">
        <w:rPr>
          <w:sz w:val="28"/>
          <w:szCs w:val="28"/>
        </w:rPr>
        <w:t>但是這</w:t>
      </w:r>
      <w:r w:rsidR="009C0DA2" w:rsidRPr="005E758A">
        <w:rPr>
          <w:sz w:val="28"/>
          <w:szCs w:val="28"/>
        </w:rPr>
        <w:t>並不表示各國可以恣意裁量。</w:t>
      </w:r>
      <w:r w:rsidRPr="005E758A">
        <w:rPr>
          <w:sz w:val="28"/>
          <w:szCs w:val="28"/>
        </w:rPr>
        <w:t>兒童權利委員會在審查國家報告時也逐漸傾向提供明確且特定的意見，協助締約國採取必要的措施。</w:t>
      </w:r>
      <w:bookmarkStart w:id="94" w:name="_Ref427237265"/>
      <w:r w:rsidRPr="005E758A">
        <w:rPr>
          <w:rStyle w:val="af3"/>
          <w:sz w:val="28"/>
          <w:szCs w:val="28"/>
        </w:rPr>
        <w:endnoteReference w:id="438"/>
      </w:r>
      <w:bookmarkEnd w:id="94"/>
      <w:r w:rsidRPr="005E758A">
        <w:rPr>
          <w:sz w:val="28"/>
          <w:szCs w:val="28"/>
        </w:rPr>
        <w:t>本條條文另與</w:t>
      </w:r>
      <w:r w:rsidRPr="005E758A">
        <w:rPr>
          <w:sz w:val="28"/>
          <w:szCs w:val="28"/>
        </w:rPr>
        <w:t>2000</w:t>
      </w:r>
      <w:r w:rsidR="00DE1BCB" w:rsidRPr="005E758A">
        <w:rPr>
          <w:sz w:val="28"/>
          <w:szCs w:val="28"/>
        </w:rPr>
        <w:t>年通過之關於兒童捲入武</w:t>
      </w:r>
      <w:r w:rsidR="00DE1BCB" w:rsidRPr="005E758A">
        <w:rPr>
          <w:sz w:val="28"/>
          <w:szCs w:val="28"/>
        </w:rPr>
        <w:lastRenderedPageBreak/>
        <w:t>裝衝突問題之兒童權利公約任擇議定書及關於買賣兒童、兒童賣淫和兒童色情問題之兒童權利公約任擇議定書</w:t>
      </w:r>
      <w:r w:rsidRPr="005E758A">
        <w:rPr>
          <w:sz w:val="28"/>
          <w:szCs w:val="28"/>
        </w:rPr>
        <w:t>密切相關，解釋上亦可參考相關規範。</w:t>
      </w:r>
    </w:p>
    <w:p w14:paraId="3FDB8B76" w14:textId="77777777" w:rsidR="00C62D54" w:rsidRPr="005E758A" w:rsidRDefault="00C62D54" w:rsidP="00C62D54">
      <w:pPr>
        <w:pStyle w:val="2"/>
      </w:pPr>
      <w:r w:rsidRPr="005E758A">
        <w:t>參考資料</w:t>
      </w:r>
    </w:p>
    <w:p w14:paraId="648213B1" w14:textId="77777777" w:rsidR="00D73A22" w:rsidRPr="005E758A" w:rsidRDefault="00D73A22" w:rsidP="00D2135A">
      <w:pPr>
        <w:pStyle w:val="a0"/>
        <w:numPr>
          <w:ilvl w:val="0"/>
          <w:numId w:val="76"/>
        </w:numPr>
        <w:snapToGrid w:val="0"/>
        <w:spacing w:before="100" w:beforeAutospacing="1" w:after="100" w:afterAutospacing="1"/>
        <w:ind w:leftChars="0"/>
        <w:jc w:val="both"/>
        <w:rPr>
          <w:rFonts w:ascii="Times New Roman" w:eastAsia="標楷體" w:hAnsi="Times New Roman"/>
          <w:sz w:val="28"/>
          <w:szCs w:val="28"/>
        </w:rPr>
      </w:pPr>
      <w:r w:rsidRPr="005E758A">
        <w:rPr>
          <w:rFonts w:ascii="Times New Roman" w:eastAsia="標楷體" w:hAnsi="Times New Roman"/>
          <w:smallCaps/>
          <w:sz w:val="28"/>
          <w:szCs w:val="28"/>
        </w:rPr>
        <w:t xml:space="preserve">Lee </w:t>
      </w:r>
      <w:proofErr w:type="spellStart"/>
      <w:r w:rsidRPr="005E758A">
        <w:rPr>
          <w:rFonts w:ascii="Times New Roman" w:eastAsia="標楷體" w:hAnsi="Times New Roman"/>
          <w:smallCaps/>
          <w:sz w:val="28"/>
          <w:szCs w:val="28"/>
        </w:rPr>
        <w:t>Swepston</w:t>
      </w:r>
      <w:proofErr w:type="spellEnd"/>
      <w:r w:rsidRPr="005E758A">
        <w:rPr>
          <w:rFonts w:ascii="Times New Roman" w:eastAsia="標楷體" w:hAnsi="Times New Roman"/>
          <w:smallCaps/>
          <w:sz w:val="28"/>
          <w:szCs w:val="28"/>
        </w:rPr>
        <w:t>, A Commentary on the United Nations Convention on the Rights of the Child: Article 32. Protection from Economic Exploitation</w:t>
      </w:r>
      <w:r w:rsidRPr="005E758A">
        <w:rPr>
          <w:rFonts w:ascii="Times New Roman" w:eastAsia="標楷體" w:hAnsi="Times New Roman"/>
          <w:sz w:val="28"/>
          <w:szCs w:val="28"/>
        </w:rPr>
        <w:t xml:space="preserve"> (André Alen et al. eds., 2012).</w:t>
      </w:r>
    </w:p>
    <w:p w14:paraId="6D3A67BB" w14:textId="77777777" w:rsidR="00C62D54" w:rsidRPr="005E758A" w:rsidRDefault="00C62D54" w:rsidP="00D2135A">
      <w:pPr>
        <w:pStyle w:val="a0"/>
        <w:numPr>
          <w:ilvl w:val="0"/>
          <w:numId w:val="76"/>
        </w:numPr>
        <w:snapToGrid w:val="0"/>
        <w:spacing w:before="100" w:beforeAutospacing="1" w:after="100" w:afterAutospacing="1"/>
        <w:ind w:leftChars="0"/>
        <w:jc w:val="both"/>
        <w:rPr>
          <w:rFonts w:ascii="Times New Roman" w:eastAsia="標楷體" w:hAnsi="Times New Roman"/>
          <w:sz w:val="28"/>
          <w:szCs w:val="28"/>
        </w:rPr>
      </w:pPr>
      <w:r w:rsidRPr="005E758A">
        <w:rPr>
          <w:rFonts w:ascii="Times New Roman" w:eastAsia="標楷體" w:hAnsi="Times New Roman"/>
          <w:sz w:val="28"/>
          <w:szCs w:val="24"/>
        </w:rPr>
        <w:t>兒童權利委員會，</w:t>
      </w:r>
      <w:r w:rsidR="00D73A22" w:rsidRPr="005E758A">
        <w:rPr>
          <w:rFonts w:ascii="Times New Roman" w:eastAsia="標楷體" w:hAnsi="Times New Roman"/>
          <w:sz w:val="28"/>
          <w:szCs w:val="24"/>
        </w:rPr>
        <w:t>第</w:t>
      </w:r>
      <w:r w:rsidR="00D73A22" w:rsidRPr="005E758A">
        <w:rPr>
          <w:rFonts w:ascii="Times New Roman" w:eastAsia="標楷體" w:hAnsi="Times New Roman"/>
          <w:sz w:val="28"/>
          <w:szCs w:val="24"/>
        </w:rPr>
        <w:t>4</w:t>
      </w:r>
      <w:r w:rsidR="00D73A22" w:rsidRPr="005E758A">
        <w:rPr>
          <w:rFonts w:ascii="Times New Roman" w:eastAsia="標楷體" w:hAnsi="Times New Roman"/>
          <w:sz w:val="28"/>
          <w:szCs w:val="24"/>
        </w:rPr>
        <w:t>號一般性意見「少年健康與發展」</w:t>
      </w:r>
      <w:r w:rsidRPr="005E758A">
        <w:rPr>
          <w:rFonts w:ascii="Times New Roman" w:eastAsia="標楷體" w:hAnsi="Times New Roman"/>
          <w:sz w:val="28"/>
          <w:szCs w:val="24"/>
        </w:rPr>
        <w:t>。</w:t>
      </w:r>
      <w:r w:rsidRPr="005E758A">
        <w:rPr>
          <w:rFonts w:ascii="Times New Roman" w:eastAsia="標楷體" w:hAnsi="Times New Roman"/>
          <w:sz w:val="28"/>
          <w:szCs w:val="24"/>
        </w:rPr>
        <w:t xml:space="preserve">Committee on the Rights of the Child, General Comment No. 4: Adolescent Health and Development in the Context of the Convention </w:t>
      </w:r>
      <w:r w:rsidRPr="005E758A">
        <w:rPr>
          <w:rFonts w:ascii="Times New Roman" w:eastAsia="標楷體" w:hAnsi="Times New Roman"/>
          <w:sz w:val="28"/>
          <w:szCs w:val="28"/>
        </w:rPr>
        <w:t>on the Rights of the Child, U.N. Doc. CRC/GC/2003/4 (July 1, 2003).</w:t>
      </w:r>
    </w:p>
    <w:p w14:paraId="74AA697E" w14:textId="77777777" w:rsidR="00D73A22" w:rsidRPr="005E758A" w:rsidRDefault="00D73A22" w:rsidP="00D2135A">
      <w:pPr>
        <w:pStyle w:val="a0"/>
        <w:numPr>
          <w:ilvl w:val="0"/>
          <w:numId w:val="76"/>
        </w:numPr>
        <w:snapToGrid w:val="0"/>
        <w:spacing w:before="100" w:beforeAutospacing="1" w:after="100" w:afterAutospacing="1"/>
        <w:ind w:leftChars="0"/>
        <w:jc w:val="both"/>
        <w:rPr>
          <w:rFonts w:ascii="Times New Roman" w:eastAsia="標楷體" w:hAnsi="Times New Roman"/>
          <w:sz w:val="28"/>
          <w:szCs w:val="28"/>
        </w:rPr>
      </w:pPr>
      <w:r w:rsidRPr="005E758A">
        <w:rPr>
          <w:rFonts w:ascii="Times New Roman" w:eastAsia="標楷體" w:hAnsi="Times New Roman"/>
          <w:sz w:val="28"/>
          <w:szCs w:val="28"/>
        </w:rPr>
        <w:t>兒童權利委員會，第</w:t>
      </w:r>
      <w:r w:rsidRPr="005E758A">
        <w:rPr>
          <w:rFonts w:ascii="Times New Roman" w:eastAsia="標楷體" w:hAnsi="Times New Roman"/>
          <w:sz w:val="28"/>
          <w:szCs w:val="28"/>
        </w:rPr>
        <w:t>5</w:t>
      </w:r>
      <w:r w:rsidRPr="005E758A">
        <w:rPr>
          <w:rFonts w:ascii="Times New Roman" w:eastAsia="標楷體" w:hAnsi="Times New Roman"/>
          <w:sz w:val="28"/>
          <w:szCs w:val="28"/>
        </w:rPr>
        <w:t>屆會議報告。</w:t>
      </w:r>
      <w:r w:rsidRPr="005E758A">
        <w:rPr>
          <w:rFonts w:ascii="Times New Roman" w:eastAsia="標楷體" w:hAnsi="Times New Roman"/>
          <w:sz w:val="28"/>
          <w:szCs w:val="28"/>
        </w:rPr>
        <w:t>(Committee on the Rights of the Child, Report on the Fifth Session, U.N. Doc. CRC/C/24 (Mar. 8, 1994).)</w:t>
      </w:r>
    </w:p>
    <w:p w14:paraId="489DEAA7" w14:textId="77777777" w:rsidR="00C62D54" w:rsidRPr="005E758A" w:rsidRDefault="00C62D54" w:rsidP="00C62D54"/>
    <w:p w14:paraId="6D3FE773" w14:textId="77777777" w:rsidR="008D0C6C" w:rsidRPr="005E758A" w:rsidRDefault="00F3341B" w:rsidP="00490C95">
      <w:pPr>
        <w:snapToGrid w:val="0"/>
        <w:spacing w:before="100" w:beforeAutospacing="1" w:after="100" w:afterAutospacing="1" w:line="0" w:lineRule="atLeast"/>
        <w:jc w:val="both"/>
        <w:rPr>
          <w:sz w:val="28"/>
          <w:szCs w:val="28"/>
        </w:rPr>
      </w:pPr>
      <w:r w:rsidRPr="005E758A">
        <w:rPr>
          <w:sz w:val="28"/>
          <w:szCs w:val="28"/>
        </w:rPr>
        <w:t>關鍵詞：經濟剝削、最低受</w:t>
      </w:r>
      <w:proofErr w:type="gramStart"/>
      <w:r w:rsidRPr="005E758A">
        <w:rPr>
          <w:sz w:val="28"/>
          <w:szCs w:val="28"/>
        </w:rPr>
        <w:t>僱</w:t>
      </w:r>
      <w:proofErr w:type="gramEnd"/>
      <w:r w:rsidRPr="005E758A">
        <w:rPr>
          <w:sz w:val="28"/>
          <w:szCs w:val="28"/>
        </w:rPr>
        <w:t>年齡、工時、工作條件</w:t>
      </w:r>
    </w:p>
    <w:p w14:paraId="479F1E5D" w14:textId="77777777" w:rsidR="008D0C6C" w:rsidRPr="005E758A" w:rsidRDefault="008D0C6C" w:rsidP="00490C95">
      <w:pPr>
        <w:snapToGrid w:val="0"/>
        <w:spacing w:before="100" w:beforeAutospacing="1" w:after="100" w:afterAutospacing="1" w:line="0" w:lineRule="atLeast"/>
        <w:jc w:val="both"/>
        <w:rPr>
          <w:sz w:val="28"/>
          <w:szCs w:val="28"/>
        </w:rPr>
        <w:sectPr w:rsidR="008D0C6C" w:rsidRPr="005E758A" w:rsidSect="00135FC9">
          <w:footnotePr>
            <w:numRestart w:val="eachSect"/>
          </w:footnotePr>
          <w:endnotePr>
            <w:numFmt w:val="decimal"/>
            <w:numRestart w:val="eachSect"/>
          </w:endnotePr>
          <w:pgSz w:w="11906" w:h="16838"/>
          <w:pgMar w:top="1440" w:right="1797" w:bottom="1440" w:left="1797" w:header="851" w:footer="992" w:gutter="0"/>
          <w:cols w:space="425"/>
          <w:docGrid w:linePitch="360"/>
        </w:sectPr>
      </w:pPr>
    </w:p>
    <w:p w14:paraId="3E5CABBA" w14:textId="77777777" w:rsidR="006B621C" w:rsidRDefault="006B621C" w:rsidP="006B621C">
      <w:pPr>
        <w:pStyle w:val="1"/>
        <w:rPr>
          <w:sz w:val="28"/>
        </w:rPr>
      </w:pPr>
      <w:bookmarkStart w:id="95" w:name="_Toc431072749"/>
      <w:bookmarkStart w:id="96" w:name="_Toc427238535"/>
      <w:r w:rsidRPr="005E758A">
        <w:lastRenderedPageBreak/>
        <w:t>第</w:t>
      </w:r>
      <w:r w:rsidRPr="005E758A">
        <w:t>33</w:t>
      </w:r>
      <w:r w:rsidRPr="005E758A">
        <w:t>條</w:t>
      </w:r>
      <w:r>
        <w:rPr>
          <w:rFonts w:hint="eastAsia"/>
        </w:rPr>
        <w:t xml:space="preserve">　非法</w:t>
      </w:r>
      <w:r w:rsidRPr="006B621C">
        <w:rPr>
          <w:rFonts w:hint="eastAsia"/>
        </w:rPr>
        <w:t>麻醉藥品及精神藥物</w:t>
      </w:r>
      <w:bookmarkEnd w:id="95"/>
    </w:p>
    <w:tbl>
      <w:tblPr>
        <w:tblW w:w="82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8220"/>
      </w:tblGrid>
      <w:tr w:rsidR="006B621C" w:rsidRPr="005E758A" w14:paraId="7C560F2E" w14:textId="77777777" w:rsidTr="002B035C">
        <w:trPr>
          <w:jc w:val="center"/>
        </w:trPr>
        <w:tc>
          <w:tcPr>
            <w:tcW w:w="8220" w:type="dxa"/>
          </w:tcPr>
          <w:p w14:paraId="0434E587" w14:textId="77777777" w:rsidR="006B621C" w:rsidRPr="005E758A" w:rsidRDefault="006B621C" w:rsidP="002B035C">
            <w:pPr>
              <w:snapToGrid w:val="0"/>
              <w:spacing w:before="100" w:beforeAutospacing="1" w:after="100" w:afterAutospacing="1"/>
              <w:jc w:val="both"/>
            </w:pPr>
            <w:r w:rsidRPr="005E758A">
              <w:rPr>
                <w:kern w:val="0"/>
                <w:sz w:val="28"/>
                <w:szCs w:val="28"/>
              </w:rPr>
              <w:t>締約國應採取所有適當措施，包括立法、行政、社會與教育措施，保護兒童不致非法使用有關國際條約所訂定之麻醉藥品及精神藥物，並防止利用兒童從事非法製造及販運此類藥物。</w:t>
            </w:r>
          </w:p>
        </w:tc>
      </w:tr>
    </w:tbl>
    <w:p w14:paraId="0C915F2F" w14:textId="77777777" w:rsidR="006B621C" w:rsidRPr="006B621C" w:rsidRDefault="006B621C" w:rsidP="006B621C">
      <w:pPr>
        <w:snapToGrid w:val="0"/>
        <w:spacing w:before="100" w:beforeAutospacing="1" w:after="100" w:afterAutospacing="1"/>
        <w:jc w:val="both"/>
        <w:rPr>
          <w:sz w:val="28"/>
        </w:rPr>
      </w:pPr>
    </w:p>
    <w:p w14:paraId="3FFD5123" w14:textId="77777777" w:rsidR="00CF6265" w:rsidRPr="005E758A" w:rsidRDefault="00CF6265" w:rsidP="00F02A5C">
      <w:pPr>
        <w:pStyle w:val="2"/>
        <w:numPr>
          <w:ilvl w:val="0"/>
          <w:numId w:val="188"/>
        </w:numPr>
      </w:pPr>
      <w:r w:rsidRPr="005E758A">
        <w:t>規範宗旨</w:t>
      </w:r>
    </w:p>
    <w:p w14:paraId="741E74FE" w14:textId="77777777" w:rsidR="00CF6265" w:rsidRPr="005E758A" w:rsidRDefault="00CF6265" w:rsidP="00CF6265">
      <w:pPr>
        <w:snapToGrid w:val="0"/>
        <w:spacing w:before="100" w:beforeAutospacing="1" w:after="100" w:afterAutospacing="1"/>
        <w:ind w:firstLineChars="200" w:firstLine="560"/>
        <w:jc w:val="both"/>
        <w:rPr>
          <w:sz w:val="28"/>
        </w:rPr>
      </w:pPr>
      <w:r w:rsidRPr="005E758A">
        <w:rPr>
          <w:sz w:val="28"/>
        </w:rPr>
        <w:t>國際法下藥物管制及人權原為平行發展的兩個領域，就藥物管制規範而言，主要條約包括：</w:t>
      </w:r>
      <w:r w:rsidRPr="005E758A">
        <w:rPr>
          <w:sz w:val="28"/>
        </w:rPr>
        <w:t>1961</w:t>
      </w:r>
      <w:r w:rsidRPr="005E758A">
        <w:rPr>
          <w:sz w:val="28"/>
        </w:rPr>
        <w:t>年麻醉品單一公約</w:t>
      </w:r>
      <w:r w:rsidR="00050FC6" w:rsidRPr="005E758A">
        <w:rPr>
          <w:sz w:val="28"/>
        </w:rPr>
        <w:t>(Single Convention on Narcotic Drugs)</w:t>
      </w:r>
      <w:r w:rsidRPr="005E758A">
        <w:rPr>
          <w:sz w:val="28"/>
        </w:rPr>
        <w:t>、</w:t>
      </w:r>
      <w:r w:rsidRPr="005E758A">
        <w:rPr>
          <w:sz w:val="28"/>
        </w:rPr>
        <w:t>1971</w:t>
      </w:r>
      <w:r w:rsidRPr="005E758A">
        <w:rPr>
          <w:sz w:val="28"/>
        </w:rPr>
        <w:t>年精神藥物公約</w:t>
      </w:r>
      <w:r w:rsidR="00050FC6" w:rsidRPr="005E758A">
        <w:rPr>
          <w:sz w:val="28"/>
        </w:rPr>
        <w:t>(Convention on Psychotropic Substances)</w:t>
      </w:r>
      <w:r w:rsidRPr="005E758A">
        <w:rPr>
          <w:sz w:val="28"/>
        </w:rPr>
        <w:t>、</w:t>
      </w:r>
      <w:r w:rsidRPr="005E758A">
        <w:rPr>
          <w:sz w:val="28"/>
        </w:rPr>
        <w:t>1988</w:t>
      </w:r>
      <w:r w:rsidRPr="005E758A">
        <w:rPr>
          <w:sz w:val="28"/>
        </w:rPr>
        <w:t>年聯合國禁止非法販運麻醉藥品和精神藥物公約</w:t>
      </w:r>
      <w:r w:rsidR="00050FC6" w:rsidRPr="005E758A">
        <w:rPr>
          <w:sz w:val="28"/>
        </w:rPr>
        <w:t>(Convention against Illicit Traffic in Narcotic Drugs and Psychotropic Substances)</w:t>
      </w:r>
      <w:r w:rsidRPr="005E758A">
        <w:rPr>
          <w:sz w:val="28"/>
        </w:rPr>
        <w:t>。但這些條約中並未對兒童相關問題多有著墨；就人權文件而言，兒童權利公約為核心人權公約中唯一提到藥物使用及藥物貿易</w:t>
      </w:r>
      <w:r w:rsidR="006B621C">
        <w:rPr>
          <w:rFonts w:hint="eastAsia"/>
          <w:sz w:val="28"/>
        </w:rPr>
        <w:t>(trade)</w:t>
      </w:r>
      <w:r w:rsidRPr="005E758A">
        <w:rPr>
          <w:sz w:val="28"/>
        </w:rPr>
        <w:t>的文件，而本條即為規範相關問題的特殊條文，要求締約國採取措施保護兒童不致非法使用藥物或遭利用從事非法製造或販運。</w:t>
      </w:r>
    </w:p>
    <w:p w14:paraId="4F7B26D7" w14:textId="77777777" w:rsidR="00CF6265" w:rsidRPr="005E758A" w:rsidRDefault="00CF6265" w:rsidP="00CF6265">
      <w:pPr>
        <w:snapToGrid w:val="0"/>
        <w:spacing w:before="100" w:beforeAutospacing="1" w:after="100" w:afterAutospacing="1"/>
        <w:ind w:firstLineChars="200" w:firstLine="560"/>
        <w:jc w:val="both"/>
        <w:rPr>
          <w:sz w:val="28"/>
        </w:rPr>
      </w:pPr>
      <w:r w:rsidRPr="005E758A">
        <w:rPr>
          <w:sz w:val="28"/>
        </w:rPr>
        <w:t>除公約四大基本原則外，公約中許多條文與本條相關，例如：第</w:t>
      </w:r>
      <w:r w:rsidRPr="005E758A">
        <w:rPr>
          <w:sz w:val="28"/>
        </w:rPr>
        <w:t>24</w:t>
      </w:r>
      <w:r w:rsidRPr="005E758A">
        <w:rPr>
          <w:sz w:val="28"/>
        </w:rPr>
        <w:t>條健康權和第</w:t>
      </w:r>
      <w:r w:rsidRPr="005E758A">
        <w:rPr>
          <w:sz w:val="28"/>
        </w:rPr>
        <w:t>32</w:t>
      </w:r>
      <w:r w:rsidRPr="005E758A">
        <w:rPr>
          <w:sz w:val="28"/>
        </w:rPr>
        <w:t>條免受經濟剝削權等，若兒童不幸涉及藥物濫用或遭利用從事非法製造販運，締約國在第</w:t>
      </w:r>
      <w:r w:rsidRPr="005E758A">
        <w:rPr>
          <w:sz w:val="28"/>
        </w:rPr>
        <w:t>39</w:t>
      </w:r>
      <w:r w:rsidRPr="005E758A">
        <w:rPr>
          <w:sz w:val="28"/>
        </w:rPr>
        <w:t>條下有義務促進該兒童身心康復，若需治療，治療過程亦應符合公約其他規定。</w:t>
      </w:r>
      <w:r w:rsidRPr="005E758A">
        <w:rPr>
          <w:rStyle w:val="af3"/>
          <w:sz w:val="28"/>
        </w:rPr>
        <w:endnoteReference w:id="439"/>
      </w:r>
    </w:p>
    <w:p w14:paraId="428DD59B" w14:textId="77777777" w:rsidR="00CF6265" w:rsidRPr="005E758A" w:rsidRDefault="00CF6265" w:rsidP="00CF6265">
      <w:pPr>
        <w:pStyle w:val="2"/>
      </w:pPr>
      <w:r w:rsidRPr="005E758A">
        <w:t>條文要義</w:t>
      </w:r>
    </w:p>
    <w:p w14:paraId="56486A6F" w14:textId="77777777" w:rsidR="00CF6265" w:rsidRPr="005E758A" w:rsidRDefault="00CF6265" w:rsidP="00CF6265">
      <w:pPr>
        <w:snapToGrid w:val="0"/>
        <w:spacing w:before="100" w:beforeAutospacing="1" w:after="100" w:afterAutospacing="1"/>
        <w:ind w:firstLineChars="200" w:firstLine="560"/>
        <w:jc w:val="both"/>
        <w:rPr>
          <w:sz w:val="28"/>
        </w:rPr>
      </w:pPr>
      <w:r w:rsidRPr="005E758A">
        <w:rPr>
          <w:sz w:val="28"/>
        </w:rPr>
        <w:t>從兒童權利委員會所做之定期國家報告提交準則中可看出，委員會將本條義務分為兩方面：保護兒童不致非法使用藥物以及避免兒童遭利用從事非法藥物生產及走私</w:t>
      </w:r>
      <w:r w:rsidRPr="005E758A">
        <w:rPr>
          <w:rStyle w:val="af3"/>
          <w:sz w:val="28"/>
        </w:rPr>
        <w:endnoteReference w:id="440"/>
      </w:r>
      <w:r w:rsidRPr="005E758A">
        <w:rPr>
          <w:sz w:val="28"/>
        </w:rPr>
        <w:t>，雖然本條用語著重於締約國的義務而非兒童的權利，但解釋上應認為兒童有權受相關保障</w:t>
      </w:r>
      <w:r w:rsidRPr="005E758A">
        <w:rPr>
          <w:rStyle w:val="af3"/>
          <w:sz w:val="28"/>
        </w:rPr>
        <w:endnoteReference w:id="441"/>
      </w:r>
      <w:r w:rsidRPr="005E758A">
        <w:rPr>
          <w:sz w:val="28"/>
        </w:rPr>
        <w:t>，以下就本條文字分析之：</w:t>
      </w:r>
    </w:p>
    <w:p w14:paraId="3327F6F9" w14:textId="77777777" w:rsidR="00CF6265" w:rsidRPr="005E758A" w:rsidRDefault="00CF6265" w:rsidP="00F02A5C">
      <w:pPr>
        <w:pStyle w:val="3"/>
        <w:numPr>
          <w:ilvl w:val="0"/>
          <w:numId w:val="189"/>
        </w:numPr>
      </w:pPr>
      <w:r w:rsidRPr="005E758A">
        <w:t>「締約國應採取所有適當措施，包括立法、行政、社會與教育措施保護兒童不致非法使用有關國際條約所訂定之麻醉藥品及精神藥物」</w:t>
      </w:r>
    </w:p>
    <w:p w14:paraId="1F3A6F59" w14:textId="77777777" w:rsidR="00CF6265" w:rsidRPr="005E758A" w:rsidRDefault="00CF6265" w:rsidP="00CF6265">
      <w:pPr>
        <w:snapToGrid w:val="0"/>
        <w:spacing w:before="100" w:beforeAutospacing="1" w:after="100" w:afterAutospacing="1"/>
        <w:ind w:firstLineChars="200" w:firstLine="560"/>
        <w:jc w:val="both"/>
        <w:rPr>
          <w:sz w:val="28"/>
        </w:rPr>
      </w:pPr>
      <w:r w:rsidRPr="005E758A">
        <w:rPr>
          <w:sz w:val="28"/>
        </w:rPr>
        <w:t>雖然兒童權利委員會未就本條做出一般性意見，學者認為可以參考有類似用語的第</w:t>
      </w:r>
      <w:r w:rsidRPr="005E758A">
        <w:rPr>
          <w:sz w:val="28"/>
        </w:rPr>
        <w:t>19</w:t>
      </w:r>
      <w:r w:rsidRPr="005E758A">
        <w:rPr>
          <w:sz w:val="28"/>
        </w:rPr>
        <w:t>條之一般性意見（第</w:t>
      </w:r>
      <w:r w:rsidRPr="005E758A">
        <w:rPr>
          <w:sz w:val="28"/>
        </w:rPr>
        <w:t>13</w:t>
      </w:r>
      <w:r w:rsidRPr="005E758A">
        <w:rPr>
          <w:sz w:val="28"/>
        </w:rPr>
        <w:t>號）</w:t>
      </w:r>
      <w:r w:rsidRPr="005E758A">
        <w:rPr>
          <w:rStyle w:val="af3"/>
          <w:sz w:val="28"/>
        </w:rPr>
        <w:endnoteReference w:id="442"/>
      </w:r>
      <w:r w:rsidRPr="005E758A">
        <w:rPr>
          <w:sz w:val="28"/>
        </w:rPr>
        <w:t>，在該號一般性意見中，兒童權利委員會認為條文中使用「應採取」的用語，顯示條</w:t>
      </w:r>
      <w:r w:rsidRPr="005E758A">
        <w:rPr>
          <w:sz w:val="28"/>
        </w:rPr>
        <w:lastRenderedPageBreak/>
        <w:t>文「沒有為締約國留出自由裁量的餘地。據此，締約國有嚴格義務採取『一切適當的措施』充分落實所有兒童的這項權利」</w:t>
      </w:r>
      <w:r w:rsidRPr="005E758A">
        <w:rPr>
          <w:rStyle w:val="af3"/>
          <w:sz w:val="28"/>
        </w:rPr>
        <w:endnoteReference w:id="443"/>
      </w:r>
      <w:r w:rsidRPr="005E758A">
        <w:rPr>
          <w:sz w:val="28"/>
        </w:rPr>
        <w:t>。</w:t>
      </w:r>
    </w:p>
    <w:p w14:paraId="1FCE6859" w14:textId="77777777" w:rsidR="00CF6265" w:rsidRPr="005E758A" w:rsidRDefault="00CF6265" w:rsidP="00CF6265">
      <w:pPr>
        <w:snapToGrid w:val="0"/>
        <w:spacing w:before="100" w:beforeAutospacing="1" w:after="100" w:afterAutospacing="1"/>
        <w:ind w:firstLineChars="200" w:firstLine="560"/>
        <w:jc w:val="both"/>
        <w:rPr>
          <w:sz w:val="28"/>
        </w:rPr>
      </w:pPr>
      <w:r w:rsidRPr="005E758A">
        <w:rPr>
          <w:sz w:val="28"/>
        </w:rPr>
        <w:t>「所有適當措施」則包含「跨越政府各個部分的廣泛的措施」，且「須予以使用並須切實有效」，以保護兒童不致非法使用藥物</w:t>
      </w:r>
      <w:r w:rsidRPr="005E758A">
        <w:rPr>
          <w:rStyle w:val="af3"/>
          <w:sz w:val="28"/>
        </w:rPr>
        <w:endnoteReference w:id="444"/>
      </w:r>
      <w:r w:rsidRPr="005E758A">
        <w:rPr>
          <w:sz w:val="28"/>
        </w:rPr>
        <w:t>。國家需提供的保護應可分為以下四類：</w:t>
      </w:r>
    </w:p>
    <w:p w14:paraId="4C85EEF4" w14:textId="77777777" w:rsidR="00CF6265" w:rsidRPr="005E758A" w:rsidRDefault="00CF6265" w:rsidP="00F02A5C">
      <w:pPr>
        <w:pStyle w:val="a0"/>
        <w:numPr>
          <w:ilvl w:val="0"/>
          <w:numId w:val="185"/>
        </w:numPr>
        <w:snapToGrid w:val="0"/>
        <w:spacing w:before="100" w:beforeAutospacing="1" w:after="100" w:afterAutospacing="1"/>
        <w:ind w:leftChars="0" w:left="1009" w:right="567" w:hanging="442"/>
        <w:jc w:val="both"/>
        <w:rPr>
          <w:rFonts w:ascii="Times New Roman" w:eastAsia="標楷體" w:hAnsi="Times New Roman"/>
          <w:sz w:val="28"/>
        </w:rPr>
      </w:pPr>
      <w:r w:rsidRPr="005E758A">
        <w:rPr>
          <w:rFonts w:ascii="Times New Roman" w:eastAsia="標楷體" w:hAnsi="Times New Roman"/>
          <w:sz w:val="28"/>
        </w:rPr>
        <w:t>針對未使用藥物的兒童，減少其開始使用藥物的可能性；</w:t>
      </w:r>
    </w:p>
    <w:p w14:paraId="492CF190" w14:textId="77777777" w:rsidR="00CF6265" w:rsidRPr="005E758A" w:rsidRDefault="00CF6265" w:rsidP="00F02A5C">
      <w:pPr>
        <w:pStyle w:val="a0"/>
        <w:numPr>
          <w:ilvl w:val="0"/>
          <w:numId w:val="185"/>
        </w:numPr>
        <w:snapToGrid w:val="0"/>
        <w:spacing w:before="100" w:beforeAutospacing="1" w:after="100" w:afterAutospacing="1"/>
        <w:ind w:leftChars="0" w:left="1009" w:right="567" w:hanging="442"/>
        <w:jc w:val="both"/>
        <w:rPr>
          <w:rFonts w:ascii="Times New Roman" w:eastAsia="標楷體" w:hAnsi="Times New Roman"/>
          <w:sz w:val="28"/>
        </w:rPr>
      </w:pPr>
      <w:r w:rsidRPr="005E758A">
        <w:rPr>
          <w:rFonts w:ascii="Times New Roman" w:eastAsia="標楷體" w:hAnsi="Times New Roman"/>
          <w:sz w:val="28"/>
        </w:rPr>
        <w:t>保護正在使用藥物的兒童；</w:t>
      </w:r>
    </w:p>
    <w:p w14:paraId="5C3C02DE" w14:textId="77777777" w:rsidR="00CF6265" w:rsidRPr="005E758A" w:rsidRDefault="00CF6265" w:rsidP="00F02A5C">
      <w:pPr>
        <w:pStyle w:val="a0"/>
        <w:numPr>
          <w:ilvl w:val="0"/>
          <w:numId w:val="185"/>
        </w:numPr>
        <w:snapToGrid w:val="0"/>
        <w:spacing w:before="100" w:beforeAutospacing="1" w:after="100" w:afterAutospacing="1"/>
        <w:ind w:leftChars="0" w:left="1009" w:right="567" w:hanging="442"/>
        <w:jc w:val="both"/>
        <w:rPr>
          <w:rFonts w:ascii="Times New Roman" w:eastAsia="標楷體" w:hAnsi="Times New Roman"/>
          <w:sz w:val="28"/>
        </w:rPr>
      </w:pPr>
      <w:r w:rsidRPr="005E758A">
        <w:rPr>
          <w:rFonts w:ascii="Times New Roman" w:eastAsia="標楷體" w:hAnsi="Times New Roman"/>
          <w:sz w:val="28"/>
        </w:rPr>
        <w:t>保護父母、兄弟姐妹或其他家庭成員用藥之兒童；</w:t>
      </w:r>
    </w:p>
    <w:p w14:paraId="0546EB86" w14:textId="77777777" w:rsidR="00CF6265" w:rsidRPr="005E758A" w:rsidRDefault="00CF6265" w:rsidP="00F02A5C">
      <w:pPr>
        <w:pStyle w:val="a0"/>
        <w:numPr>
          <w:ilvl w:val="0"/>
          <w:numId w:val="185"/>
        </w:numPr>
        <w:snapToGrid w:val="0"/>
        <w:spacing w:before="100" w:beforeAutospacing="1" w:after="100" w:afterAutospacing="1"/>
        <w:ind w:leftChars="0" w:left="1009" w:right="567" w:hanging="442"/>
        <w:jc w:val="both"/>
        <w:rPr>
          <w:rFonts w:ascii="Times New Roman" w:eastAsia="標楷體" w:hAnsi="Times New Roman"/>
          <w:sz w:val="28"/>
        </w:rPr>
      </w:pPr>
      <w:r w:rsidRPr="005E758A">
        <w:rPr>
          <w:rFonts w:ascii="Times New Roman" w:eastAsia="標楷體" w:hAnsi="Times New Roman"/>
          <w:sz w:val="28"/>
        </w:rPr>
        <w:t>保護其社區中有用藥情形之兒童。</w:t>
      </w:r>
      <w:bookmarkStart w:id="97" w:name="_Ref429124477"/>
      <w:r w:rsidRPr="005E758A">
        <w:rPr>
          <w:rStyle w:val="af3"/>
          <w:rFonts w:ascii="Times New Roman" w:eastAsia="標楷體" w:hAnsi="Times New Roman"/>
          <w:sz w:val="28"/>
        </w:rPr>
        <w:endnoteReference w:id="445"/>
      </w:r>
      <w:bookmarkEnd w:id="97"/>
    </w:p>
    <w:p w14:paraId="0CC6243D" w14:textId="77777777" w:rsidR="00CF6265" w:rsidRPr="005E758A" w:rsidRDefault="00CF6265" w:rsidP="00CF6265">
      <w:pPr>
        <w:snapToGrid w:val="0"/>
        <w:spacing w:before="100" w:beforeAutospacing="1" w:after="100" w:afterAutospacing="1"/>
        <w:ind w:firstLineChars="200" w:firstLine="560"/>
        <w:jc w:val="both"/>
        <w:rPr>
          <w:sz w:val="28"/>
        </w:rPr>
      </w:pPr>
      <w:r w:rsidRPr="005E758A">
        <w:rPr>
          <w:sz w:val="28"/>
        </w:rPr>
        <w:t>至於就應採取何種措施，兒童權利委員會提供給締約國的建議有時較為概括，例如：「採取措施預防兒童涉入藥品走私」</w:t>
      </w:r>
      <w:r w:rsidRPr="005E758A">
        <w:rPr>
          <w:rStyle w:val="af3"/>
          <w:sz w:val="28"/>
        </w:rPr>
        <w:endnoteReference w:id="446"/>
      </w:r>
      <w:r w:rsidRPr="005E758A">
        <w:rPr>
          <w:sz w:val="28"/>
        </w:rPr>
        <w:t>，或「兒童應被視為被害人，而非犯人」</w:t>
      </w:r>
      <w:r w:rsidRPr="005E758A">
        <w:rPr>
          <w:rStyle w:val="af3"/>
          <w:sz w:val="28"/>
        </w:rPr>
        <w:endnoteReference w:id="447"/>
      </w:r>
      <w:r w:rsidRPr="005E758A">
        <w:rPr>
          <w:sz w:val="28"/>
        </w:rPr>
        <w:t>，有時則相當明確，舉例而言，委員會曾建議締約國研究走私及藥物濫用、利用兒童進行藥物貿易、經濟剝削等走私相關議題，以分析其原因及發展和執行有效監督措施</w:t>
      </w:r>
      <w:r w:rsidRPr="005E758A">
        <w:rPr>
          <w:rStyle w:val="af3"/>
          <w:sz w:val="28"/>
        </w:rPr>
        <w:endnoteReference w:id="448"/>
      </w:r>
      <w:r w:rsidRPr="005E758A">
        <w:rPr>
          <w:sz w:val="28"/>
        </w:rPr>
        <w:t>，委員會於本條相關的解釋中又以審議烏克蘭國家報告時的建議最為明</w:t>
      </w:r>
      <w:proofErr w:type="gramStart"/>
      <w:r w:rsidRPr="005E758A">
        <w:rPr>
          <w:sz w:val="28"/>
        </w:rPr>
        <w:t>確</w:t>
      </w:r>
      <w:proofErr w:type="gramEnd"/>
      <w:r w:rsidRPr="005E758A">
        <w:rPr>
          <w:rStyle w:val="af3"/>
          <w:sz w:val="28"/>
        </w:rPr>
        <w:endnoteReference w:id="449"/>
      </w:r>
      <w:r w:rsidRPr="005E758A">
        <w:rPr>
          <w:sz w:val="28"/>
        </w:rPr>
        <w:t>，可做為參考</w:t>
      </w:r>
      <w:r w:rsidRPr="005E758A">
        <w:rPr>
          <w:rStyle w:val="af3"/>
          <w:sz w:val="28"/>
        </w:rPr>
        <w:endnoteReference w:id="450"/>
      </w:r>
      <w:r w:rsidRPr="005E758A">
        <w:rPr>
          <w:sz w:val="28"/>
        </w:rPr>
        <w:t>：</w:t>
      </w:r>
    </w:p>
    <w:p w14:paraId="2868E040" w14:textId="77777777" w:rsidR="00CF6265" w:rsidRPr="005E758A" w:rsidRDefault="00CF6265" w:rsidP="00F02A5C">
      <w:pPr>
        <w:pStyle w:val="a0"/>
        <w:numPr>
          <w:ilvl w:val="1"/>
          <w:numId w:val="190"/>
        </w:numPr>
        <w:snapToGrid w:val="0"/>
        <w:spacing w:before="100" w:beforeAutospacing="1" w:after="100" w:afterAutospacing="1"/>
        <w:ind w:leftChars="0" w:right="567"/>
        <w:jc w:val="both"/>
        <w:rPr>
          <w:rFonts w:ascii="Times New Roman" w:eastAsia="標楷體" w:hAnsi="Times New Roman"/>
          <w:sz w:val="28"/>
        </w:rPr>
      </w:pPr>
      <w:r w:rsidRPr="005E758A">
        <w:rPr>
          <w:rFonts w:ascii="Times New Roman" w:eastAsia="標楷體" w:hAnsi="Times New Roman"/>
          <w:sz w:val="28"/>
        </w:rPr>
        <w:t>制定依賴藥物的青年便於就診的專業治療辦法、並發展能夠減少兒童和青少年所受傷害的服務，在這方面，借鑒最近在愛滋病毒</w:t>
      </w:r>
      <w:r w:rsidRPr="005E758A">
        <w:rPr>
          <w:rFonts w:ascii="Times New Roman" w:eastAsia="標楷體" w:hAnsi="Times New Roman"/>
          <w:sz w:val="28"/>
        </w:rPr>
        <w:t>/</w:t>
      </w:r>
      <w:proofErr w:type="gramStart"/>
      <w:r w:rsidRPr="005E758A">
        <w:rPr>
          <w:rFonts w:ascii="Times New Roman" w:eastAsia="標楷體" w:hAnsi="Times New Roman"/>
          <w:sz w:val="28"/>
        </w:rPr>
        <w:t>愛滋病</w:t>
      </w:r>
      <w:proofErr w:type="gramEnd"/>
      <w:r w:rsidRPr="005E758A">
        <w:rPr>
          <w:rFonts w:ascii="Times New Roman" w:eastAsia="標楷體" w:hAnsi="Times New Roman"/>
          <w:sz w:val="28"/>
        </w:rPr>
        <w:t>的立法方面取得的進展和兒童基金會為高危險青少年發起的成功試行方案；</w:t>
      </w:r>
    </w:p>
    <w:p w14:paraId="5A6FB18B" w14:textId="77777777" w:rsidR="00CF6265" w:rsidRPr="005E758A" w:rsidRDefault="00CF6265" w:rsidP="00F02A5C">
      <w:pPr>
        <w:pStyle w:val="a0"/>
        <w:numPr>
          <w:ilvl w:val="1"/>
          <w:numId w:val="190"/>
        </w:numPr>
        <w:snapToGrid w:val="0"/>
        <w:spacing w:before="100" w:beforeAutospacing="1" w:after="100" w:afterAutospacing="1"/>
        <w:ind w:leftChars="0" w:right="567"/>
        <w:jc w:val="both"/>
        <w:rPr>
          <w:rFonts w:ascii="Times New Roman" w:eastAsia="標楷體" w:hAnsi="Times New Roman"/>
          <w:sz w:val="28"/>
        </w:rPr>
      </w:pPr>
      <w:r w:rsidRPr="005E758A">
        <w:rPr>
          <w:rFonts w:ascii="Times New Roman" w:eastAsia="標楷體" w:hAnsi="Times New Roman"/>
          <w:sz w:val="28"/>
        </w:rPr>
        <w:t>確保刑事法律不妨礙獲得這些服務，包括為此修改關於兒童藏有或使用藥物為犯罪行為的法律規定；</w:t>
      </w:r>
    </w:p>
    <w:p w14:paraId="09FB077A" w14:textId="77777777" w:rsidR="00CF6265" w:rsidRPr="005E758A" w:rsidRDefault="00CF6265" w:rsidP="00F02A5C">
      <w:pPr>
        <w:pStyle w:val="a0"/>
        <w:numPr>
          <w:ilvl w:val="1"/>
          <w:numId w:val="190"/>
        </w:numPr>
        <w:snapToGrid w:val="0"/>
        <w:spacing w:before="100" w:beforeAutospacing="1" w:after="100" w:afterAutospacing="1"/>
        <w:ind w:leftChars="0" w:right="567"/>
        <w:jc w:val="both"/>
        <w:rPr>
          <w:rFonts w:ascii="Times New Roman" w:eastAsia="標楷體" w:hAnsi="Times New Roman"/>
          <w:sz w:val="28"/>
        </w:rPr>
      </w:pPr>
      <w:r w:rsidRPr="005E758A">
        <w:rPr>
          <w:rFonts w:ascii="Times New Roman" w:eastAsia="標楷體" w:hAnsi="Times New Roman"/>
          <w:sz w:val="28"/>
        </w:rPr>
        <w:t>確保為有危險的兒童工作的保健人員和執法人員在如何預防</w:t>
      </w:r>
      <w:proofErr w:type="gramStart"/>
      <w:r w:rsidRPr="005E758A">
        <w:rPr>
          <w:rFonts w:ascii="Times New Roman" w:eastAsia="標楷體" w:hAnsi="Times New Roman"/>
          <w:sz w:val="28"/>
        </w:rPr>
        <w:t>愛滋病</w:t>
      </w:r>
      <w:proofErr w:type="gramEnd"/>
      <w:r w:rsidRPr="005E758A">
        <w:rPr>
          <w:rFonts w:ascii="Times New Roman" w:eastAsia="標楷體" w:hAnsi="Times New Roman"/>
          <w:sz w:val="28"/>
        </w:rPr>
        <w:t>方面得到適當的培訓，並且調查和懲罰對有危險的兒童濫用執法的情事；</w:t>
      </w:r>
    </w:p>
    <w:p w14:paraId="7E5A8EF6" w14:textId="77777777" w:rsidR="00CF6265" w:rsidRPr="005E758A" w:rsidRDefault="00CF6265" w:rsidP="00F02A5C">
      <w:pPr>
        <w:pStyle w:val="a0"/>
        <w:numPr>
          <w:ilvl w:val="1"/>
          <w:numId w:val="190"/>
        </w:numPr>
        <w:snapToGrid w:val="0"/>
        <w:spacing w:before="100" w:beforeAutospacing="1" w:after="100" w:afterAutospacing="1"/>
        <w:ind w:leftChars="0" w:right="567"/>
        <w:jc w:val="both"/>
        <w:rPr>
          <w:rFonts w:ascii="Times New Roman" w:eastAsia="標楷體" w:hAnsi="Times New Roman"/>
          <w:sz w:val="28"/>
        </w:rPr>
      </w:pPr>
      <w:r w:rsidRPr="005E758A">
        <w:rPr>
          <w:rFonts w:ascii="Times New Roman" w:eastAsia="標楷體" w:hAnsi="Times New Roman"/>
          <w:sz w:val="28"/>
        </w:rPr>
        <w:t>加強取締對兒童出售酒精和煙草的行為，和解決兒童和青少年濫用藥物的根本原因。</w:t>
      </w:r>
    </w:p>
    <w:p w14:paraId="732B63AF" w14:textId="77777777" w:rsidR="00CF6265" w:rsidRPr="005E758A" w:rsidRDefault="00CF6265" w:rsidP="00CF6265">
      <w:pPr>
        <w:snapToGrid w:val="0"/>
        <w:spacing w:before="100" w:beforeAutospacing="1" w:after="100" w:afterAutospacing="1"/>
        <w:jc w:val="both"/>
        <w:rPr>
          <w:sz w:val="28"/>
        </w:rPr>
      </w:pPr>
      <w:proofErr w:type="gramStart"/>
      <w:r w:rsidRPr="005E758A">
        <w:rPr>
          <w:sz w:val="28"/>
        </w:rPr>
        <w:t>此外，</w:t>
      </w:r>
      <w:proofErr w:type="gramEnd"/>
      <w:r w:rsidRPr="005E758A">
        <w:rPr>
          <w:sz w:val="28"/>
        </w:rPr>
        <w:t>兒童權利委員會亦鼓勵締約國批准其尚未批准的國際藥物管制公約</w:t>
      </w:r>
      <w:r w:rsidRPr="005E758A">
        <w:rPr>
          <w:rStyle w:val="af3"/>
          <w:sz w:val="28"/>
        </w:rPr>
        <w:endnoteReference w:id="451"/>
      </w:r>
      <w:r w:rsidRPr="005E758A">
        <w:rPr>
          <w:sz w:val="28"/>
        </w:rPr>
        <w:t>。</w:t>
      </w:r>
    </w:p>
    <w:p w14:paraId="629C1533" w14:textId="77777777" w:rsidR="00CF6265" w:rsidRPr="005E758A" w:rsidRDefault="00CF6265" w:rsidP="00CF6265">
      <w:pPr>
        <w:snapToGrid w:val="0"/>
        <w:spacing w:before="100" w:beforeAutospacing="1" w:after="100" w:afterAutospacing="1"/>
        <w:ind w:firstLineChars="200" w:firstLine="560"/>
        <w:jc w:val="both"/>
        <w:rPr>
          <w:sz w:val="28"/>
        </w:rPr>
      </w:pPr>
      <w:r w:rsidRPr="005E758A">
        <w:rPr>
          <w:sz w:val="28"/>
        </w:rPr>
        <w:t>此條的落實與科學發展息息相關，公約通過至今已</w:t>
      </w:r>
      <w:r w:rsidRPr="005E758A">
        <w:rPr>
          <w:sz w:val="28"/>
        </w:rPr>
        <w:t>20</w:t>
      </w:r>
      <w:r w:rsidRPr="005E758A">
        <w:rPr>
          <w:sz w:val="28"/>
        </w:rPr>
        <w:t>餘年，藥物的種類、兒童用藥的習慣</w:t>
      </w:r>
      <w:proofErr w:type="gramStart"/>
      <w:r w:rsidRPr="005E758A">
        <w:rPr>
          <w:sz w:val="28"/>
        </w:rPr>
        <w:t>及態樣等</w:t>
      </w:r>
      <w:proofErr w:type="gramEnd"/>
      <w:r w:rsidRPr="005E758A">
        <w:rPr>
          <w:sz w:val="28"/>
        </w:rPr>
        <w:t>歷經許多變化，生物醫學及精神醫學研究等各方面的科學進步也讓人類更了解用藥的現象以及肇因，締約國在決定該採取何種「適當措施」時，應考量上述因素，以適應</w:t>
      </w:r>
      <w:r w:rsidRPr="005E758A">
        <w:rPr>
          <w:sz w:val="28"/>
        </w:rPr>
        <w:lastRenderedPageBreak/>
        <w:t>現代的趨勢及發展。</w:t>
      </w:r>
      <w:r w:rsidRPr="005E758A">
        <w:rPr>
          <w:rStyle w:val="af3"/>
          <w:sz w:val="28"/>
        </w:rPr>
        <w:endnoteReference w:id="452"/>
      </w:r>
    </w:p>
    <w:p w14:paraId="18E643A2" w14:textId="77777777" w:rsidR="00CF6265" w:rsidRPr="005E758A" w:rsidRDefault="00CF6265" w:rsidP="00CF6265">
      <w:pPr>
        <w:snapToGrid w:val="0"/>
        <w:spacing w:before="100" w:beforeAutospacing="1" w:after="100" w:afterAutospacing="1"/>
        <w:ind w:firstLineChars="200" w:firstLine="560"/>
        <w:jc w:val="both"/>
        <w:rPr>
          <w:sz w:val="28"/>
          <w:szCs w:val="28"/>
        </w:rPr>
      </w:pPr>
      <w:r w:rsidRPr="005E758A">
        <w:rPr>
          <w:sz w:val="28"/>
          <w:szCs w:val="28"/>
        </w:rPr>
        <w:t>而何謂本條所稱之「有關國際條約所訂定之麻醉藥品及精神藥物」？如前所述，與藥物使用相關條約包括</w:t>
      </w:r>
      <w:r w:rsidRPr="005E758A">
        <w:rPr>
          <w:sz w:val="28"/>
        </w:rPr>
        <w:t>：</w:t>
      </w:r>
      <w:r w:rsidRPr="005E758A">
        <w:rPr>
          <w:sz w:val="28"/>
        </w:rPr>
        <w:t>1961</w:t>
      </w:r>
      <w:r w:rsidRPr="005E758A">
        <w:rPr>
          <w:sz w:val="28"/>
        </w:rPr>
        <w:t>年麻醉品單一公約、</w:t>
      </w:r>
      <w:r w:rsidRPr="005E758A">
        <w:rPr>
          <w:sz w:val="28"/>
        </w:rPr>
        <w:t>1971</w:t>
      </w:r>
      <w:r w:rsidRPr="005E758A">
        <w:rPr>
          <w:sz w:val="28"/>
        </w:rPr>
        <w:t>年精神藥物公約、</w:t>
      </w:r>
      <w:r w:rsidRPr="005E758A">
        <w:rPr>
          <w:sz w:val="28"/>
        </w:rPr>
        <w:t>1988</w:t>
      </w:r>
      <w:r w:rsidRPr="005E758A">
        <w:rPr>
          <w:sz w:val="28"/>
        </w:rPr>
        <w:t>年聯合國禁止非法販運麻醉藥品和精神藥物公約，</w:t>
      </w:r>
      <w:r w:rsidRPr="005E758A">
        <w:rPr>
          <w:sz w:val="28"/>
          <w:szCs w:val="28"/>
        </w:rPr>
        <w:t>世界衛生組織曾在締約過程中明確指出前兩項</w:t>
      </w:r>
      <w:proofErr w:type="gramStart"/>
      <w:r w:rsidRPr="005E758A">
        <w:rPr>
          <w:sz w:val="28"/>
          <w:szCs w:val="28"/>
        </w:rPr>
        <w:t>條約均為本</w:t>
      </w:r>
      <w:proofErr w:type="gramEnd"/>
      <w:r w:rsidRPr="005E758A">
        <w:rPr>
          <w:sz w:val="28"/>
          <w:szCs w:val="28"/>
        </w:rPr>
        <w:t>條所指之「有關國際條約」</w:t>
      </w:r>
      <w:r w:rsidRPr="005E758A">
        <w:rPr>
          <w:rStyle w:val="af3"/>
          <w:sz w:val="28"/>
        </w:rPr>
        <w:endnoteReference w:id="453"/>
      </w:r>
      <w:r w:rsidRPr="005E758A">
        <w:rPr>
          <w:sz w:val="28"/>
          <w:szCs w:val="28"/>
        </w:rPr>
        <w:t>，</w:t>
      </w:r>
      <w:r w:rsidRPr="005E758A">
        <w:rPr>
          <w:sz w:val="28"/>
        </w:rPr>
        <w:t>1988</w:t>
      </w:r>
      <w:r w:rsidRPr="005E758A">
        <w:rPr>
          <w:sz w:val="28"/>
        </w:rPr>
        <w:t>年聯合國禁止非法販運麻醉藥品和精神藥物公約在兒童權利公約締約協商時仍未通過</w:t>
      </w:r>
      <w:r w:rsidRPr="005E758A">
        <w:rPr>
          <w:sz w:val="28"/>
          <w:szCs w:val="28"/>
        </w:rPr>
        <w:t>，但仍應被視為「有關國際條約」</w:t>
      </w:r>
      <w:r w:rsidRPr="005E758A">
        <w:rPr>
          <w:rStyle w:val="af3"/>
          <w:sz w:val="28"/>
        </w:rPr>
        <w:endnoteReference w:id="454"/>
      </w:r>
      <w:r w:rsidRPr="005E758A">
        <w:rPr>
          <w:sz w:val="28"/>
          <w:szCs w:val="28"/>
        </w:rPr>
        <w:t>，有</w:t>
      </w:r>
      <w:proofErr w:type="gramStart"/>
      <w:r w:rsidRPr="005E758A">
        <w:rPr>
          <w:sz w:val="28"/>
          <w:szCs w:val="28"/>
        </w:rPr>
        <w:t>鑑</w:t>
      </w:r>
      <w:proofErr w:type="gramEnd"/>
      <w:r w:rsidRPr="005E758A">
        <w:rPr>
          <w:sz w:val="28"/>
          <w:szCs w:val="28"/>
        </w:rPr>
        <w:t>於菸草中含有的尼古丁為高度成癮性藥物，且菸草使用造成重大公共衛生隱憂，</w:t>
      </w:r>
      <w:r w:rsidRPr="005E758A">
        <w:rPr>
          <w:sz w:val="28"/>
          <w:szCs w:val="28"/>
        </w:rPr>
        <w:t>2003</w:t>
      </w:r>
      <w:r w:rsidRPr="005E758A">
        <w:rPr>
          <w:sz w:val="28"/>
          <w:szCs w:val="28"/>
        </w:rPr>
        <w:t>年世界衛生組織菸草控制框架公約亦應被視「有關國際條約」，而在涉及兒童的案件中，上述條約的解釋也需要考慮兒童權利公約的規定及精神</w:t>
      </w:r>
      <w:r w:rsidRPr="005E758A">
        <w:rPr>
          <w:rStyle w:val="af3"/>
          <w:sz w:val="28"/>
        </w:rPr>
        <w:endnoteReference w:id="455"/>
      </w:r>
      <w:r w:rsidRPr="005E758A">
        <w:rPr>
          <w:sz w:val="28"/>
          <w:szCs w:val="28"/>
        </w:rPr>
        <w:t>。</w:t>
      </w:r>
    </w:p>
    <w:p w14:paraId="54BD6C3A" w14:textId="77777777" w:rsidR="00CF6265" w:rsidRPr="005E758A" w:rsidRDefault="00CF6265" w:rsidP="00CF6265">
      <w:pPr>
        <w:pStyle w:val="3"/>
        <w:numPr>
          <w:ilvl w:val="0"/>
          <w:numId w:val="3"/>
        </w:numPr>
        <w:ind w:left="482" w:hanging="482"/>
      </w:pPr>
      <w:r w:rsidRPr="005E758A">
        <w:t>「防止利用兒童從事非法製造及販運此類藥物」</w:t>
      </w:r>
    </w:p>
    <w:p w14:paraId="01EDC6C3" w14:textId="77777777" w:rsidR="00CF6265" w:rsidRPr="005E758A" w:rsidRDefault="00CF6265" w:rsidP="00CF6265">
      <w:pPr>
        <w:snapToGrid w:val="0"/>
        <w:spacing w:before="100" w:beforeAutospacing="1" w:after="100" w:afterAutospacing="1"/>
        <w:ind w:firstLineChars="200" w:firstLine="560"/>
        <w:jc w:val="both"/>
        <w:rPr>
          <w:sz w:val="28"/>
        </w:rPr>
      </w:pPr>
      <w:r w:rsidRPr="005E758A">
        <w:rPr>
          <w:sz w:val="28"/>
        </w:rPr>
        <w:t>「製造」包括種植管制作物以及產業化培植，雖合法製造並不在本條規範範圍，但如果合法製造的工作對兒童健康、發展等有負面影響，締約國基於第</w:t>
      </w:r>
      <w:r w:rsidRPr="005E758A">
        <w:rPr>
          <w:sz w:val="28"/>
        </w:rPr>
        <w:t>32</w:t>
      </w:r>
      <w:r w:rsidRPr="005E758A">
        <w:rPr>
          <w:sz w:val="28"/>
        </w:rPr>
        <w:t>條應保護兒童不致從事此類工作</w:t>
      </w:r>
      <w:r w:rsidRPr="005E758A">
        <w:rPr>
          <w:rStyle w:val="af3"/>
          <w:sz w:val="28"/>
        </w:rPr>
        <w:endnoteReference w:id="456"/>
      </w:r>
      <w:r w:rsidRPr="005E758A">
        <w:rPr>
          <w:sz w:val="28"/>
        </w:rPr>
        <w:t>。「販運」不僅限於大規模的買賣，所有利用兒童從事犯罪行動的</w:t>
      </w:r>
      <w:proofErr w:type="gramStart"/>
      <w:r w:rsidRPr="005E758A">
        <w:rPr>
          <w:sz w:val="28"/>
        </w:rPr>
        <w:t>行為均應被</w:t>
      </w:r>
      <w:proofErr w:type="gramEnd"/>
      <w:r w:rsidRPr="005E758A">
        <w:rPr>
          <w:sz w:val="28"/>
        </w:rPr>
        <w:t>禁止，</w:t>
      </w:r>
      <w:r w:rsidRPr="005E758A">
        <w:rPr>
          <w:rStyle w:val="af3"/>
          <w:sz w:val="28"/>
        </w:rPr>
        <w:endnoteReference w:id="457"/>
      </w:r>
      <w:r w:rsidRPr="005E758A">
        <w:rPr>
          <w:sz w:val="28"/>
        </w:rPr>
        <w:t>兒童權利委員會甚至曾表示締約國不應利用兒童打擊毒品走私</w:t>
      </w:r>
      <w:r w:rsidRPr="005E758A">
        <w:rPr>
          <w:rStyle w:val="af3"/>
          <w:sz w:val="28"/>
        </w:rPr>
        <w:endnoteReference w:id="458"/>
      </w:r>
      <w:r w:rsidRPr="005E758A">
        <w:rPr>
          <w:sz w:val="28"/>
        </w:rPr>
        <w:t>，學者認為包括不應利用兒童做為線民</w:t>
      </w:r>
      <w:r w:rsidRPr="005E758A">
        <w:rPr>
          <w:rStyle w:val="af3"/>
          <w:sz w:val="28"/>
        </w:rPr>
        <w:endnoteReference w:id="459"/>
      </w:r>
      <w:r w:rsidRPr="005E758A">
        <w:rPr>
          <w:sz w:val="28"/>
        </w:rPr>
        <w:t>。締約國應採取社會、教育及其他適當的措施達成防治利用兒童從事非法製造及販運之目的。</w:t>
      </w:r>
    </w:p>
    <w:p w14:paraId="19EEEA94" w14:textId="77777777" w:rsidR="00CF6265" w:rsidRPr="005E758A" w:rsidRDefault="00CF6265" w:rsidP="00CF6265">
      <w:pPr>
        <w:snapToGrid w:val="0"/>
        <w:spacing w:before="100" w:beforeAutospacing="1" w:after="100" w:afterAutospacing="1"/>
        <w:ind w:firstLineChars="200" w:firstLine="560"/>
        <w:jc w:val="both"/>
        <w:rPr>
          <w:sz w:val="28"/>
        </w:rPr>
      </w:pPr>
      <w:r w:rsidRPr="005E758A">
        <w:rPr>
          <w:sz w:val="28"/>
        </w:rPr>
        <w:t>此處規定針對的是「利用」兒童的行為，若兒童自願參與而未被強迫，可能不夠成此處的「利用」，惟由於非法製造及販運藥物行為的違法性，兒童從事此類工作可能屬「最有害的童工形式」，亦可能與第</w:t>
      </w:r>
      <w:r w:rsidRPr="005E758A">
        <w:rPr>
          <w:sz w:val="28"/>
        </w:rPr>
        <w:t>32</w:t>
      </w:r>
      <w:r w:rsidRPr="005E758A">
        <w:rPr>
          <w:sz w:val="28"/>
        </w:rPr>
        <w:t>條免於經濟剝削之權利相左。</w:t>
      </w:r>
    </w:p>
    <w:p w14:paraId="7DA9EB08" w14:textId="77777777" w:rsidR="00CF6265" w:rsidRPr="005E758A" w:rsidRDefault="00CF6265" w:rsidP="00CF6265">
      <w:pPr>
        <w:pStyle w:val="2"/>
      </w:pPr>
      <w:r w:rsidRPr="005E758A">
        <w:t>案例介紹</w:t>
      </w:r>
    </w:p>
    <w:p w14:paraId="7AAA9CBF" w14:textId="77777777" w:rsidR="00CF6265" w:rsidRPr="005E758A" w:rsidRDefault="00CF6265" w:rsidP="00F02A5C">
      <w:pPr>
        <w:pStyle w:val="3"/>
        <w:numPr>
          <w:ilvl w:val="0"/>
          <w:numId w:val="191"/>
        </w:numPr>
      </w:pPr>
      <w:r w:rsidRPr="005E758A">
        <w:t>2004</w:t>
      </w:r>
      <w:r w:rsidRPr="005E758A">
        <w:t>年匈牙利憲法法院刑法規定審查案：</w:t>
      </w:r>
      <w:r w:rsidRPr="005E758A">
        <w:t>54/2004</w:t>
      </w:r>
      <w:r w:rsidRPr="005E758A">
        <w:t>號決定</w:t>
      </w:r>
      <w:r w:rsidRPr="005E758A">
        <w:rPr>
          <w:rStyle w:val="af3"/>
        </w:rPr>
        <w:endnoteReference w:id="460"/>
      </w:r>
    </w:p>
    <w:p w14:paraId="7E4C3B8D" w14:textId="77777777" w:rsidR="00CF6265" w:rsidRPr="005E758A" w:rsidRDefault="001D4791" w:rsidP="00CF6265">
      <w:pPr>
        <w:snapToGrid w:val="0"/>
        <w:spacing w:before="100" w:beforeAutospacing="1" w:after="100" w:afterAutospacing="1"/>
        <w:ind w:firstLineChars="200" w:firstLine="560"/>
        <w:jc w:val="both"/>
        <w:rPr>
          <w:sz w:val="28"/>
        </w:rPr>
      </w:pPr>
      <w:r w:rsidRPr="001D4791">
        <w:rPr>
          <w:sz w:val="28"/>
          <w:szCs w:val="28"/>
        </w:rPr>
        <w:t>匈牙利憲法法院</w:t>
      </w:r>
      <w:r>
        <w:rPr>
          <w:rFonts w:hint="eastAsia"/>
          <w:sz w:val="28"/>
          <w:szCs w:val="28"/>
        </w:rPr>
        <w:t>陸續接獲</w:t>
      </w:r>
      <w:r>
        <w:rPr>
          <w:rFonts w:hint="eastAsia"/>
          <w:sz w:val="28"/>
          <w:szCs w:val="28"/>
        </w:rPr>
        <w:t>5</w:t>
      </w:r>
      <w:r>
        <w:rPr>
          <w:rFonts w:hint="eastAsia"/>
          <w:sz w:val="28"/>
          <w:szCs w:val="28"/>
        </w:rPr>
        <w:t>項針對匈牙利刑法藥物濫用相關規定</w:t>
      </w:r>
      <w:r w:rsidR="0050545F">
        <w:rPr>
          <w:rFonts w:hint="eastAsia"/>
          <w:sz w:val="28"/>
          <w:szCs w:val="28"/>
        </w:rPr>
        <w:t>之</w:t>
      </w:r>
      <w:r w:rsidR="00B75D56">
        <w:rPr>
          <w:rFonts w:hint="eastAsia"/>
          <w:sz w:val="28"/>
          <w:szCs w:val="28"/>
        </w:rPr>
        <w:t>釋憲聲請，法院決定</w:t>
      </w:r>
      <w:proofErr w:type="gramStart"/>
      <w:r w:rsidR="00B75D56">
        <w:rPr>
          <w:rFonts w:hint="eastAsia"/>
          <w:sz w:val="28"/>
          <w:szCs w:val="28"/>
        </w:rPr>
        <w:t>併</w:t>
      </w:r>
      <w:proofErr w:type="gramEnd"/>
      <w:r w:rsidR="00B75D56">
        <w:rPr>
          <w:rFonts w:hint="eastAsia"/>
          <w:sz w:val="28"/>
          <w:szCs w:val="28"/>
        </w:rPr>
        <w:t>案處理審查相關規定之合憲性</w:t>
      </w:r>
      <w:r>
        <w:rPr>
          <w:rFonts w:hint="eastAsia"/>
          <w:sz w:val="28"/>
          <w:szCs w:val="28"/>
        </w:rPr>
        <w:t>。</w:t>
      </w:r>
      <w:r w:rsidR="00CF6265" w:rsidRPr="001D4791">
        <w:rPr>
          <w:sz w:val="28"/>
          <w:szCs w:val="28"/>
        </w:rPr>
        <w:t>根據匈牙利刑法第</w:t>
      </w:r>
      <w:r w:rsidR="00CF6265" w:rsidRPr="001D4791">
        <w:rPr>
          <w:sz w:val="28"/>
          <w:szCs w:val="28"/>
        </w:rPr>
        <w:t>282</w:t>
      </w:r>
      <w:r w:rsidR="00CF6265" w:rsidRPr="001D4791">
        <w:rPr>
          <w:sz w:val="28"/>
          <w:szCs w:val="28"/>
        </w:rPr>
        <w:t>條第</w:t>
      </w:r>
      <w:r w:rsidR="00CF6265" w:rsidRPr="001D4791">
        <w:rPr>
          <w:sz w:val="28"/>
          <w:szCs w:val="28"/>
        </w:rPr>
        <w:t>1</w:t>
      </w:r>
      <w:r w:rsidR="00CF6265" w:rsidRPr="001D4791">
        <w:rPr>
          <w:sz w:val="28"/>
          <w:szCs w:val="28"/>
        </w:rPr>
        <w:t>項第</w:t>
      </w:r>
      <w:r w:rsidR="00CF6265" w:rsidRPr="001D4791">
        <w:rPr>
          <w:sz w:val="28"/>
          <w:szCs w:val="28"/>
        </w:rPr>
        <w:t>c</w:t>
      </w:r>
      <w:r w:rsidR="00CF6265" w:rsidRPr="001D4791">
        <w:rPr>
          <w:sz w:val="28"/>
          <w:szCs w:val="28"/>
        </w:rPr>
        <w:t>及</w:t>
      </w:r>
      <w:r w:rsidR="00CF6265" w:rsidRPr="001D4791">
        <w:rPr>
          <w:sz w:val="28"/>
          <w:szCs w:val="28"/>
        </w:rPr>
        <w:t>d</w:t>
      </w:r>
      <w:r w:rsidR="00CF6265" w:rsidRPr="001D4791">
        <w:rPr>
          <w:sz w:val="28"/>
          <w:szCs w:val="28"/>
        </w:rPr>
        <w:t>款規定，</w:t>
      </w:r>
      <w:r w:rsidR="00CF6265" w:rsidRPr="005E758A">
        <w:rPr>
          <w:sz w:val="28"/>
        </w:rPr>
        <w:t>對於符合以下任</w:t>
      </w:r>
      <w:proofErr w:type="gramStart"/>
      <w:r w:rsidR="00CF6265" w:rsidRPr="005E758A">
        <w:rPr>
          <w:sz w:val="28"/>
        </w:rPr>
        <w:t>一</w:t>
      </w:r>
      <w:proofErr w:type="gramEnd"/>
      <w:r w:rsidR="00CF6265" w:rsidRPr="005E758A">
        <w:rPr>
          <w:sz w:val="28"/>
        </w:rPr>
        <w:t>條件者，不得處以麻醉藥物濫用刑責：</w:t>
      </w:r>
    </w:p>
    <w:p w14:paraId="4D958D47" w14:textId="77777777" w:rsidR="00CF6265" w:rsidRPr="005E758A" w:rsidRDefault="00CF6265" w:rsidP="00F02A5C">
      <w:pPr>
        <w:pStyle w:val="a0"/>
        <w:numPr>
          <w:ilvl w:val="0"/>
          <w:numId w:val="183"/>
        </w:numPr>
        <w:snapToGrid w:val="0"/>
        <w:spacing w:before="100" w:beforeAutospacing="1" w:after="100" w:afterAutospacing="1"/>
        <w:ind w:leftChars="0" w:right="567"/>
        <w:jc w:val="both"/>
        <w:rPr>
          <w:rFonts w:ascii="Times New Roman" w:eastAsia="標楷體" w:hAnsi="Times New Roman"/>
          <w:sz w:val="28"/>
        </w:rPr>
      </w:pPr>
      <w:r w:rsidRPr="005E758A">
        <w:rPr>
          <w:rFonts w:ascii="Times New Roman" w:eastAsia="標楷體" w:hAnsi="Times New Roman"/>
          <w:sz w:val="28"/>
        </w:rPr>
        <w:t>滿</w:t>
      </w:r>
      <w:r w:rsidRPr="005E758A">
        <w:rPr>
          <w:rFonts w:ascii="Times New Roman" w:eastAsia="標楷體" w:hAnsi="Times New Roman"/>
          <w:sz w:val="28"/>
        </w:rPr>
        <w:t>18</w:t>
      </w:r>
      <w:r w:rsidRPr="005E758A">
        <w:rPr>
          <w:rFonts w:ascii="Times New Roman" w:eastAsia="標楷體" w:hAnsi="Times New Roman"/>
          <w:sz w:val="28"/>
        </w:rPr>
        <w:t>歲以上之成人為自己使用的目的，利用未滿</w:t>
      </w:r>
      <w:r w:rsidRPr="005E758A">
        <w:rPr>
          <w:rFonts w:ascii="Times New Roman" w:eastAsia="標楷體" w:hAnsi="Times New Roman"/>
          <w:sz w:val="28"/>
        </w:rPr>
        <w:t>18</w:t>
      </w:r>
      <w:r w:rsidRPr="005E758A">
        <w:rPr>
          <w:rFonts w:ascii="Times New Roman" w:eastAsia="標楷體" w:hAnsi="Times New Roman"/>
          <w:sz w:val="28"/>
        </w:rPr>
        <w:t>歲人士栽培、生產、取得或持有小量麻醉藥物；</w:t>
      </w:r>
    </w:p>
    <w:p w14:paraId="7D59BCC6" w14:textId="77777777" w:rsidR="00CF6265" w:rsidRPr="005E758A" w:rsidRDefault="00CF6265" w:rsidP="00F02A5C">
      <w:pPr>
        <w:pStyle w:val="a0"/>
        <w:numPr>
          <w:ilvl w:val="0"/>
          <w:numId w:val="183"/>
        </w:numPr>
        <w:snapToGrid w:val="0"/>
        <w:spacing w:before="100" w:beforeAutospacing="1" w:after="100" w:afterAutospacing="1"/>
        <w:ind w:leftChars="0" w:right="567"/>
        <w:jc w:val="both"/>
        <w:rPr>
          <w:rFonts w:ascii="Times New Roman" w:eastAsia="標楷體" w:hAnsi="Times New Roman"/>
          <w:sz w:val="28"/>
        </w:rPr>
      </w:pPr>
      <w:r w:rsidRPr="005E758A">
        <w:rPr>
          <w:rFonts w:ascii="Times New Roman" w:eastAsia="標楷體" w:hAnsi="Times New Roman"/>
          <w:sz w:val="28"/>
        </w:rPr>
        <w:t>滿</w:t>
      </w:r>
      <w:r w:rsidRPr="005E758A">
        <w:rPr>
          <w:rFonts w:ascii="Times New Roman" w:eastAsia="標楷體" w:hAnsi="Times New Roman"/>
          <w:sz w:val="28"/>
        </w:rPr>
        <w:t>18</w:t>
      </w:r>
      <w:r w:rsidRPr="005E758A">
        <w:rPr>
          <w:rFonts w:ascii="Times New Roman" w:eastAsia="標楷體" w:hAnsi="Times New Roman"/>
          <w:sz w:val="28"/>
        </w:rPr>
        <w:t>歲但未滿</w:t>
      </w:r>
      <w:r w:rsidRPr="005E758A">
        <w:rPr>
          <w:rFonts w:ascii="Times New Roman" w:eastAsia="標楷體" w:hAnsi="Times New Roman"/>
          <w:sz w:val="28"/>
        </w:rPr>
        <w:t>21</w:t>
      </w:r>
      <w:r w:rsidRPr="005E758A">
        <w:rPr>
          <w:rFonts w:ascii="Times New Roman" w:eastAsia="標楷體" w:hAnsi="Times New Roman"/>
          <w:sz w:val="28"/>
        </w:rPr>
        <w:t>歲者與未滿</w:t>
      </w:r>
      <w:r w:rsidRPr="005E758A">
        <w:rPr>
          <w:rFonts w:ascii="Times New Roman" w:eastAsia="標楷體" w:hAnsi="Times New Roman"/>
          <w:sz w:val="28"/>
        </w:rPr>
        <w:t>18</w:t>
      </w:r>
      <w:r w:rsidRPr="005E758A">
        <w:rPr>
          <w:rFonts w:ascii="Times New Roman" w:eastAsia="標楷體" w:hAnsi="Times New Roman"/>
          <w:sz w:val="28"/>
        </w:rPr>
        <w:t>歲人士一起使用麻醉</w:t>
      </w:r>
      <w:r w:rsidRPr="005E758A">
        <w:rPr>
          <w:rFonts w:ascii="Times New Roman" w:eastAsia="標楷體" w:hAnsi="Times New Roman"/>
          <w:sz w:val="28"/>
        </w:rPr>
        <w:lastRenderedPageBreak/>
        <w:t>藥物時，前者提供或遞交小量的麻醉藥物給後者；</w:t>
      </w:r>
    </w:p>
    <w:p w14:paraId="76ABEBEA" w14:textId="77777777" w:rsidR="00CF6265" w:rsidRPr="005E758A" w:rsidRDefault="00CF6265" w:rsidP="00F02A5C">
      <w:pPr>
        <w:pStyle w:val="a0"/>
        <w:numPr>
          <w:ilvl w:val="0"/>
          <w:numId w:val="183"/>
        </w:numPr>
        <w:snapToGrid w:val="0"/>
        <w:spacing w:before="100" w:beforeAutospacing="1" w:after="100" w:afterAutospacing="1"/>
        <w:ind w:leftChars="0" w:right="567"/>
        <w:jc w:val="both"/>
        <w:rPr>
          <w:rFonts w:ascii="Times New Roman" w:eastAsia="標楷體" w:hAnsi="Times New Roman"/>
          <w:sz w:val="28"/>
        </w:rPr>
      </w:pPr>
      <w:r w:rsidRPr="005E758A">
        <w:rPr>
          <w:rFonts w:ascii="Times New Roman" w:eastAsia="標楷體" w:hAnsi="Times New Roman"/>
          <w:sz w:val="28"/>
        </w:rPr>
        <w:t>未滿</w:t>
      </w:r>
      <w:r w:rsidRPr="005E758A">
        <w:rPr>
          <w:rFonts w:ascii="Times New Roman" w:eastAsia="標楷體" w:hAnsi="Times New Roman"/>
          <w:sz w:val="28"/>
        </w:rPr>
        <w:t>21</w:t>
      </w:r>
      <w:r w:rsidRPr="005E758A">
        <w:rPr>
          <w:rFonts w:ascii="Times New Roman" w:eastAsia="標楷體" w:hAnsi="Times New Roman"/>
          <w:sz w:val="28"/>
        </w:rPr>
        <w:t>歲者在公立教育、兒童福利、兒童保護或文化活動場所內或附近與他人共同使用麻醉藥物時，提供或遞交小量的麻醉藥物。</w:t>
      </w:r>
    </w:p>
    <w:p w14:paraId="3C86771B" w14:textId="77777777" w:rsidR="00CF6265" w:rsidRPr="005E758A" w:rsidRDefault="00CF6265" w:rsidP="00CF6265">
      <w:pPr>
        <w:snapToGrid w:val="0"/>
        <w:spacing w:before="100" w:beforeAutospacing="1" w:after="100" w:afterAutospacing="1"/>
        <w:ind w:firstLineChars="200" w:firstLine="560"/>
        <w:jc w:val="both"/>
        <w:rPr>
          <w:sz w:val="28"/>
        </w:rPr>
      </w:pPr>
      <w:r w:rsidRPr="005E758A">
        <w:rPr>
          <w:sz w:val="28"/>
        </w:rPr>
        <w:t>匈牙利憲法法院被要求檢視上開規定是否符合憲法以及匈牙利的國際法條約義務，也就是兒童權利公約第</w:t>
      </w:r>
      <w:r w:rsidRPr="005E758A">
        <w:rPr>
          <w:sz w:val="28"/>
        </w:rPr>
        <w:t>33</w:t>
      </w:r>
      <w:r w:rsidRPr="005E758A">
        <w:rPr>
          <w:sz w:val="28"/>
        </w:rPr>
        <w:t>條。</w:t>
      </w:r>
    </w:p>
    <w:p w14:paraId="0D940D78" w14:textId="77777777" w:rsidR="00CF6265" w:rsidRPr="005E758A" w:rsidRDefault="00CF6265" w:rsidP="00CF6265">
      <w:pPr>
        <w:snapToGrid w:val="0"/>
        <w:spacing w:before="100" w:beforeAutospacing="1" w:after="100" w:afterAutospacing="1"/>
        <w:ind w:firstLineChars="200" w:firstLine="560"/>
        <w:jc w:val="both"/>
        <w:rPr>
          <w:sz w:val="28"/>
        </w:rPr>
      </w:pPr>
      <w:r w:rsidRPr="005E758A">
        <w:rPr>
          <w:sz w:val="28"/>
        </w:rPr>
        <w:t>憲法法院檢視相關國內憲法及法律以及國際條約後，表示危及兒童或利用兒童進行之濫用藥物行為為相當嚴重的犯行，應以刑法規範。匈牙利為兒童權利公約締約國，而公約為保障兒童的心理及道德發展及健康，於第</w:t>
      </w:r>
      <w:r w:rsidRPr="005E758A">
        <w:rPr>
          <w:sz w:val="28"/>
        </w:rPr>
        <w:t>33</w:t>
      </w:r>
      <w:r w:rsidRPr="005E758A">
        <w:rPr>
          <w:sz w:val="28"/>
        </w:rPr>
        <w:t>條規範締約國應透過立法等措施保護兒童免於藥物濫用，匈牙利應透過刑法相關規定的執行保護兒童、減少麻醉藥物濫用對兒童的威脅並避免兒童取得足以影響其清醒意識以及危害其健康物質。上開匈牙利刑法條文的規範密度不足以保護兒童免於藥物濫用，並違反憲法以及包括兒童權利公約在內的國際公約。上開條文在此憲法法院決定公布當天隨即失效。</w:t>
      </w:r>
    </w:p>
    <w:p w14:paraId="03D57317" w14:textId="77777777" w:rsidR="00CF6265" w:rsidRPr="005E758A" w:rsidRDefault="00CF6265" w:rsidP="00CF6265">
      <w:pPr>
        <w:pStyle w:val="3"/>
        <w:numPr>
          <w:ilvl w:val="0"/>
          <w:numId w:val="3"/>
        </w:numPr>
        <w:ind w:left="482" w:hanging="482"/>
      </w:pPr>
      <w:r w:rsidRPr="005E758A">
        <w:t>2014</w:t>
      </w:r>
      <w:r w:rsidRPr="005E758A">
        <w:t>年聯合國麻醉藥品委員會</w:t>
      </w:r>
      <w:r w:rsidRPr="005E758A">
        <w:t>57/3</w:t>
      </w:r>
      <w:r w:rsidRPr="005E758A">
        <w:t>號決議及</w:t>
      </w:r>
      <w:r w:rsidRPr="005E758A">
        <w:t>2015</w:t>
      </w:r>
      <w:r w:rsidRPr="005E758A">
        <w:t>年</w:t>
      </w:r>
      <w:r w:rsidRPr="005E758A">
        <w:t>58/3</w:t>
      </w:r>
      <w:r w:rsidRPr="005E758A">
        <w:t>號決議</w:t>
      </w:r>
      <w:r w:rsidRPr="005E758A">
        <w:rPr>
          <w:rStyle w:val="af3"/>
        </w:rPr>
        <w:endnoteReference w:id="461"/>
      </w:r>
    </w:p>
    <w:p w14:paraId="2EACD934" w14:textId="77777777" w:rsidR="00CF6265" w:rsidRPr="005E758A" w:rsidRDefault="00CF6265" w:rsidP="00CF6265">
      <w:pPr>
        <w:snapToGrid w:val="0"/>
        <w:spacing w:before="100" w:beforeAutospacing="1" w:after="100" w:afterAutospacing="1"/>
        <w:ind w:firstLineChars="200" w:firstLine="560"/>
        <w:jc w:val="both"/>
        <w:rPr>
          <w:sz w:val="28"/>
        </w:rPr>
      </w:pPr>
      <w:r w:rsidRPr="005E758A">
        <w:rPr>
          <w:sz w:val="28"/>
        </w:rPr>
        <w:t>聯合國經濟及社會理事會於</w:t>
      </w:r>
      <w:r w:rsidRPr="005E758A">
        <w:rPr>
          <w:sz w:val="28"/>
        </w:rPr>
        <w:t>1946</w:t>
      </w:r>
      <w:r w:rsidRPr="005E758A">
        <w:rPr>
          <w:sz w:val="28"/>
        </w:rPr>
        <w:t>年成立麻醉藥品委員會</w:t>
      </w:r>
      <w:r w:rsidRPr="005E758A">
        <w:rPr>
          <w:sz w:val="28"/>
        </w:rPr>
        <w:t>(Commission on Narcotic Drugs)</w:t>
      </w:r>
      <w:r w:rsidRPr="005E758A">
        <w:rPr>
          <w:sz w:val="28"/>
        </w:rPr>
        <w:t>，其功能在於協助經社理事會監督國際藥物管制條約之執行，並於</w:t>
      </w:r>
      <w:r w:rsidRPr="005E758A">
        <w:rPr>
          <w:sz w:val="28"/>
        </w:rPr>
        <w:t>1991</w:t>
      </w:r>
      <w:r w:rsidRPr="005E758A">
        <w:rPr>
          <w:sz w:val="28"/>
        </w:rPr>
        <w:t>年成為聯合國毒品和犯罪問題辦公室</w:t>
      </w:r>
      <w:r w:rsidRPr="005E758A">
        <w:rPr>
          <w:sz w:val="28"/>
        </w:rPr>
        <w:t>(United Nations Office on Drugs and Crime)</w:t>
      </w:r>
      <w:r w:rsidRPr="005E758A">
        <w:rPr>
          <w:sz w:val="28"/>
        </w:rPr>
        <w:t>的管理單位。聯合國麻醉藥品委員會於</w:t>
      </w:r>
      <w:r w:rsidRPr="005E758A">
        <w:rPr>
          <w:sz w:val="28"/>
        </w:rPr>
        <w:t>2014</w:t>
      </w:r>
      <w:r w:rsidRPr="005E758A">
        <w:rPr>
          <w:sz w:val="28"/>
        </w:rPr>
        <w:t>年通過了</w:t>
      </w:r>
      <w:r w:rsidRPr="005E758A">
        <w:rPr>
          <w:sz w:val="28"/>
        </w:rPr>
        <w:t>57/3</w:t>
      </w:r>
      <w:r w:rsidRPr="005E758A">
        <w:rPr>
          <w:sz w:val="28"/>
        </w:rPr>
        <w:t>號決議，決議主題為：推動基於科學證據的藥物濫用預防，以此作為對兒童、少年、青年、家庭和社區福祉的一項投資</w:t>
      </w:r>
      <w:r w:rsidRPr="005E758A">
        <w:rPr>
          <w:sz w:val="28"/>
        </w:rPr>
        <w:t>(Promoting Prevention of Drug Abuse Based on Scientific Evidence as an Investment in the Well-Being of Children, Adolescents, Youth, Families and Communities)</w:t>
      </w:r>
      <w:r w:rsidRPr="005E758A">
        <w:rPr>
          <w:sz w:val="28"/>
        </w:rPr>
        <w:t>。此項決議前言第一段即引用兒童權利公約第</w:t>
      </w:r>
      <w:r w:rsidRPr="005E758A">
        <w:rPr>
          <w:sz w:val="28"/>
        </w:rPr>
        <w:t>33</w:t>
      </w:r>
      <w:r w:rsidRPr="005E758A">
        <w:rPr>
          <w:sz w:val="28"/>
        </w:rPr>
        <w:t>條之規定，並強調政府實施防止藥物濫用政策（尤其是著重兒童、少年、青年、家庭和社區的政策）時，需顧及人權法下的義務。</w:t>
      </w:r>
    </w:p>
    <w:p w14:paraId="38155AEF" w14:textId="77777777" w:rsidR="00CF6265" w:rsidRPr="005E758A" w:rsidRDefault="00CF6265" w:rsidP="00CF6265">
      <w:pPr>
        <w:snapToGrid w:val="0"/>
        <w:spacing w:before="100" w:beforeAutospacing="1" w:after="100" w:afterAutospacing="1"/>
        <w:ind w:firstLineChars="200" w:firstLine="560"/>
        <w:jc w:val="both"/>
        <w:rPr>
          <w:sz w:val="28"/>
        </w:rPr>
      </w:pPr>
      <w:r w:rsidRPr="005E758A">
        <w:rPr>
          <w:sz w:val="28"/>
        </w:rPr>
        <w:t>該號決議鼓勵會員國採取之措施包括：</w:t>
      </w:r>
    </w:p>
    <w:p w14:paraId="264E61C3" w14:textId="77777777" w:rsidR="00CF6265" w:rsidRPr="005E758A" w:rsidRDefault="00CF6265" w:rsidP="00F02A5C">
      <w:pPr>
        <w:pStyle w:val="a0"/>
        <w:numPr>
          <w:ilvl w:val="0"/>
          <w:numId w:val="187"/>
        </w:numPr>
        <w:snapToGrid w:val="0"/>
        <w:spacing w:before="100" w:beforeAutospacing="1" w:after="100" w:afterAutospacing="1"/>
        <w:ind w:leftChars="0" w:left="1049" w:right="567" w:hanging="482"/>
        <w:jc w:val="both"/>
        <w:rPr>
          <w:rFonts w:ascii="Times New Roman" w:eastAsia="標楷體" w:hAnsi="Times New Roman"/>
          <w:sz w:val="28"/>
        </w:rPr>
      </w:pPr>
      <w:r w:rsidRPr="005E758A">
        <w:rPr>
          <w:rFonts w:ascii="Times New Roman" w:eastAsia="標楷體" w:hAnsi="Times New Roman"/>
          <w:sz w:val="28"/>
        </w:rPr>
        <w:t>支持基於科學證據的藥物濫用預防，以此作為對兒童、青少年、青年、家庭和社區福祉的一項投資，特別是為此採取適當措施，包括酌情提供資源持續培訓政策制定</w:t>
      </w:r>
      <w:r w:rsidRPr="005E758A">
        <w:rPr>
          <w:rFonts w:ascii="Times New Roman" w:eastAsia="標楷體" w:hAnsi="Times New Roman"/>
          <w:sz w:val="28"/>
        </w:rPr>
        <w:lastRenderedPageBreak/>
        <w:t>人員、從業人員和研究人員；</w:t>
      </w:r>
    </w:p>
    <w:p w14:paraId="28092EA3" w14:textId="77777777" w:rsidR="00CF6265" w:rsidRPr="005E758A" w:rsidRDefault="00CF6265" w:rsidP="00F02A5C">
      <w:pPr>
        <w:pStyle w:val="a0"/>
        <w:numPr>
          <w:ilvl w:val="0"/>
          <w:numId w:val="187"/>
        </w:numPr>
        <w:snapToGrid w:val="0"/>
        <w:spacing w:before="100" w:beforeAutospacing="1" w:after="100" w:afterAutospacing="1"/>
        <w:ind w:leftChars="0" w:left="1049" w:right="567" w:hanging="482"/>
        <w:jc w:val="both"/>
        <w:rPr>
          <w:rFonts w:ascii="Times New Roman" w:eastAsia="標楷體" w:hAnsi="Times New Roman"/>
          <w:sz w:val="28"/>
        </w:rPr>
      </w:pPr>
      <w:r w:rsidRPr="005E758A">
        <w:rPr>
          <w:rFonts w:ascii="Times New Roman" w:eastAsia="標楷體" w:hAnsi="Times New Roman"/>
          <w:sz w:val="28"/>
        </w:rPr>
        <w:t>加強並進一步制訂預防方案和政策，以兒童、青少年、青年、家庭和社區為對象，旨在鼓勵採用有效替代藥物濫用的行為，推廣既有利於享受自由時間又不進行藥物濫用的健康生活方式；</w:t>
      </w:r>
    </w:p>
    <w:p w14:paraId="034EF0EB" w14:textId="77777777" w:rsidR="00CF6265" w:rsidRPr="005E758A" w:rsidRDefault="00CF6265" w:rsidP="00F02A5C">
      <w:pPr>
        <w:pStyle w:val="a0"/>
        <w:numPr>
          <w:ilvl w:val="0"/>
          <w:numId w:val="187"/>
        </w:numPr>
        <w:snapToGrid w:val="0"/>
        <w:spacing w:before="100" w:beforeAutospacing="1" w:after="100" w:afterAutospacing="1"/>
        <w:ind w:leftChars="0" w:left="1049" w:right="567" w:hanging="482"/>
        <w:jc w:val="both"/>
        <w:rPr>
          <w:rFonts w:ascii="Times New Roman" w:eastAsia="標楷體" w:hAnsi="Times New Roman"/>
          <w:sz w:val="28"/>
        </w:rPr>
      </w:pPr>
      <w:r w:rsidRPr="005E758A">
        <w:rPr>
          <w:rFonts w:ascii="Times New Roman" w:eastAsia="標楷體" w:hAnsi="Times New Roman"/>
          <w:sz w:val="28"/>
        </w:rPr>
        <w:t>以方便獲取和針對適當年齡的方式廣泛傳播關於藥物濫用危害之基於科學證據的資訊，著重指出藥物濫用對公眾健康帶來的科學上已知的有害影響。</w:t>
      </w:r>
    </w:p>
    <w:p w14:paraId="067D28B6" w14:textId="77777777" w:rsidR="00CF6265" w:rsidRPr="005E758A" w:rsidRDefault="00CF6265" w:rsidP="00CF6265">
      <w:pPr>
        <w:snapToGrid w:val="0"/>
        <w:spacing w:before="100" w:beforeAutospacing="1" w:after="100" w:afterAutospacing="1"/>
        <w:ind w:firstLineChars="200" w:firstLine="560"/>
        <w:jc w:val="both"/>
        <w:rPr>
          <w:sz w:val="28"/>
        </w:rPr>
      </w:pPr>
      <w:r w:rsidRPr="005E758A">
        <w:rPr>
          <w:sz w:val="28"/>
        </w:rPr>
        <w:t>聯合國麻醉藥品委員會並於隔年延續其對於兒童保障的關注，通過了</w:t>
      </w:r>
      <w:r w:rsidRPr="005E758A">
        <w:rPr>
          <w:sz w:val="28"/>
        </w:rPr>
        <w:t>58/3</w:t>
      </w:r>
      <w:r w:rsidRPr="005E758A">
        <w:rPr>
          <w:sz w:val="28"/>
        </w:rPr>
        <w:t>號決議，主題為：促進對兒童和青年人的保護，特別是針對經由網路非法買賣受國際或國家管制的物質和新精神活性物質問題</w:t>
      </w:r>
      <w:r w:rsidRPr="005E758A">
        <w:rPr>
          <w:sz w:val="28"/>
        </w:rPr>
        <w:t>(Promoting the Protection of Children and Young People, with Particular Reference to the Illicit Sale and Purchase of Internationally or Nationally Controlled Substances and of New Psychoactive Substances via the Internet)</w:t>
      </w:r>
      <w:r w:rsidRPr="005E758A">
        <w:rPr>
          <w:sz w:val="28"/>
        </w:rPr>
        <w:t>，此項決議前言亦引用了兒童權利公約第</w:t>
      </w:r>
      <w:r w:rsidRPr="005E758A">
        <w:rPr>
          <w:sz w:val="28"/>
        </w:rPr>
        <w:t>33</w:t>
      </w:r>
      <w:r w:rsidRPr="005E758A">
        <w:rPr>
          <w:sz w:val="28"/>
        </w:rPr>
        <w:t>條之規定，並於決議內文鼓勵會員國採取之措施包括：</w:t>
      </w:r>
    </w:p>
    <w:p w14:paraId="0A8F9096" w14:textId="77777777" w:rsidR="00CF6265" w:rsidRPr="005E758A" w:rsidRDefault="00CF6265" w:rsidP="00F02A5C">
      <w:pPr>
        <w:pStyle w:val="a0"/>
        <w:numPr>
          <w:ilvl w:val="0"/>
          <w:numId w:val="187"/>
        </w:numPr>
        <w:snapToGrid w:val="0"/>
        <w:spacing w:before="100" w:beforeAutospacing="1" w:after="100" w:afterAutospacing="1"/>
        <w:ind w:leftChars="0" w:left="1049" w:right="567" w:hanging="482"/>
        <w:jc w:val="both"/>
        <w:rPr>
          <w:rFonts w:ascii="Times New Roman" w:eastAsia="標楷體" w:hAnsi="Times New Roman"/>
          <w:sz w:val="28"/>
        </w:rPr>
      </w:pPr>
      <w:r w:rsidRPr="005E758A">
        <w:rPr>
          <w:rFonts w:ascii="Times New Roman" w:eastAsia="標楷體" w:hAnsi="Times New Roman"/>
          <w:sz w:val="28"/>
        </w:rPr>
        <w:t>根據本國立法，制定並執行預防性的策略、方案和措施，以家庭、學校和其他相關社交場所為重點，目的是保護兒童和青年人避免經由網路（包括經由社群媒體和其他社群網路）非法買賣受國際或國家管制的物質和新精神活性物質可能帶來的風險；</w:t>
      </w:r>
    </w:p>
    <w:p w14:paraId="40AA7305" w14:textId="77777777" w:rsidR="00CF6265" w:rsidRPr="005E758A" w:rsidRDefault="00CF6265" w:rsidP="00F02A5C">
      <w:pPr>
        <w:pStyle w:val="a0"/>
        <w:numPr>
          <w:ilvl w:val="0"/>
          <w:numId w:val="187"/>
        </w:numPr>
        <w:snapToGrid w:val="0"/>
        <w:spacing w:before="100" w:beforeAutospacing="1" w:after="100" w:afterAutospacing="1"/>
        <w:ind w:leftChars="0" w:left="1049" w:right="567" w:hanging="482"/>
        <w:jc w:val="both"/>
        <w:rPr>
          <w:rFonts w:ascii="Times New Roman" w:eastAsia="標楷體" w:hAnsi="Times New Roman"/>
          <w:sz w:val="28"/>
        </w:rPr>
      </w:pPr>
      <w:r w:rsidRPr="005E758A">
        <w:rPr>
          <w:rFonts w:ascii="Times New Roman" w:eastAsia="標楷體" w:hAnsi="Times New Roman"/>
          <w:sz w:val="28"/>
        </w:rPr>
        <w:t>考慮到上述潛在風險對兒童和青年人的健康和福祉造成的嚴重後果，採取措施，在家庭、學校和其他社交場所宣傳這些風險；</w:t>
      </w:r>
    </w:p>
    <w:p w14:paraId="660B5BA9" w14:textId="77777777" w:rsidR="00CF6265" w:rsidRPr="005E758A" w:rsidRDefault="00CF6265" w:rsidP="00F02A5C">
      <w:pPr>
        <w:pStyle w:val="a0"/>
        <w:numPr>
          <w:ilvl w:val="0"/>
          <w:numId w:val="187"/>
        </w:numPr>
        <w:snapToGrid w:val="0"/>
        <w:spacing w:before="100" w:beforeAutospacing="1" w:after="100" w:afterAutospacing="1"/>
        <w:ind w:leftChars="0" w:left="1049" w:right="567" w:hanging="482"/>
        <w:jc w:val="both"/>
        <w:rPr>
          <w:rFonts w:ascii="Times New Roman" w:eastAsia="標楷體" w:hAnsi="Times New Roman"/>
          <w:sz w:val="28"/>
        </w:rPr>
      </w:pPr>
      <w:r w:rsidRPr="005E758A">
        <w:rPr>
          <w:rFonts w:ascii="Times New Roman" w:eastAsia="標楷體" w:hAnsi="Times New Roman"/>
          <w:sz w:val="28"/>
        </w:rPr>
        <w:t>制定預防方案，其中納入網路的安全使用和藥物濫用的風險及後果（包括對健康和福祉造成的風險）等主題，並協助採用最適合目標群眾的手段傳播這些資訊。</w:t>
      </w:r>
    </w:p>
    <w:p w14:paraId="5CC85B54" w14:textId="77777777" w:rsidR="00CF6265" w:rsidRPr="005E758A" w:rsidRDefault="00CF6265" w:rsidP="00CF6265">
      <w:pPr>
        <w:pStyle w:val="2"/>
      </w:pPr>
      <w:r w:rsidRPr="005E758A">
        <w:t>綜合分析</w:t>
      </w:r>
    </w:p>
    <w:p w14:paraId="0D6485CD" w14:textId="77777777" w:rsidR="00CF6265" w:rsidRPr="005E758A" w:rsidRDefault="00CF6265" w:rsidP="00CF6265">
      <w:pPr>
        <w:snapToGrid w:val="0"/>
        <w:spacing w:before="100" w:beforeAutospacing="1" w:after="100" w:afterAutospacing="1"/>
        <w:ind w:firstLineChars="200" w:firstLine="560"/>
        <w:jc w:val="both"/>
        <w:rPr>
          <w:sz w:val="28"/>
          <w:szCs w:val="28"/>
        </w:rPr>
      </w:pPr>
      <w:r w:rsidRPr="005E758A">
        <w:rPr>
          <w:sz w:val="28"/>
        </w:rPr>
        <w:t>如前所述，在涉及兒童的狀況下，本條文中提及之</w:t>
      </w:r>
      <w:r w:rsidRPr="005E758A">
        <w:rPr>
          <w:sz w:val="28"/>
          <w:szCs w:val="28"/>
        </w:rPr>
        <w:t>「有關國際條約」解釋上需要考量兒童權利公約之規範，換而言之，各相關條約規定的詮釋不得違反公約，針對這些條約，有論者提出以下觀察：</w:t>
      </w:r>
    </w:p>
    <w:p w14:paraId="646DCC9B" w14:textId="77777777" w:rsidR="00CF6265" w:rsidRPr="005E758A" w:rsidRDefault="00CF6265" w:rsidP="00F02A5C">
      <w:pPr>
        <w:pStyle w:val="a0"/>
        <w:numPr>
          <w:ilvl w:val="0"/>
          <w:numId w:val="186"/>
        </w:numPr>
        <w:snapToGrid w:val="0"/>
        <w:spacing w:before="100" w:beforeAutospacing="1" w:after="100" w:afterAutospacing="1"/>
        <w:ind w:leftChars="0" w:right="567"/>
        <w:jc w:val="both"/>
        <w:rPr>
          <w:rFonts w:ascii="Times New Roman" w:eastAsia="標楷體" w:hAnsi="Times New Roman"/>
          <w:sz w:val="28"/>
        </w:rPr>
      </w:pPr>
      <w:r w:rsidRPr="005E758A">
        <w:rPr>
          <w:rFonts w:ascii="Times New Roman" w:eastAsia="標楷體" w:hAnsi="Times New Roman"/>
          <w:sz w:val="28"/>
        </w:rPr>
        <w:t>許多現行藥物相關條約規範用語較模糊，使得國家有</w:t>
      </w:r>
      <w:proofErr w:type="gramStart"/>
      <w:r w:rsidRPr="005E758A">
        <w:rPr>
          <w:rFonts w:ascii="Times New Roman" w:eastAsia="標楷體" w:hAnsi="Times New Roman"/>
          <w:sz w:val="28"/>
        </w:rPr>
        <w:t>許多裁</w:t>
      </w:r>
      <w:proofErr w:type="gramEnd"/>
      <w:r w:rsidRPr="005E758A">
        <w:rPr>
          <w:rFonts w:ascii="Times New Roman" w:eastAsia="標楷體" w:hAnsi="Times New Roman"/>
          <w:sz w:val="28"/>
        </w:rPr>
        <w:t>量空間；</w:t>
      </w:r>
    </w:p>
    <w:p w14:paraId="634F4CEB" w14:textId="77777777" w:rsidR="00CF6265" w:rsidRPr="005E758A" w:rsidRDefault="00CF6265" w:rsidP="00F02A5C">
      <w:pPr>
        <w:pStyle w:val="a0"/>
        <w:numPr>
          <w:ilvl w:val="0"/>
          <w:numId w:val="186"/>
        </w:numPr>
        <w:snapToGrid w:val="0"/>
        <w:spacing w:before="100" w:beforeAutospacing="1" w:after="100" w:afterAutospacing="1"/>
        <w:ind w:leftChars="0" w:right="567"/>
        <w:jc w:val="both"/>
        <w:rPr>
          <w:rFonts w:ascii="Times New Roman" w:eastAsia="標楷體" w:hAnsi="Times New Roman"/>
          <w:sz w:val="28"/>
        </w:rPr>
      </w:pPr>
      <w:r w:rsidRPr="005E758A">
        <w:rPr>
          <w:rFonts w:ascii="Times New Roman" w:eastAsia="標楷體" w:hAnsi="Times New Roman"/>
          <w:sz w:val="28"/>
        </w:rPr>
        <w:t>許多相關條約允許國家為管制藥物採取嚴厲措施，而這</w:t>
      </w:r>
      <w:r w:rsidRPr="005E758A">
        <w:rPr>
          <w:rFonts w:ascii="Times New Roman" w:eastAsia="標楷體" w:hAnsi="Times New Roman"/>
          <w:sz w:val="28"/>
        </w:rPr>
        <w:lastRenderedPageBreak/>
        <w:t>些措施需要人權規範的拘束；</w:t>
      </w:r>
    </w:p>
    <w:p w14:paraId="7446C1D0" w14:textId="77777777" w:rsidR="00CF6265" w:rsidRPr="005E758A" w:rsidRDefault="00CF6265" w:rsidP="00F02A5C">
      <w:pPr>
        <w:pStyle w:val="a0"/>
        <w:numPr>
          <w:ilvl w:val="0"/>
          <w:numId w:val="186"/>
        </w:numPr>
        <w:snapToGrid w:val="0"/>
        <w:spacing w:before="100" w:beforeAutospacing="1" w:after="100" w:afterAutospacing="1"/>
        <w:ind w:leftChars="0" w:right="567"/>
        <w:jc w:val="both"/>
        <w:rPr>
          <w:rFonts w:ascii="Times New Roman" w:eastAsia="標楷體" w:hAnsi="Times New Roman"/>
          <w:sz w:val="28"/>
        </w:rPr>
      </w:pPr>
      <w:r w:rsidRPr="005E758A">
        <w:rPr>
          <w:rFonts w:ascii="Times New Roman" w:eastAsia="標楷體" w:hAnsi="Times New Roman"/>
          <w:sz w:val="28"/>
        </w:rPr>
        <w:t>許多相關條約締約國程中並沒有特別考慮兒童，使得規定有所漏洞，需要透過以兒童權利出發的條約解釋來填補此類漏洞。</w:t>
      </w:r>
      <w:r w:rsidRPr="005E758A">
        <w:rPr>
          <w:rStyle w:val="af3"/>
          <w:rFonts w:ascii="Times New Roman" w:hAnsi="Times New Roman"/>
          <w:sz w:val="28"/>
        </w:rPr>
        <w:endnoteReference w:id="462"/>
      </w:r>
    </w:p>
    <w:p w14:paraId="59863EB9" w14:textId="77777777" w:rsidR="00CF6265" w:rsidRPr="005E758A" w:rsidRDefault="00CF6265" w:rsidP="00CF6265">
      <w:pPr>
        <w:snapToGrid w:val="0"/>
        <w:spacing w:before="100" w:beforeAutospacing="1" w:after="100" w:afterAutospacing="1"/>
        <w:jc w:val="both"/>
        <w:rPr>
          <w:sz w:val="28"/>
        </w:rPr>
      </w:pPr>
      <w:r w:rsidRPr="005E758A">
        <w:rPr>
          <w:sz w:val="28"/>
          <w:szCs w:val="28"/>
        </w:rPr>
        <w:t>有鑒於以上原因，公約在與兒童相關之藥物問題中扮演的角色更需受到重視。</w:t>
      </w:r>
      <w:r w:rsidRPr="005E758A">
        <w:rPr>
          <w:sz w:val="28"/>
          <w:szCs w:val="28"/>
        </w:rPr>
        <w:t>21</w:t>
      </w:r>
      <w:r w:rsidRPr="005E758A">
        <w:rPr>
          <w:sz w:val="28"/>
          <w:szCs w:val="28"/>
        </w:rPr>
        <w:t>世紀的今天，全球普遍面臨藥物及菸草濫用問題，如何遏止並防制兒童涉入其中，為國際社會必須正視的嚴肅議題。除了強化國際合作外，有關兒童權利公約與各種藥物公約之間的關係，亦應有所</w:t>
      </w:r>
      <w:proofErr w:type="gramStart"/>
      <w:r w:rsidRPr="005E758A">
        <w:rPr>
          <w:sz w:val="28"/>
          <w:szCs w:val="28"/>
        </w:rPr>
        <w:t>釐</w:t>
      </w:r>
      <w:proofErr w:type="gramEnd"/>
      <w:r w:rsidRPr="005E758A">
        <w:rPr>
          <w:sz w:val="28"/>
          <w:szCs w:val="28"/>
        </w:rPr>
        <w:t>清。</w:t>
      </w:r>
    </w:p>
    <w:p w14:paraId="0E212A48" w14:textId="77777777" w:rsidR="00CF6265" w:rsidRPr="005E758A" w:rsidRDefault="00CF6265" w:rsidP="00CF6265">
      <w:pPr>
        <w:pStyle w:val="2"/>
      </w:pPr>
      <w:r w:rsidRPr="005E758A">
        <w:t>參考資料</w:t>
      </w:r>
    </w:p>
    <w:p w14:paraId="295FD54A" w14:textId="77777777" w:rsidR="00CF6265" w:rsidRPr="005E758A" w:rsidRDefault="00CF6265" w:rsidP="00F02A5C">
      <w:pPr>
        <w:pStyle w:val="a0"/>
        <w:numPr>
          <w:ilvl w:val="0"/>
          <w:numId w:val="184"/>
        </w:numPr>
        <w:snapToGrid w:val="0"/>
        <w:spacing w:before="100" w:beforeAutospacing="1" w:after="100" w:afterAutospacing="1"/>
        <w:ind w:leftChars="0"/>
        <w:jc w:val="both"/>
        <w:rPr>
          <w:rFonts w:ascii="Times New Roman" w:eastAsia="標楷體" w:hAnsi="Times New Roman"/>
          <w:sz w:val="28"/>
          <w:szCs w:val="28"/>
        </w:rPr>
      </w:pPr>
      <w:r w:rsidRPr="005E758A">
        <w:rPr>
          <w:rFonts w:ascii="Times New Roman" w:eastAsia="標楷體" w:hAnsi="Times New Roman"/>
          <w:sz w:val="28"/>
          <w:szCs w:val="28"/>
        </w:rPr>
        <w:t>兒童權利委員會，第</w:t>
      </w:r>
      <w:r w:rsidRPr="005E758A">
        <w:rPr>
          <w:rFonts w:ascii="Times New Roman" w:eastAsia="標楷體" w:hAnsi="Times New Roman"/>
          <w:sz w:val="28"/>
          <w:szCs w:val="28"/>
        </w:rPr>
        <w:t>13</w:t>
      </w:r>
      <w:r w:rsidRPr="005E758A">
        <w:rPr>
          <w:rFonts w:ascii="Times New Roman" w:eastAsia="標楷體" w:hAnsi="Times New Roman"/>
          <w:sz w:val="28"/>
          <w:szCs w:val="28"/>
        </w:rPr>
        <w:t>號一般性意見「兒童免遭一切形式暴力侵害的權利」。</w:t>
      </w:r>
      <w:r w:rsidRPr="005E758A">
        <w:rPr>
          <w:rFonts w:ascii="Times New Roman" w:eastAsia="標楷體" w:hAnsi="Times New Roman"/>
          <w:sz w:val="28"/>
          <w:szCs w:val="28"/>
        </w:rPr>
        <w:t>(Committee on the Rights of the Child, General comment No. 13: The Right of the Child to Freedom from All Forms of Violence, U.N. Doc. CRC/C/GC/13 (Apr. 18, 2011).)</w:t>
      </w:r>
    </w:p>
    <w:p w14:paraId="5C863626" w14:textId="77777777" w:rsidR="00CF6265" w:rsidRPr="005E758A" w:rsidRDefault="00CF6265" w:rsidP="00F02A5C">
      <w:pPr>
        <w:pStyle w:val="a0"/>
        <w:numPr>
          <w:ilvl w:val="0"/>
          <w:numId w:val="184"/>
        </w:numPr>
        <w:snapToGrid w:val="0"/>
        <w:spacing w:before="100" w:beforeAutospacing="1" w:after="100" w:afterAutospacing="1"/>
        <w:ind w:leftChars="0"/>
        <w:jc w:val="both"/>
        <w:rPr>
          <w:rFonts w:ascii="Times New Roman" w:eastAsia="標楷體" w:hAnsi="Times New Roman"/>
          <w:sz w:val="28"/>
          <w:szCs w:val="28"/>
        </w:rPr>
      </w:pPr>
      <w:r w:rsidRPr="005E758A">
        <w:rPr>
          <w:rFonts w:ascii="Times New Roman" w:eastAsia="標楷體" w:hAnsi="Times New Roman"/>
          <w:sz w:val="28"/>
          <w:szCs w:val="28"/>
        </w:rPr>
        <w:t>兒童權利委員會，第</w:t>
      </w:r>
      <w:r w:rsidRPr="005E758A">
        <w:rPr>
          <w:rFonts w:ascii="Times New Roman" w:eastAsia="標楷體" w:hAnsi="Times New Roman"/>
          <w:sz w:val="28"/>
          <w:szCs w:val="28"/>
        </w:rPr>
        <w:t>15</w:t>
      </w:r>
      <w:r w:rsidRPr="005E758A">
        <w:rPr>
          <w:rFonts w:ascii="Times New Roman" w:eastAsia="標楷體" w:hAnsi="Times New Roman"/>
          <w:sz w:val="28"/>
          <w:szCs w:val="28"/>
        </w:rPr>
        <w:t>號一般性意見「關於兒童享有可達到的最高標準健康的權利問題」。</w:t>
      </w:r>
      <w:r w:rsidRPr="005E758A">
        <w:rPr>
          <w:rFonts w:ascii="Times New Roman" w:eastAsia="標楷體" w:hAnsi="Times New Roman"/>
          <w:sz w:val="28"/>
          <w:szCs w:val="28"/>
        </w:rPr>
        <w:t>(</w:t>
      </w:r>
      <w:r w:rsidRPr="005E758A">
        <w:rPr>
          <w:rFonts w:ascii="Times New Roman" w:hAnsi="Times New Roman"/>
          <w:sz w:val="28"/>
          <w:szCs w:val="28"/>
        </w:rPr>
        <w:t>Committee on the Rights of the Child, General Comment No. 15 (2013) on the Right of the Child to the Enjoyment of the Highest Attainable Standard of Health (Art. 24)</w:t>
      </w:r>
      <w:r w:rsidRPr="005E758A">
        <w:rPr>
          <w:rFonts w:ascii="Times New Roman" w:eastAsia="標楷體" w:hAnsi="Times New Roman"/>
          <w:sz w:val="28"/>
          <w:szCs w:val="28"/>
        </w:rPr>
        <w:t xml:space="preserve">, U.N. Doc. </w:t>
      </w:r>
      <w:r w:rsidRPr="005E758A">
        <w:rPr>
          <w:rFonts w:ascii="Times New Roman" w:hAnsi="Times New Roman"/>
          <w:sz w:val="28"/>
          <w:szCs w:val="28"/>
        </w:rPr>
        <w:t>CRC/C/GC/15 (Apr. 17, 2013).</w:t>
      </w:r>
      <w:r w:rsidRPr="005E758A">
        <w:rPr>
          <w:rFonts w:ascii="Times New Roman" w:eastAsia="標楷體" w:hAnsi="Times New Roman"/>
          <w:sz w:val="28"/>
          <w:szCs w:val="28"/>
        </w:rPr>
        <w:t>)</w:t>
      </w:r>
    </w:p>
    <w:p w14:paraId="23D82779" w14:textId="77777777" w:rsidR="00CF6265" w:rsidRPr="005E758A" w:rsidRDefault="00CF6265" w:rsidP="00F02A5C">
      <w:pPr>
        <w:pStyle w:val="a0"/>
        <w:numPr>
          <w:ilvl w:val="0"/>
          <w:numId w:val="184"/>
        </w:numPr>
        <w:snapToGrid w:val="0"/>
        <w:spacing w:before="100" w:beforeAutospacing="1" w:after="100" w:afterAutospacing="1"/>
        <w:ind w:leftChars="0"/>
        <w:jc w:val="both"/>
        <w:rPr>
          <w:rFonts w:ascii="Times New Roman" w:eastAsia="標楷體" w:hAnsi="Times New Roman"/>
          <w:sz w:val="28"/>
          <w:szCs w:val="28"/>
        </w:rPr>
      </w:pPr>
      <w:r w:rsidRPr="005E758A">
        <w:rPr>
          <w:rFonts w:ascii="Times New Roman" w:eastAsia="標楷體" w:hAnsi="Times New Roman"/>
          <w:sz w:val="28"/>
          <w:szCs w:val="28"/>
        </w:rPr>
        <w:t>兒童權利委員會，關於締約國根據兒童權利公約第</w:t>
      </w:r>
      <w:r w:rsidRPr="005E758A">
        <w:rPr>
          <w:rFonts w:ascii="Times New Roman" w:eastAsia="標楷體" w:hAnsi="Times New Roman"/>
          <w:sz w:val="28"/>
          <w:szCs w:val="28"/>
        </w:rPr>
        <w:t>44</w:t>
      </w:r>
      <w:r w:rsidRPr="005E758A">
        <w:rPr>
          <w:rFonts w:ascii="Times New Roman" w:eastAsia="標楷體" w:hAnsi="Times New Roman"/>
          <w:sz w:val="28"/>
          <w:szCs w:val="28"/>
        </w:rPr>
        <w:t>條第</w:t>
      </w:r>
      <w:r w:rsidRPr="005E758A">
        <w:rPr>
          <w:rFonts w:ascii="Times New Roman" w:eastAsia="標楷體" w:hAnsi="Times New Roman"/>
          <w:sz w:val="28"/>
          <w:szCs w:val="28"/>
        </w:rPr>
        <w:t>1</w:t>
      </w:r>
      <w:r w:rsidRPr="005E758A">
        <w:rPr>
          <w:rFonts w:ascii="Times New Roman" w:eastAsia="標楷體" w:hAnsi="Times New Roman"/>
          <w:sz w:val="28"/>
          <w:szCs w:val="28"/>
        </w:rPr>
        <w:t>款</w:t>
      </w:r>
      <w:r w:rsidRPr="005E758A">
        <w:rPr>
          <w:rFonts w:ascii="Times New Roman" w:eastAsia="標楷體" w:hAnsi="Times New Roman"/>
          <w:sz w:val="28"/>
          <w:szCs w:val="28"/>
        </w:rPr>
        <w:t>(b)</w:t>
      </w:r>
      <w:r w:rsidRPr="005E758A">
        <w:rPr>
          <w:rFonts w:ascii="Times New Roman" w:eastAsia="標楷體" w:hAnsi="Times New Roman"/>
          <w:sz w:val="28"/>
          <w:szCs w:val="28"/>
        </w:rPr>
        <w:t>項提交的定期報告的形式和內容的條約專要準則。</w:t>
      </w:r>
      <w:r w:rsidRPr="005E758A">
        <w:rPr>
          <w:rFonts w:ascii="Times New Roman" w:eastAsia="標楷體" w:hAnsi="Times New Roman"/>
          <w:sz w:val="28"/>
          <w:szCs w:val="28"/>
        </w:rPr>
        <w:t>Committee on the Rights of the Child, Treaty-Specific Guidelines Regarding the Form and Content of Periodic Reports to Be Submitted by States Parties under Article 44, Paragraph 1 (b), of the Convention on the Rights of the Child, U.N. Doc. CRC/C/58/Rev.3 (Mar. 3, 2015).</w:t>
      </w:r>
    </w:p>
    <w:p w14:paraId="366F145D" w14:textId="77777777" w:rsidR="00CF6265" w:rsidRPr="005E758A" w:rsidRDefault="00CF6265" w:rsidP="00F02A5C">
      <w:pPr>
        <w:pStyle w:val="a0"/>
        <w:numPr>
          <w:ilvl w:val="0"/>
          <w:numId w:val="184"/>
        </w:numPr>
        <w:snapToGrid w:val="0"/>
        <w:spacing w:before="100" w:beforeAutospacing="1" w:after="100" w:afterAutospacing="1"/>
        <w:ind w:leftChars="0"/>
        <w:jc w:val="both"/>
        <w:rPr>
          <w:rFonts w:ascii="Times New Roman" w:eastAsia="標楷體" w:hAnsi="Times New Roman"/>
          <w:sz w:val="28"/>
          <w:szCs w:val="28"/>
        </w:rPr>
      </w:pPr>
      <w:r w:rsidRPr="005E758A">
        <w:rPr>
          <w:rFonts w:ascii="Times New Roman" w:hAnsi="Times New Roman"/>
          <w:smallCaps/>
          <w:sz w:val="28"/>
          <w:szCs w:val="28"/>
        </w:rPr>
        <w:t xml:space="preserve">Damon Barrett &amp; Philip E. </w:t>
      </w:r>
      <w:proofErr w:type="spellStart"/>
      <w:r w:rsidRPr="005E758A">
        <w:rPr>
          <w:rFonts w:ascii="Times New Roman" w:hAnsi="Times New Roman"/>
          <w:smallCaps/>
          <w:sz w:val="28"/>
          <w:szCs w:val="28"/>
        </w:rPr>
        <w:t>Veerman</w:t>
      </w:r>
      <w:proofErr w:type="spellEnd"/>
      <w:r w:rsidRPr="005E758A">
        <w:rPr>
          <w:rFonts w:ascii="Times New Roman" w:hAnsi="Times New Roman"/>
          <w:smallCaps/>
          <w:sz w:val="28"/>
          <w:szCs w:val="28"/>
        </w:rPr>
        <w:t>, A Commentary on the United Nations Convention on the Rights of the Child: Article 33. Protection from Narcotic Drugs and Psychotropic Substances</w:t>
      </w:r>
      <w:r w:rsidRPr="005E758A">
        <w:rPr>
          <w:rFonts w:ascii="Times New Roman" w:hAnsi="Times New Roman"/>
          <w:sz w:val="28"/>
          <w:szCs w:val="28"/>
        </w:rPr>
        <w:t xml:space="preserve"> (André Alen et al. eds., 2012).</w:t>
      </w:r>
    </w:p>
    <w:p w14:paraId="5E6D1198" w14:textId="77777777" w:rsidR="00CF6265" w:rsidRPr="005E758A" w:rsidRDefault="00CF6265" w:rsidP="00F02A5C">
      <w:pPr>
        <w:pStyle w:val="a0"/>
        <w:numPr>
          <w:ilvl w:val="0"/>
          <w:numId w:val="184"/>
        </w:numPr>
        <w:snapToGrid w:val="0"/>
        <w:spacing w:before="100" w:beforeAutospacing="1" w:after="100" w:afterAutospacing="1"/>
        <w:ind w:leftChars="0"/>
        <w:jc w:val="both"/>
        <w:rPr>
          <w:rFonts w:ascii="Times New Roman" w:eastAsia="標楷體" w:hAnsi="Times New Roman"/>
          <w:sz w:val="28"/>
          <w:szCs w:val="28"/>
        </w:rPr>
      </w:pPr>
      <w:r w:rsidRPr="005E758A">
        <w:rPr>
          <w:rFonts w:ascii="Times New Roman" w:hAnsi="Times New Roman"/>
          <w:smallCaps/>
          <w:sz w:val="28"/>
          <w:szCs w:val="28"/>
        </w:rPr>
        <w:t>Sharon Detrick, A Commentary on the United Nations Convention on the Rights of the Child</w:t>
      </w:r>
      <w:r w:rsidRPr="005E758A">
        <w:rPr>
          <w:rFonts w:ascii="Times New Roman" w:hAnsi="Times New Roman"/>
          <w:sz w:val="28"/>
          <w:szCs w:val="28"/>
        </w:rPr>
        <w:t xml:space="preserve"> (1999).</w:t>
      </w:r>
    </w:p>
    <w:p w14:paraId="1948DDF2" w14:textId="77777777" w:rsidR="00CF6265" w:rsidRPr="005E758A" w:rsidRDefault="00CF6265" w:rsidP="00F02A5C">
      <w:pPr>
        <w:pStyle w:val="a0"/>
        <w:numPr>
          <w:ilvl w:val="0"/>
          <w:numId w:val="184"/>
        </w:numPr>
        <w:snapToGrid w:val="0"/>
        <w:spacing w:before="100" w:beforeAutospacing="1" w:after="100" w:afterAutospacing="1"/>
        <w:ind w:leftChars="0"/>
        <w:jc w:val="both"/>
        <w:rPr>
          <w:rFonts w:ascii="Times New Roman" w:eastAsia="標楷體" w:hAnsi="Times New Roman"/>
          <w:sz w:val="28"/>
          <w:szCs w:val="28"/>
        </w:rPr>
      </w:pPr>
      <w:r w:rsidRPr="005E758A">
        <w:rPr>
          <w:rFonts w:ascii="Times New Roman" w:hAnsi="Times New Roman"/>
          <w:smallCaps/>
          <w:sz w:val="28"/>
          <w:szCs w:val="28"/>
        </w:rPr>
        <w:t>Office of the United Nations High Commissioner for Human Rights, Legislative History of the Convention on the Rights of the Child</w:t>
      </w:r>
      <w:r w:rsidRPr="005E758A">
        <w:rPr>
          <w:rFonts w:ascii="Times New Roman" w:hAnsi="Times New Roman"/>
          <w:sz w:val="28"/>
          <w:szCs w:val="28"/>
        </w:rPr>
        <w:t xml:space="preserve"> (2007).</w:t>
      </w:r>
    </w:p>
    <w:p w14:paraId="1B774BB5" w14:textId="77777777" w:rsidR="00CF6265" w:rsidRPr="005E758A" w:rsidRDefault="00CF6265" w:rsidP="00CF6265">
      <w:pPr>
        <w:snapToGrid w:val="0"/>
        <w:spacing w:before="100" w:beforeAutospacing="1" w:after="100" w:afterAutospacing="1"/>
        <w:jc w:val="both"/>
        <w:rPr>
          <w:sz w:val="28"/>
          <w:szCs w:val="28"/>
        </w:rPr>
      </w:pPr>
    </w:p>
    <w:p w14:paraId="4AA01A79" w14:textId="77777777" w:rsidR="00CF6265" w:rsidRPr="005E758A" w:rsidRDefault="00CF6265" w:rsidP="00CF6265">
      <w:pPr>
        <w:snapToGrid w:val="0"/>
        <w:spacing w:before="100" w:beforeAutospacing="1" w:after="100" w:afterAutospacing="1"/>
        <w:jc w:val="both"/>
        <w:rPr>
          <w:sz w:val="28"/>
          <w:szCs w:val="28"/>
        </w:rPr>
      </w:pPr>
      <w:r w:rsidRPr="005E758A">
        <w:rPr>
          <w:sz w:val="28"/>
          <w:szCs w:val="28"/>
        </w:rPr>
        <w:t>關鍵詞：麻醉藥品、精神藥物、藥物使用、藥物製造、藥物販運</w:t>
      </w:r>
    </w:p>
    <w:p w14:paraId="7B2464E0" w14:textId="77777777" w:rsidR="00CF6265" w:rsidRPr="005E758A" w:rsidRDefault="00CF6265" w:rsidP="00CF6265">
      <w:pPr>
        <w:pStyle w:val="1"/>
        <w:sectPr w:rsidR="00CF6265" w:rsidRPr="005E758A" w:rsidSect="00135FC9">
          <w:footerReference w:type="default" r:id="rId19"/>
          <w:footnotePr>
            <w:numRestart w:val="eachSect"/>
          </w:footnotePr>
          <w:endnotePr>
            <w:numFmt w:val="decimal"/>
            <w:numRestart w:val="eachSect"/>
          </w:endnotePr>
          <w:pgSz w:w="11906" w:h="16838"/>
          <w:pgMar w:top="1440" w:right="1797" w:bottom="1440" w:left="1797" w:header="851" w:footer="992" w:gutter="0"/>
          <w:cols w:space="425"/>
          <w:docGrid w:linePitch="360"/>
        </w:sectPr>
      </w:pPr>
    </w:p>
    <w:p w14:paraId="3E3EEC2C" w14:textId="77777777" w:rsidR="00170406" w:rsidRDefault="00170406" w:rsidP="00170406">
      <w:pPr>
        <w:pStyle w:val="1"/>
        <w:rPr>
          <w:sz w:val="28"/>
        </w:rPr>
      </w:pPr>
      <w:bookmarkStart w:id="98" w:name="_Toc431072750"/>
      <w:r w:rsidRPr="005E758A">
        <w:lastRenderedPageBreak/>
        <w:t>第</w:t>
      </w:r>
      <w:r w:rsidRPr="005E758A">
        <w:t>34</w:t>
      </w:r>
      <w:r w:rsidRPr="005E758A">
        <w:t>條</w:t>
      </w:r>
      <w:r>
        <w:rPr>
          <w:rFonts w:hint="eastAsia"/>
        </w:rPr>
        <w:t xml:space="preserve">　</w:t>
      </w:r>
      <w:r w:rsidRPr="00170406">
        <w:rPr>
          <w:rFonts w:hint="eastAsia"/>
        </w:rPr>
        <w:t>性剝削</w:t>
      </w:r>
      <w:bookmarkEnd w:id="98"/>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20"/>
      </w:tblGrid>
      <w:tr w:rsidR="00170406" w:rsidRPr="005E758A" w14:paraId="368F0628" w14:textId="77777777" w:rsidTr="002B035C">
        <w:trPr>
          <w:jc w:val="center"/>
        </w:trPr>
        <w:tc>
          <w:tcPr>
            <w:tcW w:w="8220" w:type="dxa"/>
            <w:shd w:val="clear" w:color="auto" w:fill="auto"/>
          </w:tcPr>
          <w:p w14:paraId="0EF72523" w14:textId="77777777" w:rsidR="00170406" w:rsidRPr="005E758A" w:rsidRDefault="00170406" w:rsidP="002B035C">
            <w:pPr>
              <w:spacing w:line="0" w:lineRule="atLeast"/>
              <w:jc w:val="both"/>
              <w:rPr>
                <w:sz w:val="28"/>
                <w:szCs w:val="28"/>
              </w:rPr>
            </w:pPr>
            <w:r w:rsidRPr="005E758A">
              <w:rPr>
                <w:sz w:val="28"/>
                <w:szCs w:val="28"/>
              </w:rPr>
              <w:t>締約國承諾保護兒童免於所有形式之性剝削及性虐待。為此目的，締約國應採取包括國內、雙邊與多邊措施，以防止下列情事發生：</w:t>
            </w:r>
          </w:p>
          <w:p w14:paraId="3A585854" w14:textId="77777777" w:rsidR="00170406" w:rsidRPr="005E758A" w:rsidRDefault="00170406" w:rsidP="002B035C">
            <w:pPr>
              <w:pStyle w:val="a0"/>
              <w:numPr>
                <w:ilvl w:val="1"/>
                <w:numId w:val="27"/>
              </w:numPr>
              <w:spacing w:line="0" w:lineRule="atLeast"/>
              <w:ind w:leftChars="0"/>
              <w:jc w:val="both"/>
              <w:rPr>
                <w:rFonts w:ascii="Times New Roman" w:eastAsia="標楷體" w:hAnsi="Times New Roman"/>
                <w:sz w:val="28"/>
                <w:szCs w:val="28"/>
              </w:rPr>
            </w:pPr>
            <w:r w:rsidRPr="005E758A">
              <w:rPr>
                <w:rFonts w:ascii="Times New Roman" w:eastAsia="標楷體" w:hAnsi="Times New Roman"/>
                <w:sz w:val="28"/>
                <w:szCs w:val="28"/>
              </w:rPr>
              <w:t>引誘或強迫兒童從事非法之性活動；</w:t>
            </w:r>
          </w:p>
          <w:p w14:paraId="6A415339" w14:textId="77777777" w:rsidR="00170406" w:rsidRPr="005E758A" w:rsidRDefault="00170406" w:rsidP="002B035C">
            <w:pPr>
              <w:pStyle w:val="a0"/>
              <w:numPr>
                <w:ilvl w:val="1"/>
                <w:numId w:val="27"/>
              </w:numPr>
              <w:spacing w:line="0" w:lineRule="atLeast"/>
              <w:ind w:leftChars="0"/>
              <w:jc w:val="both"/>
              <w:rPr>
                <w:rFonts w:ascii="Times New Roman" w:eastAsia="標楷體" w:hAnsi="Times New Roman"/>
                <w:sz w:val="28"/>
                <w:szCs w:val="28"/>
              </w:rPr>
            </w:pPr>
            <w:r w:rsidRPr="005E758A">
              <w:rPr>
                <w:rFonts w:ascii="Times New Roman" w:eastAsia="標楷體" w:hAnsi="Times New Roman"/>
                <w:sz w:val="28"/>
                <w:szCs w:val="28"/>
              </w:rPr>
              <w:t>剝削利用兒童從事賣淫或其他非法之性行為；</w:t>
            </w:r>
          </w:p>
          <w:p w14:paraId="6722A133" w14:textId="77777777" w:rsidR="00170406" w:rsidRPr="005E758A" w:rsidRDefault="00170406" w:rsidP="002B035C">
            <w:pPr>
              <w:pStyle w:val="a0"/>
              <w:numPr>
                <w:ilvl w:val="1"/>
                <w:numId w:val="27"/>
              </w:numPr>
              <w:spacing w:line="0" w:lineRule="atLeast"/>
              <w:ind w:leftChars="0"/>
              <w:jc w:val="both"/>
              <w:rPr>
                <w:rFonts w:ascii="Times New Roman" w:eastAsia="標楷體" w:hAnsi="Times New Roman"/>
                <w:sz w:val="28"/>
                <w:szCs w:val="28"/>
              </w:rPr>
            </w:pPr>
            <w:r w:rsidRPr="005E758A">
              <w:rPr>
                <w:rFonts w:ascii="Times New Roman" w:eastAsia="標楷體" w:hAnsi="Times New Roman"/>
                <w:sz w:val="28"/>
                <w:szCs w:val="28"/>
              </w:rPr>
              <w:t>剝削利用兒童從事色情表演或作為色情之題材。</w:t>
            </w:r>
          </w:p>
        </w:tc>
      </w:tr>
    </w:tbl>
    <w:p w14:paraId="27EC0433" w14:textId="77777777" w:rsidR="00170406" w:rsidRPr="00170406" w:rsidRDefault="00170406" w:rsidP="00170406">
      <w:pPr>
        <w:snapToGrid w:val="0"/>
        <w:spacing w:before="100" w:beforeAutospacing="1" w:after="100" w:afterAutospacing="1" w:line="0" w:lineRule="atLeast"/>
        <w:jc w:val="both"/>
        <w:rPr>
          <w:sz w:val="28"/>
        </w:rPr>
      </w:pPr>
    </w:p>
    <w:p w14:paraId="2469DFF0" w14:textId="77777777" w:rsidR="0095798C" w:rsidRPr="005E758A" w:rsidRDefault="0095798C" w:rsidP="007119F4">
      <w:pPr>
        <w:pStyle w:val="2"/>
        <w:numPr>
          <w:ilvl w:val="0"/>
          <w:numId w:val="71"/>
        </w:numPr>
      </w:pPr>
      <w:r w:rsidRPr="005E758A">
        <w:t>規範宗旨</w:t>
      </w:r>
    </w:p>
    <w:p w14:paraId="0CC0B1A3" w14:textId="77777777" w:rsidR="0095798C" w:rsidRPr="005E758A" w:rsidRDefault="0095798C" w:rsidP="0095798C">
      <w:pPr>
        <w:snapToGrid w:val="0"/>
        <w:spacing w:before="100" w:beforeAutospacing="1" w:after="100" w:afterAutospacing="1" w:line="0" w:lineRule="atLeast"/>
        <w:ind w:firstLineChars="200" w:firstLine="560"/>
        <w:jc w:val="both"/>
        <w:rPr>
          <w:sz w:val="28"/>
          <w:szCs w:val="28"/>
        </w:rPr>
      </w:pPr>
      <w:r w:rsidRPr="005E758A">
        <w:rPr>
          <w:sz w:val="28"/>
          <w:szCs w:val="28"/>
        </w:rPr>
        <w:t>本條為關於保護兒童免於性剝削及性虐待的規定。從起草的過程及爾後的發展可以發現，本條的規範重心其實係在性剝削</w:t>
      </w:r>
      <w:r w:rsidRPr="005E758A">
        <w:rPr>
          <w:sz w:val="28"/>
          <w:szCs w:val="28"/>
          <w:vertAlign w:val="superscript"/>
        </w:rPr>
        <w:endnoteReference w:id="463"/>
      </w:r>
      <w:r w:rsidRPr="005E758A">
        <w:rPr>
          <w:sz w:val="28"/>
          <w:szCs w:val="28"/>
        </w:rPr>
        <w:t>。第</w:t>
      </w:r>
      <w:r w:rsidRPr="005E758A">
        <w:rPr>
          <w:sz w:val="28"/>
          <w:szCs w:val="28"/>
        </w:rPr>
        <w:t>35</w:t>
      </w:r>
      <w:r w:rsidRPr="005E758A">
        <w:rPr>
          <w:sz w:val="28"/>
          <w:szCs w:val="28"/>
        </w:rPr>
        <w:t>條為兒童販運之規定，係針對第</w:t>
      </w:r>
      <w:r w:rsidRPr="005E758A">
        <w:rPr>
          <w:sz w:val="28"/>
          <w:szCs w:val="28"/>
        </w:rPr>
        <w:t>34</w:t>
      </w:r>
      <w:r w:rsidRPr="005E758A">
        <w:rPr>
          <w:sz w:val="28"/>
          <w:szCs w:val="28"/>
        </w:rPr>
        <w:t>條之目的而設，屬於手段上的規範。條文規定了三種性剝削態樣：</w:t>
      </w:r>
      <w:r w:rsidRPr="005E758A">
        <w:rPr>
          <w:sz w:val="28"/>
          <w:szCs w:val="28"/>
        </w:rPr>
        <w:t>(</w:t>
      </w:r>
      <w:proofErr w:type="gramStart"/>
      <w:r w:rsidRPr="005E758A">
        <w:rPr>
          <w:sz w:val="28"/>
          <w:szCs w:val="28"/>
        </w:rPr>
        <w:t>一</w:t>
      </w:r>
      <w:proofErr w:type="gramEnd"/>
      <w:r w:rsidRPr="005E758A">
        <w:rPr>
          <w:sz w:val="28"/>
          <w:szCs w:val="28"/>
        </w:rPr>
        <w:t>)</w:t>
      </w:r>
      <w:r w:rsidRPr="005E758A">
        <w:rPr>
          <w:sz w:val="28"/>
          <w:szCs w:val="28"/>
        </w:rPr>
        <w:t>非法使兒童從事性行為；</w:t>
      </w:r>
      <w:r w:rsidRPr="005E758A">
        <w:rPr>
          <w:sz w:val="28"/>
          <w:szCs w:val="28"/>
        </w:rPr>
        <w:t>(</w:t>
      </w:r>
      <w:r w:rsidRPr="005E758A">
        <w:rPr>
          <w:sz w:val="28"/>
          <w:szCs w:val="28"/>
        </w:rPr>
        <w:t>二</w:t>
      </w:r>
      <w:r w:rsidRPr="005E758A">
        <w:rPr>
          <w:sz w:val="28"/>
          <w:szCs w:val="28"/>
        </w:rPr>
        <w:t>)</w:t>
      </w:r>
      <w:r w:rsidRPr="005E758A">
        <w:rPr>
          <w:sz w:val="28"/>
          <w:szCs w:val="28"/>
        </w:rPr>
        <w:t>兒童從</w:t>
      </w:r>
      <w:proofErr w:type="gramStart"/>
      <w:r w:rsidRPr="005E758A">
        <w:rPr>
          <w:sz w:val="28"/>
          <w:szCs w:val="28"/>
        </w:rPr>
        <w:t>娼</w:t>
      </w:r>
      <w:proofErr w:type="gramEnd"/>
      <w:r w:rsidRPr="005E758A">
        <w:rPr>
          <w:sz w:val="28"/>
          <w:szCs w:val="28"/>
        </w:rPr>
        <w:t>及</w:t>
      </w:r>
      <w:r w:rsidRPr="005E758A">
        <w:rPr>
          <w:sz w:val="28"/>
          <w:szCs w:val="28"/>
        </w:rPr>
        <w:t>(</w:t>
      </w:r>
      <w:r w:rsidRPr="005E758A">
        <w:rPr>
          <w:sz w:val="28"/>
          <w:szCs w:val="28"/>
        </w:rPr>
        <w:t>三</w:t>
      </w:r>
      <w:r w:rsidRPr="005E758A">
        <w:rPr>
          <w:sz w:val="28"/>
          <w:szCs w:val="28"/>
        </w:rPr>
        <w:t>)</w:t>
      </w:r>
      <w:r w:rsidRPr="005E758A">
        <w:rPr>
          <w:sz w:val="28"/>
          <w:szCs w:val="28"/>
        </w:rPr>
        <w:t>兒童色情等，涵蓋了傳統的兒童賣淫</w:t>
      </w:r>
      <w:r w:rsidRPr="005E758A">
        <w:rPr>
          <w:sz w:val="28"/>
          <w:szCs w:val="28"/>
        </w:rPr>
        <w:t>(</w:t>
      </w:r>
      <w:r w:rsidRPr="005E758A">
        <w:rPr>
          <w:sz w:val="28"/>
          <w:szCs w:val="28"/>
        </w:rPr>
        <w:t>從</w:t>
      </w:r>
      <w:proofErr w:type="gramStart"/>
      <w:r w:rsidRPr="005E758A">
        <w:rPr>
          <w:sz w:val="28"/>
          <w:szCs w:val="28"/>
        </w:rPr>
        <w:t>娼</w:t>
      </w:r>
      <w:proofErr w:type="gramEnd"/>
      <w:r w:rsidRPr="005E758A">
        <w:rPr>
          <w:sz w:val="28"/>
          <w:szCs w:val="28"/>
        </w:rPr>
        <w:t>)</w:t>
      </w:r>
      <w:r w:rsidRPr="005E758A">
        <w:rPr>
          <w:sz w:val="28"/>
          <w:szCs w:val="28"/>
        </w:rPr>
        <w:t>及新興科技</w:t>
      </w:r>
      <w:r w:rsidRPr="005E758A">
        <w:rPr>
          <w:sz w:val="28"/>
          <w:szCs w:val="28"/>
        </w:rPr>
        <w:t>(</w:t>
      </w:r>
      <w:r w:rsidRPr="005E758A">
        <w:rPr>
          <w:sz w:val="28"/>
          <w:szCs w:val="28"/>
        </w:rPr>
        <w:t>如網際網路</w:t>
      </w:r>
      <w:r w:rsidRPr="005E758A">
        <w:rPr>
          <w:sz w:val="28"/>
          <w:szCs w:val="28"/>
        </w:rPr>
        <w:t>)</w:t>
      </w:r>
      <w:r w:rsidRPr="005E758A">
        <w:rPr>
          <w:sz w:val="28"/>
          <w:szCs w:val="28"/>
        </w:rPr>
        <w:t>帶來的兒童色情</w:t>
      </w:r>
      <w:proofErr w:type="gramStart"/>
      <w:r w:rsidRPr="005E758A">
        <w:rPr>
          <w:sz w:val="28"/>
          <w:szCs w:val="28"/>
        </w:rPr>
        <w:t>新態樣等</w:t>
      </w:r>
      <w:proofErr w:type="gramEnd"/>
      <w:r w:rsidRPr="005E758A">
        <w:rPr>
          <w:sz w:val="28"/>
          <w:szCs w:val="28"/>
        </w:rPr>
        <w:t>。兒童權利公約施行後，適逢蘇維埃社會主義集團國家的崩解，全球化、自由化的時代來臨，再加上網際網路</w:t>
      </w:r>
      <w:r w:rsidRPr="005E758A">
        <w:rPr>
          <w:sz w:val="28"/>
          <w:szCs w:val="28"/>
        </w:rPr>
        <w:t>(Internet)</w:t>
      </w:r>
      <w:r w:rsidRPr="005E758A">
        <w:rPr>
          <w:sz w:val="28"/>
          <w:szCs w:val="28"/>
        </w:rPr>
        <w:t>的風行，兒童從</w:t>
      </w:r>
      <w:proofErr w:type="gramStart"/>
      <w:r w:rsidRPr="005E758A">
        <w:rPr>
          <w:sz w:val="28"/>
          <w:szCs w:val="28"/>
        </w:rPr>
        <w:t>娼</w:t>
      </w:r>
      <w:proofErr w:type="gramEnd"/>
      <w:r w:rsidRPr="005E758A">
        <w:rPr>
          <w:sz w:val="28"/>
          <w:szCs w:val="28"/>
        </w:rPr>
        <w:t>、兒童色情及兒童販運問題加</w:t>
      </w:r>
      <w:proofErr w:type="gramStart"/>
      <w:r w:rsidRPr="005E758A">
        <w:rPr>
          <w:sz w:val="28"/>
          <w:szCs w:val="28"/>
        </w:rPr>
        <w:t>遽</w:t>
      </w:r>
      <w:proofErr w:type="gramEnd"/>
      <w:r w:rsidRPr="005E758A">
        <w:rPr>
          <w:sz w:val="28"/>
          <w:szCs w:val="28"/>
        </w:rPr>
        <w:t>惡化，終使聯合國於</w:t>
      </w:r>
      <w:r w:rsidRPr="005E758A">
        <w:rPr>
          <w:sz w:val="28"/>
          <w:szCs w:val="28"/>
        </w:rPr>
        <w:t>2000</w:t>
      </w:r>
      <w:r w:rsidRPr="005E758A">
        <w:rPr>
          <w:sz w:val="28"/>
          <w:szCs w:val="28"/>
        </w:rPr>
        <w:t>年另行通過「關於買賣兒童、兒童賣淫和兒童色情問題之</w:t>
      </w:r>
      <w:r w:rsidR="00DE1BCB" w:rsidRPr="005E758A">
        <w:rPr>
          <w:sz w:val="28"/>
          <w:szCs w:val="28"/>
        </w:rPr>
        <w:t>兒童權利公約</w:t>
      </w:r>
      <w:r w:rsidRPr="005E758A">
        <w:rPr>
          <w:sz w:val="28"/>
          <w:szCs w:val="28"/>
        </w:rPr>
        <w:t>任擇議定書」</w:t>
      </w:r>
      <w:r w:rsidRPr="005E758A">
        <w:rPr>
          <w:sz w:val="28"/>
          <w:szCs w:val="28"/>
        </w:rPr>
        <w:t>(Optional Protocol on the sale of children, child prostitution and child pornography)</w:t>
      </w:r>
      <w:r w:rsidRPr="005E758A">
        <w:rPr>
          <w:sz w:val="28"/>
          <w:szCs w:val="28"/>
        </w:rPr>
        <w:t>，補充公約之規範。此任擇議定書可謂係在國際非政府組織不斷的努力下而促成，尤其是</w:t>
      </w:r>
      <w:r w:rsidRPr="005E758A">
        <w:rPr>
          <w:sz w:val="28"/>
          <w:szCs w:val="28"/>
        </w:rPr>
        <w:t>1996</w:t>
      </w:r>
      <w:r w:rsidRPr="005E758A">
        <w:rPr>
          <w:sz w:val="28"/>
          <w:szCs w:val="28"/>
        </w:rPr>
        <w:t>年在瑞典首都斯德哥爾摩召開的</w:t>
      </w:r>
      <w:proofErr w:type="gramStart"/>
      <w:r w:rsidRPr="005E758A">
        <w:rPr>
          <w:sz w:val="28"/>
          <w:szCs w:val="28"/>
        </w:rPr>
        <w:t>第一屆反兒童</w:t>
      </w:r>
      <w:proofErr w:type="gramEnd"/>
      <w:r w:rsidRPr="005E758A">
        <w:rPr>
          <w:sz w:val="28"/>
          <w:szCs w:val="28"/>
        </w:rPr>
        <w:t>商業性剝削世界大會</w:t>
      </w:r>
      <w:r w:rsidRPr="005E758A">
        <w:rPr>
          <w:sz w:val="28"/>
          <w:szCs w:val="28"/>
        </w:rPr>
        <w:t>(The First World Congress Against Commercial Sexual Exploitation of Children 1996)</w:t>
      </w:r>
      <w:r w:rsidRPr="005E758A">
        <w:rPr>
          <w:sz w:val="28"/>
          <w:szCs w:val="28"/>
        </w:rPr>
        <w:t>，開啟對此項議題的熱烈討論</w:t>
      </w:r>
      <w:r w:rsidRPr="005E758A">
        <w:rPr>
          <w:sz w:val="28"/>
          <w:szCs w:val="28"/>
          <w:vertAlign w:val="superscript"/>
        </w:rPr>
        <w:endnoteReference w:id="464"/>
      </w:r>
      <w:r w:rsidRPr="005E758A">
        <w:rPr>
          <w:sz w:val="28"/>
          <w:szCs w:val="28"/>
        </w:rPr>
        <w:t>。</w:t>
      </w:r>
    </w:p>
    <w:p w14:paraId="576B7D93" w14:textId="77777777" w:rsidR="0095798C" w:rsidRPr="005E758A" w:rsidRDefault="0095798C" w:rsidP="0095798C">
      <w:pPr>
        <w:pStyle w:val="2"/>
      </w:pPr>
      <w:r w:rsidRPr="005E758A">
        <w:t>條文要義</w:t>
      </w:r>
    </w:p>
    <w:p w14:paraId="51BD558E" w14:textId="77777777" w:rsidR="0095798C" w:rsidRPr="005E758A" w:rsidRDefault="0095798C" w:rsidP="0095798C">
      <w:pPr>
        <w:snapToGrid w:val="0"/>
        <w:spacing w:before="100" w:beforeAutospacing="1" w:after="100" w:afterAutospacing="1" w:line="0" w:lineRule="atLeast"/>
        <w:ind w:firstLineChars="200" w:firstLine="560"/>
        <w:jc w:val="both"/>
        <w:rPr>
          <w:sz w:val="28"/>
          <w:szCs w:val="28"/>
        </w:rPr>
      </w:pPr>
      <w:r w:rsidRPr="005E758A">
        <w:rPr>
          <w:sz w:val="28"/>
          <w:szCs w:val="28"/>
        </w:rPr>
        <w:t>本條雖未對性剝削及性暴力予以定義，但其實已將其類型化，即條文所列的</w:t>
      </w:r>
      <w:r w:rsidRPr="005E758A">
        <w:rPr>
          <w:sz w:val="28"/>
          <w:szCs w:val="28"/>
        </w:rPr>
        <w:t>3</w:t>
      </w:r>
      <w:r w:rsidRPr="005E758A">
        <w:rPr>
          <w:sz w:val="28"/>
          <w:szCs w:val="28"/>
        </w:rPr>
        <w:t>款情況。第</w:t>
      </w:r>
      <w:r w:rsidRPr="005E758A">
        <w:rPr>
          <w:sz w:val="28"/>
          <w:szCs w:val="28"/>
        </w:rPr>
        <w:t>1</w:t>
      </w:r>
      <w:r w:rsidRPr="005E758A">
        <w:rPr>
          <w:sz w:val="28"/>
          <w:szCs w:val="28"/>
        </w:rPr>
        <w:t>款所謂引誘或強迫兒童從事非法之性行為，係指非商業性之非法性行為，如部分國家寺廟中的所謂神聖性交</w:t>
      </w:r>
      <w:r w:rsidRPr="005E758A">
        <w:rPr>
          <w:sz w:val="28"/>
          <w:szCs w:val="28"/>
        </w:rPr>
        <w:t>(sacred sex)</w:t>
      </w:r>
      <w:r w:rsidRPr="005E758A">
        <w:rPr>
          <w:sz w:val="28"/>
          <w:szCs w:val="28"/>
        </w:rPr>
        <w:t>是。</w:t>
      </w:r>
    </w:p>
    <w:p w14:paraId="67880AAA" w14:textId="77777777" w:rsidR="0095798C" w:rsidRPr="005E758A" w:rsidRDefault="0095798C" w:rsidP="0095798C">
      <w:pPr>
        <w:snapToGrid w:val="0"/>
        <w:spacing w:before="100" w:beforeAutospacing="1" w:after="100" w:afterAutospacing="1" w:line="0" w:lineRule="atLeast"/>
        <w:ind w:firstLineChars="200" w:firstLine="560"/>
        <w:jc w:val="both"/>
        <w:rPr>
          <w:sz w:val="28"/>
          <w:szCs w:val="28"/>
        </w:rPr>
      </w:pPr>
      <w:r w:rsidRPr="005E758A">
        <w:rPr>
          <w:sz w:val="28"/>
          <w:szCs w:val="28"/>
        </w:rPr>
        <w:t>第</w:t>
      </w:r>
      <w:r w:rsidRPr="005E758A">
        <w:rPr>
          <w:sz w:val="28"/>
          <w:szCs w:val="28"/>
        </w:rPr>
        <w:t>2</w:t>
      </w:r>
      <w:r w:rsidRPr="005E758A">
        <w:rPr>
          <w:sz w:val="28"/>
          <w:szCs w:val="28"/>
        </w:rPr>
        <w:t>款則針對兒童賣淫，即所謂兒童商業性剝削</w:t>
      </w:r>
      <w:r w:rsidRPr="005E758A">
        <w:rPr>
          <w:sz w:val="28"/>
          <w:szCs w:val="28"/>
        </w:rPr>
        <w:t>(Commercial Child Sexual Exploitation)</w:t>
      </w:r>
      <w:r w:rsidRPr="005E758A">
        <w:rPr>
          <w:sz w:val="28"/>
          <w:szCs w:val="28"/>
        </w:rPr>
        <w:t>而規定。兒童賣淫，依</w:t>
      </w:r>
      <w:r w:rsidRPr="005E758A">
        <w:rPr>
          <w:sz w:val="28"/>
          <w:szCs w:val="28"/>
        </w:rPr>
        <w:t>2000</w:t>
      </w:r>
      <w:r w:rsidRPr="005E758A">
        <w:rPr>
          <w:sz w:val="28"/>
          <w:szCs w:val="28"/>
        </w:rPr>
        <w:t>年之任擇議定書第</w:t>
      </w:r>
      <w:r w:rsidRPr="005E758A">
        <w:rPr>
          <w:sz w:val="28"/>
          <w:szCs w:val="28"/>
        </w:rPr>
        <w:t>2</w:t>
      </w:r>
      <w:r w:rsidRPr="005E758A">
        <w:rPr>
          <w:sz w:val="28"/>
          <w:szCs w:val="28"/>
        </w:rPr>
        <w:t>條</w:t>
      </w:r>
      <w:r w:rsidRPr="005E758A">
        <w:rPr>
          <w:sz w:val="28"/>
          <w:szCs w:val="28"/>
        </w:rPr>
        <w:t xml:space="preserve">(b) </w:t>
      </w:r>
      <w:r w:rsidRPr="005E758A">
        <w:rPr>
          <w:sz w:val="28"/>
          <w:szCs w:val="28"/>
        </w:rPr>
        <w:t>款，係指在性活動中利用兒童以換取報酬或其他對價。所謂對價，其英文為</w:t>
      </w:r>
      <w:r w:rsidRPr="005E758A">
        <w:rPr>
          <w:sz w:val="28"/>
          <w:szCs w:val="28"/>
        </w:rPr>
        <w:t>consideration</w:t>
      </w:r>
      <w:r w:rsidRPr="005E758A">
        <w:rPr>
          <w:sz w:val="28"/>
          <w:szCs w:val="28"/>
        </w:rPr>
        <w:t>，顯然係英美法的用語。議定書第</w:t>
      </w:r>
      <w:r w:rsidRPr="005E758A">
        <w:rPr>
          <w:sz w:val="28"/>
          <w:szCs w:val="28"/>
        </w:rPr>
        <w:t>3</w:t>
      </w:r>
      <w:r w:rsidRPr="005E758A">
        <w:rPr>
          <w:sz w:val="28"/>
          <w:szCs w:val="28"/>
        </w:rPr>
        <w:lastRenderedPageBreak/>
        <w:t>條第</w:t>
      </w:r>
      <w:r w:rsidRPr="005E758A">
        <w:rPr>
          <w:sz w:val="28"/>
          <w:szCs w:val="28"/>
        </w:rPr>
        <w:t>1</w:t>
      </w:r>
      <w:r w:rsidRPr="005E758A">
        <w:rPr>
          <w:sz w:val="28"/>
          <w:szCs w:val="28"/>
        </w:rPr>
        <w:t>項</w:t>
      </w:r>
      <w:r w:rsidRPr="005E758A">
        <w:rPr>
          <w:sz w:val="28"/>
          <w:szCs w:val="28"/>
        </w:rPr>
        <w:t>2c</w:t>
      </w:r>
      <w:r w:rsidRPr="005E758A">
        <w:rPr>
          <w:sz w:val="28"/>
          <w:szCs w:val="28"/>
        </w:rPr>
        <w:t>款要求締約國對於兒童賣淫活動，期約、取得、媒介或提供兒童予以處罰。</w:t>
      </w:r>
    </w:p>
    <w:p w14:paraId="690E130B" w14:textId="77777777" w:rsidR="0095798C" w:rsidRPr="005E758A" w:rsidRDefault="0095798C" w:rsidP="0095798C">
      <w:pPr>
        <w:snapToGrid w:val="0"/>
        <w:spacing w:before="100" w:beforeAutospacing="1" w:after="100" w:afterAutospacing="1" w:line="0" w:lineRule="atLeast"/>
        <w:ind w:firstLineChars="200" w:firstLine="560"/>
        <w:jc w:val="both"/>
        <w:rPr>
          <w:sz w:val="28"/>
          <w:szCs w:val="28"/>
        </w:rPr>
      </w:pPr>
      <w:r w:rsidRPr="005E758A">
        <w:rPr>
          <w:sz w:val="28"/>
          <w:szCs w:val="28"/>
        </w:rPr>
        <w:t>第</w:t>
      </w:r>
      <w:r w:rsidRPr="005E758A">
        <w:rPr>
          <w:sz w:val="28"/>
          <w:szCs w:val="28"/>
        </w:rPr>
        <w:t>3</w:t>
      </w:r>
      <w:r w:rsidRPr="005E758A">
        <w:rPr>
          <w:sz w:val="28"/>
          <w:szCs w:val="28"/>
        </w:rPr>
        <w:t>款為兒童色情之規定。所謂兒童色情，依</w:t>
      </w:r>
      <w:r w:rsidRPr="005E758A">
        <w:rPr>
          <w:sz w:val="28"/>
          <w:szCs w:val="28"/>
        </w:rPr>
        <w:t>2000</w:t>
      </w:r>
      <w:r w:rsidRPr="005E758A">
        <w:rPr>
          <w:sz w:val="28"/>
          <w:szCs w:val="28"/>
        </w:rPr>
        <w:t>年之任擇議定書第</w:t>
      </w:r>
      <w:r w:rsidRPr="005E758A">
        <w:rPr>
          <w:sz w:val="28"/>
          <w:szCs w:val="28"/>
        </w:rPr>
        <w:t>2</w:t>
      </w:r>
      <w:r w:rsidRPr="005E758A">
        <w:rPr>
          <w:sz w:val="28"/>
          <w:szCs w:val="28"/>
        </w:rPr>
        <w:t>條</w:t>
      </w:r>
      <w:r w:rsidRPr="005E758A">
        <w:rPr>
          <w:sz w:val="28"/>
          <w:szCs w:val="28"/>
        </w:rPr>
        <w:t>(c)</w:t>
      </w:r>
      <w:r w:rsidRPr="005E758A">
        <w:rPr>
          <w:sz w:val="28"/>
          <w:szCs w:val="28"/>
        </w:rPr>
        <w:t>款規定：「係指以任何方式表現兒童正在進行真實或模擬的露骨的性活動或主要為取得性滿足而以任何方式表現兒童身體的一部分的製品。」此項規定其實與西方國家，尤其是英美兩國關於兒童色情之定義相去不遠。另外，議定書第</w:t>
      </w:r>
      <w:r w:rsidRPr="005E758A">
        <w:rPr>
          <w:sz w:val="28"/>
          <w:szCs w:val="28"/>
        </w:rPr>
        <w:t>3</w:t>
      </w:r>
      <w:r w:rsidRPr="005E758A">
        <w:rPr>
          <w:sz w:val="28"/>
          <w:szCs w:val="28"/>
        </w:rPr>
        <w:t>條第</w:t>
      </w:r>
      <w:r w:rsidRPr="005E758A">
        <w:rPr>
          <w:sz w:val="28"/>
          <w:szCs w:val="28"/>
        </w:rPr>
        <w:t>1</w:t>
      </w:r>
      <w:r w:rsidRPr="005E758A">
        <w:rPr>
          <w:sz w:val="28"/>
          <w:szCs w:val="28"/>
        </w:rPr>
        <w:t>項</w:t>
      </w:r>
      <w:r w:rsidRPr="005E758A">
        <w:rPr>
          <w:sz w:val="28"/>
          <w:szCs w:val="28"/>
        </w:rPr>
        <w:t>2c</w:t>
      </w:r>
      <w:r w:rsidRPr="005E758A">
        <w:rPr>
          <w:sz w:val="28"/>
          <w:szCs w:val="28"/>
        </w:rPr>
        <w:t>款則要求締約國對於生產、發售、傳播、進口、出口、主動提供、銷售或持有第</w:t>
      </w:r>
      <w:r w:rsidRPr="005E758A">
        <w:rPr>
          <w:sz w:val="28"/>
          <w:szCs w:val="28"/>
        </w:rPr>
        <w:t>2</w:t>
      </w:r>
      <w:r w:rsidRPr="005E758A">
        <w:rPr>
          <w:sz w:val="28"/>
          <w:szCs w:val="28"/>
        </w:rPr>
        <w:t>條所指的兒童色情製品予以定罪。</w:t>
      </w:r>
    </w:p>
    <w:p w14:paraId="5BFD6D6D" w14:textId="77777777" w:rsidR="0095798C" w:rsidRPr="005E758A" w:rsidRDefault="0095798C" w:rsidP="0095798C">
      <w:pPr>
        <w:snapToGrid w:val="0"/>
        <w:spacing w:before="100" w:beforeAutospacing="1" w:after="100" w:afterAutospacing="1" w:line="0" w:lineRule="atLeast"/>
        <w:ind w:firstLineChars="200" w:firstLine="560"/>
        <w:jc w:val="both"/>
        <w:rPr>
          <w:sz w:val="28"/>
          <w:szCs w:val="28"/>
        </w:rPr>
      </w:pPr>
      <w:r w:rsidRPr="005E758A">
        <w:rPr>
          <w:sz w:val="28"/>
          <w:szCs w:val="28"/>
        </w:rPr>
        <w:t>兒童從事非法之商業或非商業性活動各國刑事法大致皆有規範，且理念上不難理解。兒童色情則不然，許多國家仍欠缺或僅有部分規範。兒童色情的存在係為滿足他人性</w:t>
      </w:r>
      <w:proofErr w:type="gramStart"/>
      <w:r w:rsidRPr="005E758A">
        <w:rPr>
          <w:sz w:val="28"/>
          <w:szCs w:val="28"/>
        </w:rPr>
        <w:t>慾</w:t>
      </w:r>
      <w:proofErr w:type="gramEnd"/>
      <w:r w:rsidRPr="005E758A">
        <w:rPr>
          <w:sz w:val="28"/>
          <w:szCs w:val="28"/>
        </w:rPr>
        <w:t>需求或利潤動機，故本質上具有剝削兒童之目的，其產製過程往往構成對參與演出兒童的性虐待。更有甚者，由於兒童色情品可停格於兒童受虐待時的景象與情境，成為受害兒童的永恆創傷。</w:t>
      </w:r>
      <w:proofErr w:type="gramStart"/>
      <w:r w:rsidRPr="005E758A">
        <w:rPr>
          <w:sz w:val="28"/>
          <w:szCs w:val="28"/>
        </w:rPr>
        <w:t>此外，</w:t>
      </w:r>
      <w:proofErr w:type="gramEnd"/>
      <w:r w:rsidRPr="005E758A">
        <w:rPr>
          <w:sz w:val="28"/>
          <w:szCs w:val="28"/>
        </w:rPr>
        <w:t>兒童色情與其它形式之兒童性剝削如賣淫活動及兒童性虐待，經常有連鎖效應。有論者指出，兒童色情與兒童性虐待是兩種互有連鎖效應的兒童性剝削。在網路的科技特性下，兒童色情成為戀童癖者從事兒童性虐待的理論基礎。由此可見，兒童色情在兒童性剝削事件上的關鍵角色與地位。網路的興起，更促進兒童色情產製與散布的蓬勃發展，終而引發罄竹難書的兒童性虐待案件，及全球兒童人權組織的高度關</w:t>
      </w:r>
      <w:proofErr w:type="gramStart"/>
      <w:r w:rsidRPr="005E758A">
        <w:rPr>
          <w:sz w:val="28"/>
          <w:szCs w:val="28"/>
        </w:rPr>
        <w:t>切</w:t>
      </w:r>
      <w:proofErr w:type="gramEnd"/>
      <w:r w:rsidRPr="005E758A">
        <w:rPr>
          <w:rStyle w:val="af3"/>
          <w:sz w:val="28"/>
          <w:szCs w:val="28"/>
        </w:rPr>
        <w:endnoteReference w:id="465"/>
      </w:r>
      <w:r w:rsidRPr="005E758A">
        <w:rPr>
          <w:sz w:val="28"/>
          <w:szCs w:val="28"/>
        </w:rPr>
        <w:t>。</w:t>
      </w:r>
    </w:p>
    <w:p w14:paraId="245BE609" w14:textId="77777777" w:rsidR="0095798C" w:rsidRPr="005E758A" w:rsidRDefault="0095798C" w:rsidP="0095798C">
      <w:pPr>
        <w:snapToGrid w:val="0"/>
        <w:spacing w:before="100" w:beforeAutospacing="1" w:after="100" w:afterAutospacing="1" w:line="0" w:lineRule="atLeast"/>
        <w:ind w:firstLineChars="200" w:firstLine="560"/>
        <w:jc w:val="both"/>
        <w:rPr>
          <w:sz w:val="28"/>
          <w:szCs w:val="28"/>
        </w:rPr>
      </w:pPr>
      <w:r w:rsidRPr="005E758A">
        <w:rPr>
          <w:sz w:val="28"/>
          <w:szCs w:val="28"/>
        </w:rPr>
        <w:t>任擇議定書第</w:t>
      </w:r>
      <w:r w:rsidRPr="005E758A">
        <w:rPr>
          <w:sz w:val="28"/>
          <w:szCs w:val="28"/>
        </w:rPr>
        <w:t>10</w:t>
      </w:r>
      <w:r w:rsidRPr="005E758A">
        <w:rPr>
          <w:sz w:val="28"/>
          <w:szCs w:val="28"/>
        </w:rPr>
        <w:t>條要求</w:t>
      </w:r>
      <w:r w:rsidRPr="005E758A">
        <w:rPr>
          <w:kern w:val="0"/>
          <w:sz w:val="28"/>
          <w:szCs w:val="28"/>
        </w:rPr>
        <w:t>締約國應採取一切必要之措施，加強國際合作，作出多邊、區域及雙邊協議，以防制、偵測、調查、起訴與懲治涉及買賣兒童、兒童賣淫、兒童色情及兒童性旅遊之應負責任者。締約國亦應促進本國政府機關間、本國與國際非政府組織及國際組織之國際合作與協調。本條規定，大大地鼓勵了國際非政府組織的成立。例如歐盟於</w:t>
      </w:r>
      <w:r w:rsidRPr="005E758A">
        <w:rPr>
          <w:kern w:val="0"/>
          <w:sz w:val="28"/>
          <w:szCs w:val="28"/>
        </w:rPr>
        <w:t>1999</w:t>
      </w:r>
      <w:r w:rsidRPr="005E758A">
        <w:rPr>
          <w:kern w:val="0"/>
          <w:sz w:val="28"/>
          <w:szCs w:val="28"/>
        </w:rPr>
        <w:t>年出資成立防制兒童色情的非政府組織</w:t>
      </w:r>
      <w:r w:rsidRPr="005E758A">
        <w:rPr>
          <w:kern w:val="0"/>
          <w:sz w:val="28"/>
          <w:szCs w:val="28"/>
        </w:rPr>
        <w:t>INHOPE</w:t>
      </w:r>
      <w:r w:rsidRPr="005E758A">
        <w:rPr>
          <w:rStyle w:val="af3"/>
          <w:kern w:val="0"/>
          <w:sz w:val="28"/>
          <w:szCs w:val="28"/>
        </w:rPr>
        <w:endnoteReference w:id="466"/>
      </w:r>
      <w:r w:rsidRPr="005E758A">
        <w:rPr>
          <w:kern w:val="0"/>
          <w:sz w:val="28"/>
          <w:szCs w:val="28"/>
        </w:rPr>
        <w:t>，</w:t>
      </w:r>
      <w:r w:rsidRPr="005E758A">
        <w:rPr>
          <w:kern w:val="0"/>
          <w:sz w:val="28"/>
          <w:szCs w:val="28"/>
        </w:rPr>
        <w:t>2004</w:t>
      </w:r>
      <w:r w:rsidRPr="005E758A">
        <w:rPr>
          <w:kern w:val="0"/>
          <w:sz w:val="28"/>
          <w:szCs w:val="28"/>
        </w:rPr>
        <w:t>年復成立教</w:t>
      </w:r>
      <w:r w:rsidR="003456FC" w:rsidRPr="005E758A">
        <w:rPr>
          <w:kern w:val="0"/>
          <w:sz w:val="28"/>
          <w:szCs w:val="28"/>
        </w:rPr>
        <w:t>旨宣導為目的的</w:t>
      </w:r>
      <w:r w:rsidRPr="005E758A">
        <w:rPr>
          <w:kern w:val="0"/>
          <w:sz w:val="28"/>
          <w:szCs w:val="28"/>
        </w:rPr>
        <w:t>組織</w:t>
      </w:r>
      <w:r w:rsidRPr="005E758A">
        <w:rPr>
          <w:kern w:val="0"/>
          <w:sz w:val="28"/>
          <w:szCs w:val="28"/>
        </w:rPr>
        <w:t>INSAFE</w:t>
      </w:r>
      <w:r w:rsidRPr="005E758A">
        <w:rPr>
          <w:rStyle w:val="af3"/>
          <w:kern w:val="0"/>
          <w:sz w:val="28"/>
          <w:szCs w:val="28"/>
        </w:rPr>
        <w:endnoteReference w:id="467"/>
      </w:r>
      <w:r w:rsidRPr="005E758A">
        <w:rPr>
          <w:kern w:val="0"/>
          <w:sz w:val="28"/>
          <w:szCs w:val="28"/>
        </w:rPr>
        <w:t>。國際組織方面，最有名的則為</w:t>
      </w:r>
      <w:r w:rsidRPr="005E758A">
        <w:rPr>
          <w:kern w:val="0"/>
          <w:sz w:val="28"/>
          <w:szCs w:val="28"/>
        </w:rPr>
        <w:t>VGT</w:t>
      </w:r>
      <w:r w:rsidR="002657AF" w:rsidRPr="005E758A">
        <w:rPr>
          <w:kern w:val="0"/>
          <w:sz w:val="28"/>
          <w:szCs w:val="28"/>
        </w:rPr>
        <w:t xml:space="preserve"> </w:t>
      </w:r>
      <w:r w:rsidRPr="005E758A">
        <w:rPr>
          <w:kern w:val="0"/>
          <w:sz w:val="28"/>
          <w:szCs w:val="28"/>
        </w:rPr>
        <w:t>(Virtual Global Taskforce)</w:t>
      </w:r>
      <w:r w:rsidRPr="005E758A">
        <w:rPr>
          <w:kern w:val="0"/>
          <w:sz w:val="28"/>
          <w:szCs w:val="28"/>
        </w:rPr>
        <w:t>的組成</w:t>
      </w:r>
      <w:r w:rsidRPr="005E758A">
        <w:rPr>
          <w:rStyle w:val="af3"/>
          <w:kern w:val="0"/>
          <w:sz w:val="28"/>
          <w:szCs w:val="28"/>
        </w:rPr>
        <w:endnoteReference w:id="468"/>
      </w:r>
      <w:r w:rsidRPr="005E758A">
        <w:rPr>
          <w:kern w:val="0"/>
          <w:sz w:val="28"/>
          <w:szCs w:val="28"/>
        </w:rPr>
        <w:t>。</w:t>
      </w:r>
    </w:p>
    <w:p w14:paraId="7494AF46" w14:textId="77777777" w:rsidR="0095798C" w:rsidRPr="005E758A" w:rsidRDefault="0095798C" w:rsidP="0095798C">
      <w:pPr>
        <w:pStyle w:val="2"/>
      </w:pPr>
      <w:r w:rsidRPr="005E758A">
        <w:t>案例介紹</w:t>
      </w:r>
    </w:p>
    <w:p w14:paraId="0714FFA1" w14:textId="77777777" w:rsidR="00FC16DD" w:rsidRPr="005E758A" w:rsidRDefault="00FC16DD" w:rsidP="00FC16DD">
      <w:pPr>
        <w:pStyle w:val="3"/>
        <w:numPr>
          <w:ilvl w:val="0"/>
          <w:numId w:val="72"/>
        </w:numPr>
      </w:pPr>
      <w:r w:rsidRPr="005E758A">
        <w:t>1990</w:t>
      </w:r>
      <w:r w:rsidRPr="005E758A">
        <w:t>年美國聯邦最高法院有關單純持有兒童色情罪案：</w:t>
      </w:r>
      <w:r w:rsidRPr="005E758A">
        <w:t>Osborne v. Ohio</w:t>
      </w:r>
      <w:r w:rsidRPr="005E758A">
        <w:rPr>
          <w:rStyle w:val="af3"/>
        </w:rPr>
        <w:endnoteReference w:id="469"/>
      </w:r>
    </w:p>
    <w:p w14:paraId="4B9F65E1" w14:textId="77777777" w:rsidR="00FC16DD" w:rsidRPr="005E758A" w:rsidRDefault="00FC16DD" w:rsidP="00FC16DD">
      <w:pPr>
        <w:snapToGrid w:val="0"/>
        <w:spacing w:before="100" w:beforeAutospacing="1" w:after="100" w:afterAutospacing="1" w:line="0" w:lineRule="atLeast"/>
        <w:ind w:firstLineChars="200" w:firstLine="560"/>
        <w:jc w:val="both"/>
        <w:rPr>
          <w:sz w:val="28"/>
          <w:szCs w:val="28"/>
        </w:rPr>
      </w:pPr>
      <w:r w:rsidRPr="005E758A">
        <w:rPr>
          <w:sz w:val="28"/>
          <w:szCs w:val="28"/>
        </w:rPr>
        <w:t>本案俄亥俄州警方於被告</w:t>
      </w:r>
      <w:r w:rsidRPr="005E758A">
        <w:rPr>
          <w:sz w:val="28"/>
          <w:szCs w:val="28"/>
        </w:rPr>
        <w:t>Osborne</w:t>
      </w:r>
      <w:r w:rsidRPr="005E758A">
        <w:rPr>
          <w:sz w:val="28"/>
          <w:szCs w:val="28"/>
        </w:rPr>
        <w:t>住處發現男性少年之色情照片。</w:t>
      </w:r>
      <w:r w:rsidRPr="005E758A">
        <w:rPr>
          <w:sz w:val="28"/>
          <w:szCs w:val="28"/>
        </w:rPr>
        <w:lastRenderedPageBreak/>
        <w:t>隨後由檢方依該州單純持有兒童色情罪之法律起訴。被告抗辯，認為依據聯邦最高法院</w:t>
      </w:r>
      <w:r w:rsidRPr="005E758A">
        <w:rPr>
          <w:sz w:val="28"/>
          <w:szCs w:val="28"/>
        </w:rPr>
        <w:t>1969</w:t>
      </w:r>
      <w:r w:rsidRPr="005E758A">
        <w:rPr>
          <w:sz w:val="28"/>
          <w:szCs w:val="28"/>
        </w:rPr>
        <w:t>年之判決</w:t>
      </w:r>
      <w:r w:rsidRPr="005E758A">
        <w:rPr>
          <w:sz w:val="28"/>
          <w:szCs w:val="28"/>
        </w:rPr>
        <w:t>Stanley v. Georgia(394 U.S. 557(1969</w:t>
      </w:r>
      <w:proofErr w:type="gramStart"/>
      <w:r w:rsidRPr="005E758A">
        <w:rPr>
          <w:sz w:val="28"/>
          <w:szCs w:val="28"/>
        </w:rPr>
        <w:t>))</w:t>
      </w:r>
      <w:r w:rsidRPr="005E758A">
        <w:rPr>
          <w:sz w:val="28"/>
          <w:szCs w:val="28"/>
        </w:rPr>
        <w:t>，</w:t>
      </w:r>
      <w:proofErr w:type="gramEnd"/>
      <w:r w:rsidRPr="005E758A">
        <w:rPr>
          <w:sz w:val="28"/>
          <w:szCs w:val="28"/>
        </w:rPr>
        <w:t>單純持有色情照片屬於憲法增修條文第</w:t>
      </w:r>
      <w:r w:rsidRPr="005E758A">
        <w:rPr>
          <w:sz w:val="28"/>
          <w:szCs w:val="28"/>
        </w:rPr>
        <w:t>4</w:t>
      </w:r>
      <w:r w:rsidRPr="005E758A">
        <w:rPr>
          <w:sz w:val="28"/>
          <w:szCs w:val="28"/>
        </w:rPr>
        <w:t>條之個人隱私，故受保障。案至聯邦</w:t>
      </w:r>
      <w:r w:rsidRPr="005E758A">
        <w:rPr>
          <w:color w:val="000000"/>
          <w:sz w:val="28"/>
          <w:szCs w:val="28"/>
        </w:rPr>
        <w:t>最高法院</w:t>
      </w:r>
      <w:r w:rsidRPr="005E758A">
        <w:rPr>
          <w:sz w:val="28"/>
          <w:szCs w:val="28"/>
        </w:rPr>
        <w:t>，法院認為俄亥俄州法律處罰持有兒童色情圖片並未違反憲法增修條文第</w:t>
      </w:r>
      <w:r w:rsidRPr="005E758A">
        <w:rPr>
          <w:sz w:val="28"/>
          <w:szCs w:val="28"/>
        </w:rPr>
        <w:t>1</w:t>
      </w:r>
      <w:r w:rsidRPr="005E758A">
        <w:rPr>
          <w:sz w:val="28"/>
          <w:szCs w:val="28"/>
        </w:rPr>
        <w:t>條之言論自由及第</w:t>
      </w:r>
      <w:r w:rsidRPr="005E758A">
        <w:rPr>
          <w:sz w:val="28"/>
          <w:szCs w:val="28"/>
        </w:rPr>
        <w:t>4</w:t>
      </w:r>
      <w:r w:rsidRPr="005E758A">
        <w:rPr>
          <w:sz w:val="28"/>
          <w:szCs w:val="28"/>
        </w:rPr>
        <w:t>條之隱私權保障。其理由主要有三點：（</w:t>
      </w:r>
      <w:r w:rsidRPr="005E758A">
        <w:rPr>
          <w:sz w:val="28"/>
          <w:szCs w:val="28"/>
        </w:rPr>
        <w:t>1</w:t>
      </w:r>
      <w:r w:rsidRPr="005E758A">
        <w:rPr>
          <w:sz w:val="28"/>
          <w:szCs w:val="28"/>
        </w:rPr>
        <w:t>）兒童色情產品為對受害人虐待之永久紀錄，足以對其未來造成持續性傷害。（</w:t>
      </w:r>
      <w:r w:rsidRPr="005E758A">
        <w:rPr>
          <w:sz w:val="28"/>
          <w:szCs w:val="28"/>
        </w:rPr>
        <w:t>2</w:t>
      </w:r>
      <w:r w:rsidRPr="005E758A">
        <w:rPr>
          <w:sz w:val="28"/>
          <w:szCs w:val="28"/>
        </w:rPr>
        <w:t>）證據顯示戀童癖者利用兒童色情圖片引誘兒童，故禁止持有以消滅兒童色情圖片製造為法所許；及（</w:t>
      </w:r>
      <w:r w:rsidRPr="005E758A">
        <w:rPr>
          <w:sz w:val="28"/>
          <w:szCs w:val="28"/>
        </w:rPr>
        <w:t>3</w:t>
      </w:r>
      <w:r w:rsidRPr="005E758A">
        <w:rPr>
          <w:sz w:val="28"/>
          <w:szCs w:val="28"/>
        </w:rPr>
        <w:t>）對於州法律處罰持有以減少市場上之需求政策係屬合理。本案判決很明顯地係修正了</w:t>
      </w:r>
      <w:r w:rsidRPr="005E758A">
        <w:rPr>
          <w:sz w:val="28"/>
          <w:szCs w:val="28"/>
        </w:rPr>
        <w:t>Stanley v. Georgia</w:t>
      </w:r>
      <w:r w:rsidRPr="005E758A">
        <w:rPr>
          <w:sz w:val="28"/>
          <w:szCs w:val="28"/>
        </w:rPr>
        <w:t>一案所樹立之原則。</w:t>
      </w:r>
      <w:r w:rsidRPr="005E758A">
        <w:rPr>
          <w:sz w:val="28"/>
          <w:szCs w:val="28"/>
        </w:rPr>
        <w:t>Stanley</w:t>
      </w:r>
      <w:r w:rsidRPr="005E758A">
        <w:rPr>
          <w:sz w:val="28"/>
          <w:szCs w:val="28"/>
        </w:rPr>
        <w:t>一案判決認為一般（成人）猥褻物之持有，如非基於散布或販賣之意圖，屬於隱私權保障之範圍。惟在本案，聯邦最高法院則認為為徹底瓦解兒童色情市場，對單純持有之處罰，誠有必要。本案已成為各國制定處罰單純持有兒童色情的經典案例。其論述所持見解，廣為各方援引，至今未被挑戰。</w:t>
      </w:r>
    </w:p>
    <w:p w14:paraId="3D1450E4" w14:textId="77777777" w:rsidR="0095798C" w:rsidRPr="005E758A" w:rsidRDefault="0095798C" w:rsidP="007119F4">
      <w:pPr>
        <w:pStyle w:val="3"/>
        <w:numPr>
          <w:ilvl w:val="0"/>
          <w:numId w:val="72"/>
        </w:numPr>
      </w:pPr>
      <w:r w:rsidRPr="005E758A">
        <w:t>1999</w:t>
      </w:r>
      <w:r w:rsidRPr="005E758A">
        <w:t>年</w:t>
      </w:r>
      <w:r w:rsidR="00CF6265" w:rsidRPr="005E758A">
        <w:t>日本</w:t>
      </w:r>
      <w:r w:rsidRPr="005E758A">
        <w:t>兒童買春、兒童色情案處罰及兒童保護法</w:t>
      </w:r>
    </w:p>
    <w:p w14:paraId="4F7000BC" w14:textId="77777777" w:rsidR="0095798C" w:rsidRPr="005E758A" w:rsidRDefault="0095798C" w:rsidP="0095798C">
      <w:pPr>
        <w:snapToGrid w:val="0"/>
        <w:spacing w:before="100" w:beforeAutospacing="1" w:after="100" w:afterAutospacing="1" w:line="0" w:lineRule="atLeast"/>
        <w:ind w:firstLineChars="200" w:firstLine="560"/>
        <w:jc w:val="both"/>
        <w:rPr>
          <w:color w:val="000000"/>
          <w:sz w:val="28"/>
          <w:szCs w:val="28"/>
        </w:rPr>
      </w:pPr>
      <w:r w:rsidRPr="005E758A">
        <w:rPr>
          <w:sz w:val="28"/>
          <w:szCs w:val="28"/>
        </w:rPr>
        <w:t>日本是一個性產業發達及色情氾濫的先進國家。色情表演、色情書店，色情</w:t>
      </w:r>
      <w:proofErr w:type="gramStart"/>
      <w:r w:rsidRPr="005E758A">
        <w:rPr>
          <w:sz w:val="28"/>
          <w:szCs w:val="28"/>
        </w:rPr>
        <w:t>影音店林立</w:t>
      </w:r>
      <w:proofErr w:type="gramEnd"/>
      <w:r w:rsidRPr="005E758A">
        <w:rPr>
          <w:sz w:val="28"/>
          <w:szCs w:val="28"/>
        </w:rPr>
        <w:t>於東京及其他大城市。令人詬病的是，其色情文化中往往有兒童的蹤影。例如，風行已久的成人漫畫中常有少女面孔擁有「</w:t>
      </w:r>
      <w:proofErr w:type="gramStart"/>
      <w:r w:rsidRPr="005E758A">
        <w:rPr>
          <w:sz w:val="28"/>
          <w:szCs w:val="28"/>
        </w:rPr>
        <w:t>爆乳</w:t>
      </w:r>
      <w:proofErr w:type="gramEnd"/>
      <w:r w:rsidRPr="005E758A">
        <w:rPr>
          <w:sz w:val="28"/>
          <w:szCs w:val="28"/>
        </w:rPr>
        <w:t>」體態與男子性交之情節；描述年輕型男與兒童之間愛戀關係的所謂「友愛」（</w:t>
      </w:r>
      <w:proofErr w:type="spellStart"/>
      <w:r w:rsidRPr="005E758A">
        <w:rPr>
          <w:sz w:val="28"/>
          <w:szCs w:val="28"/>
        </w:rPr>
        <w:t>yaoi</w:t>
      </w:r>
      <w:proofErr w:type="spellEnd"/>
      <w:r w:rsidRPr="005E758A">
        <w:rPr>
          <w:sz w:val="28"/>
          <w:szCs w:val="28"/>
        </w:rPr>
        <w:t>）文學創作，據說有高達五十萬讀者</w:t>
      </w:r>
      <w:r w:rsidRPr="005E758A">
        <w:rPr>
          <w:rStyle w:val="af3"/>
          <w:sz w:val="28"/>
          <w:szCs w:val="28"/>
        </w:rPr>
        <w:endnoteReference w:id="470"/>
      </w:r>
      <w:r w:rsidRPr="005E758A">
        <w:rPr>
          <w:sz w:val="28"/>
          <w:szCs w:val="28"/>
        </w:rPr>
        <w:t>；色情網站的內容更是五花八門，以穿著校服的少女為主題的幼齒網站</w:t>
      </w:r>
      <w:proofErr w:type="gramStart"/>
      <w:r w:rsidRPr="005E758A">
        <w:rPr>
          <w:sz w:val="28"/>
          <w:szCs w:val="28"/>
        </w:rPr>
        <w:t>彼彼皆是</w:t>
      </w:r>
      <w:proofErr w:type="gramEnd"/>
      <w:r w:rsidRPr="005E758A">
        <w:rPr>
          <w:sz w:val="28"/>
          <w:szCs w:val="28"/>
        </w:rPr>
        <w:t>。根據非政府組織的統計，日本係全世界兒童色情最大的產製國，在</w:t>
      </w:r>
      <w:proofErr w:type="gramStart"/>
      <w:r w:rsidRPr="005E758A">
        <w:rPr>
          <w:sz w:val="28"/>
          <w:szCs w:val="28"/>
        </w:rPr>
        <w:t>1990</w:t>
      </w:r>
      <w:proofErr w:type="gramEnd"/>
      <w:r w:rsidRPr="005E758A">
        <w:rPr>
          <w:sz w:val="28"/>
          <w:szCs w:val="28"/>
        </w:rPr>
        <w:t>年代末期，每</w:t>
      </w:r>
      <w:proofErr w:type="gramStart"/>
      <w:r w:rsidRPr="005E758A">
        <w:rPr>
          <w:sz w:val="28"/>
          <w:szCs w:val="28"/>
        </w:rPr>
        <w:t>個</w:t>
      </w:r>
      <w:proofErr w:type="gramEnd"/>
      <w:r w:rsidRPr="005E758A">
        <w:rPr>
          <w:sz w:val="28"/>
          <w:szCs w:val="28"/>
        </w:rPr>
        <w:t>月製造高達</w:t>
      </w:r>
      <w:r w:rsidRPr="005E758A">
        <w:rPr>
          <w:sz w:val="28"/>
          <w:szCs w:val="28"/>
        </w:rPr>
        <w:t>1000</w:t>
      </w:r>
      <w:r w:rsidRPr="005E758A">
        <w:rPr>
          <w:sz w:val="28"/>
          <w:szCs w:val="28"/>
        </w:rPr>
        <w:t>支的錄影帶</w:t>
      </w:r>
      <w:r w:rsidRPr="005E758A">
        <w:rPr>
          <w:rStyle w:val="af3"/>
          <w:sz w:val="28"/>
          <w:szCs w:val="28"/>
        </w:rPr>
        <w:endnoteReference w:id="471"/>
      </w:r>
      <w:r w:rsidRPr="005E758A">
        <w:rPr>
          <w:sz w:val="28"/>
          <w:szCs w:val="28"/>
        </w:rPr>
        <w:t>。兒童</w:t>
      </w:r>
      <w:r w:rsidRPr="005E758A">
        <w:rPr>
          <w:color w:val="000000"/>
          <w:sz w:val="28"/>
          <w:szCs w:val="28"/>
        </w:rPr>
        <w:t>保護團體雖然對此種褻瀆兒童現象大加撻伐，但日本政府的作為始終無法令人滿意。日本雖於</w:t>
      </w:r>
      <w:r w:rsidRPr="005E758A">
        <w:rPr>
          <w:color w:val="000000"/>
          <w:sz w:val="28"/>
          <w:szCs w:val="28"/>
        </w:rPr>
        <w:t>1994</w:t>
      </w:r>
      <w:r w:rsidRPr="005E758A">
        <w:rPr>
          <w:color w:val="000000"/>
          <w:sz w:val="28"/>
          <w:szCs w:val="28"/>
        </w:rPr>
        <w:t>年即加入聯合國兒童權利公約，但有關</w:t>
      </w:r>
      <w:proofErr w:type="gramStart"/>
      <w:r w:rsidRPr="005E758A">
        <w:rPr>
          <w:color w:val="000000"/>
          <w:sz w:val="28"/>
          <w:szCs w:val="28"/>
        </w:rPr>
        <w:t>兒少性剝削</w:t>
      </w:r>
      <w:proofErr w:type="gramEnd"/>
      <w:r w:rsidRPr="005E758A">
        <w:rPr>
          <w:color w:val="000000"/>
          <w:sz w:val="28"/>
          <w:szCs w:val="28"/>
        </w:rPr>
        <w:t>的立法，卻未有動靜，對於未達日本刑法第</w:t>
      </w:r>
      <w:r w:rsidRPr="005E758A">
        <w:rPr>
          <w:color w:val="000000"/>
          <w:sz w:val="28"/>
          <w:szCs w:val="28"/>
        </w:rPr>
        <w:t>175</w:t>
      </w:r>
      <w:r w:rsidRPr="005E758A">
        <w:rPr>
          <w:color w:val="000000"/>
          <w:sz w:val="28"/>
          <w:szCs w:val="28"/>
        </w:rPr>
        <w:t>條「猥褻」標準的兒童色情，無法可管。相較於同時期歐美等國的嚴峻立法，使日本成為兒童色情的輸出大國。此種惡名昭彰的情事於</w:t>
      </w:r>
      <w:r w:rsidRPr="005E758A">
        <w:rPr>
          <w:color w:val="000000"/>
          <w:sz w:val="28"/>
          <w:szCs w:val="28"/>
        </w:rPr>
        <w:t>1996</w:t>
      </w:r>
      <w:r w:rsidRPr="005E758A">
        <w:rPr>
          <w:color w:val="000000"/>
          <w:sz w:val="28"/>
          <w:szCs w:val="28"/>
        </w:rPr>
        <w:t>年在瑞典斯德哥爾摩舉行的</w:t>
      </w:r>
      <w:proofErr w:type="gramStart"/>
      <w:r w:rsidRPr="005E758A">
        <w:rPr>
          <w:color w:val="000000"/>
          <w:sz w:val="28"/>
          <w:szCs w:val="28"/>
        </w:rPr>
        <w:t>第一屆反兒童</w:t>
      </w:r>
      <w:proofErr w:type="gramEnd"/>
      <w:r w:rsidRPr="005E758A">
        <w:rPr>
          <w:color w:val="000000"/>
          <w:sz w:val="28"/>
          <w:szCs w:val="28"/>
        </w:rPr>
        <w:t>商業性剝削世界大會</w:t>
      </w:r>
      <w:r w:rsidRPr="005E758A">
        <w:rPr>
          <w:rStyle w:val="af3"/>
          <w:color w:val="000000"/>
          <w:sz w:val="28"/>
          <w:szCs w:val="28"/>
        </w:rPr>
        <w:endnoteReference w:id="472"/>
      </w:r>
      <w:r w:rsidRPr="005E758A">
        <w:rPr>
          <w:color w:val="000000"/>
          <w:sz w:val="28"/>
          <w:szCs w:val="28"/>
        </w:rPr>
        <w:t>中再度被披露及批判。日本代表團在飽受各方責難之後，決定加速立法。</w:t>
      </w:r>
      <w:r w:rsidRPr="005E758A">
        <w:rPr>
          <w:color w:val="000000"/>
          <w:sz w:val="28"/>
          <w:szCs w:val="28"/>
          <w:lang w:eastAsia="ja-JP"/>
        </w:rPr>
        <w:t>1999</w:t>
      </w:r>
      <w:r w:rsidRPr="005E758A">
        <w:rPr>
          <w:color w:val="000000"/>
          <w:sz w:val="28"/>
          <w:szCs w:val="28"/>
          <w:lang w:eastAsia="ja-JP"/>
        </w:rPr>
        <w:t>年</w:t>
      </w:r>
      <w:r w:rsidRPr="005E758A">
        <w:rPr>
          <w:color w:val="000000"/>
          <w:sz w:val="28"/>
          <w:szCs w:val="28"/>
          <w:lang w:eastAsia="ja-JP"/>
        </w:rPr>
        <w:t>5</w:t>
      </w:r>
      <w:r w:rsidRPr="005E758A">
        <w:rPr>
          <w:color w:val="000000"/>
          <w:sz w:val="28"/>
          <w:szCs w:val="28"/>
          <w:lang w:eastAsia="ja-JP"/>
        </w:rPr>
        <w:t>月，在朝野各黨的支持下，國會終於通過兒童買春、兒童色情等處罰及兒童保護法（児童買春、児童ポルノに係る行為等の処罰及び児童の保護等に関する法律）。</w:t>
      </w:r>
      <w:r w:rsidRPr="005E758A">
        <w:rPr>
          <w:color w:val="000000"/>
          <w:sz w:val="28"/>
          <w:szCs w:val="28"/>
        </w:rPr>
        <w:t>對製造、散布、提供、輸出、輸入及持有</w:t>
      </w:r>
      <w:r w:rsidRPr="005E758A">
        <w:rPr>
          <w:color w:val="000000"/>
          <w:sz w:val="28"/>
          <w:szCs w:val="28"/>
          <w:lang w:eastAsia="ja-JP"/>
        </w:rPr>
        <w:t>兒童色情</w:t>
      </w:r>
      <w:r w:rsidRPr="005E758A">
        <w:rPr>
          <w:color w:val="000000"/>
          <w:sz w:val="28"/>
          <w:szCs w:val="28"/>
        </w:rPr>
        <w:t>予以處罰。</w:t>
      </w:r>
      <w:r w:rsidRPr="005E758A">
        <w:rPr>
          <w:color w:val="000000"/>
          <w:sz w:val="28"/>
          <w:szCs w:val="28"/>
        </w:rPr>
        <w:t>2014</w:t>
      </w:r>
      <w:r w:rsidRPr="005E758A">
        <w:rPr>
          <w:color w:val="000000"/>
          <w:sz w:val="28"/>
          <w:szCs w:val="28"/>
        </w:rPr>
        <w:t>年</w:t>
      </w:r>
      <w:r w:rsidRPr="005E758A">
        <w:rPr>
          <w:color w:val="000000"/>
          <w:sz w:val="28"/>
          <w:szCs w:val="28"/>
        </w:rPr>
        <w:t>7</w:t>
      </w:r>
      <w:r w:rsidRPr="005E758A">
        <w:rPr>
          <w:color w:val="000000"/>
          <w:sz w:val="28"/>
          <w:szCs w:val="28"/>
        </w:rPr>
        <w:t>月</w:t>
      </w:r>
      <w:r w:rsidRPr="005E758A">
        <w:rPr>
          <w:color w:val="000000"/>
          <w:sz w:val="28"/>
          <w:szCs w:val="28"/>
        </w:rPr>
        <w:t>25</w:t>
      </w:r>
      <w:r w:rsidRPr="005E758A">
        <w:rPr>
          <w:color w:val="000000"/>
          <w:sz w:val="28"/>
          <w:szCs w:val="28"/>
        </w:rPr>
        <w:t>日，日本國會通過修法，將單純持有入罪，</w:t>
      </w:r>
      <w:proofErr w:type="gramStart"/>
      <w:r w:rsidRPr="005E758A">
        <w:rPr>
          <w:color w:val="000000"/>
          <w:sz w:val="28"/>
          <w:szCs w:val="28"/>
        </w:rPr>
        <w:t>終與歐美</w:t>
      </w:r>
      <w:proofErr w:type="gramEnd"/>
      <w:r w:rsidRPr="005E758A">
        <w:rPr>
          <w:color w:val="000000"/>
          <w:sz w:val="28"/>
          <w:szCs w:val="28"/>
        </w:rPr>
        <w:t>立法看齊。</w:t>
      </w:r>
    </w:p>
    <w:p w14:paraId="16D91832" w14:textId="77777777" w:rsidR="0095798C" w:rsidRPr="005E758A" w:rsidRDefault="0095798C" w:rsidP="0095798C">
      <w:pPr>
        <w:pStyle w:val="2"/>
      </w:pPr>
      <w:r w:rsidRPr="005E758A">
        <w:lastRenderedPageBreak/>
        <w:t>綜合分析</w:t>
      </w:r>
    </w:p>
    <w:p w14:paraId="2181FF39" w14:textId="77777777" w:rsidR="0095798C" w:rsidRPr="005E758A" w:rsidRDefault="0095798C" w:rsidP="0095798C">
      <w:pPr>
        <w:snapToGrid w:val="0"/>
        <w:spacing w:before="100" w:beforeAutospacing="1" w:after="100" w:afterAutospacing="1" w:line="0" w:lineRule="atLeast"/>
        <w:ind w:firstLineChars="200" w:firstLine="560"/>
        <w:jc w:val="both"/>
        <w:rPr>
          <w:sz w:val="28"/>
          <w:szCs w:val="28"/>
        </w:rPr>
      </w:pPr>
      <w:proofErr w:type="gramStart"/>
      <w:r w:rsidRPr="005E758A">
        <w:rPr>
          <w:sz w:val="28"/>
          <w:szCs w:val="28"/>
        </w:rPr>
        <w:t>兒少性剝削</w:t>
      </w:r>
      <w:proofErr w:type="gramEnd"/>
      <w:r w:rsidRPr="005E758A">
        <w:rPr>
          <w:sz w:val="28"/>
          <w:szCs w:val="28"/>
        </w:rPr>
        <w:t>在</w:t>
      </w:r>
      <w:proofErr w:type="gramStart"/>
      <w:r w:rsidRPr="005E758A">
        <w:rPr>
          <w:sz w:val="28"/>
          <w:szCs w:val="28"/>
        </w:rPr>
        <w:t>1990</w:t>
      </w:r>
      <w:proofErr w:type="gramEnd"/>
      <w:r w:rsidRPr="005E758A">
        <w:rPr>
          <w:sz w:val="28"/>
          <w:szCs w:val="28"/>
        </w:rPr>
        <w:t>年代伊始，隨著蘇維埃集團國家的崩解及網路的風行，快速地惡化，成為新的國際犯罪重大議題。本條規定與</w:t>
      </w:r>
      <w:r w:rsidRPr="005E758A">
        <w:rPr>
          <w:sz w:val="28"/>
          <w:szCs w:val="28"/>
        </w:rPr>
        <w:t>2000</w:t>
      </w:r>
      <w:r w:rsidRPr="005E758A">
        <w:rPr>
          <w:sz w:val="28"/>
          <w:szCs w:val="28"/>
        </w:rPr>
        <w:t>年的任擇議定書雖然提供了各國防制的國際法依據，但具體的落實，仍然有賴各國的立法及執法。就此，歐美國家的實踐遠較開發中國家為快。在台灣，</w:t>
      </w:r>
      <w:r w:rsidRPr="005E758A">
        <w:rPr>
          <w:sz w:val="28"/>
          <w:szCs w:val="28"/>
        </w:rPr>
        <w:t>1995</w:t>
      </w:r>
      <w:r w:rsidRPr="005E758A">
        <w:rPr>
          <w:sz w:val="28"/>
          <w:szCs w:val="28"/>
        </w:rPr>
        <w:t>年的兒童及少年性交易條例第</w:t>
      </w:r>
      <w:r w:rsidRPr="005E758A">
        <w:rPr>
          <w:sz w:val="28"/>
          <w:szCs w:val="28"/>
        </w:rPr>
        <w:t>22</w:t>
      </w:r>
      <w:r w:rsidRPr="005E758A">
        <w:rPr>
          <w:sz w:val="28"/>
          <w:szCs w:val="28"/>
        </w:rPr>
        <w:t>條至第</w:t>
      </w:r>
      <w:r w:rsidRPr="005E758A">
        <w:rPr>
          <w:sz w:val="28"/>
          <w:szCs w:val="28"/>
        </w:rPr>
        <w:t>31</w:t>
      </w:r>
      <w:r w:rsidRPr="005E758A">
        <w:rPr>
          <w:sz w:val="28"/>
          <w:szCs w:val="28"/>
        </w:rPr>
        <w:t>條為</w:t>
      </w:r>
      <w:proofErr w:type="gramStart"/>
      <w:r w:rsidRPr="005E758A">
        <w:rPr>
          <w:sz w:val="28"/>
          <w:szCs w:val="28"/>
        </w:rPr>
        <w:t>關於對兒少</w:t>
      </w:r>
      <w:proofErr w:type="gramEnd"/>
      <w:r w:rsidRPr="005E758A">
        <w:rPr>
          <w:sz w:val="28"/>
          <w:szCs w:val="28"/>
        </w:rPr>
        <w:t>從事違法性行為之處罰，大致對本條的</w:t>
      </w:r>
      <w:r w:rsidRPr="005E758A">
        <w:rPr>
          <w:sz w:val="28"/>
          <w:szCs w:val="28"/>
        </w:rPr>
        <w:t>3</w:t>
      </w:r>
      <w:r w:rsidRPr="005E758A">
        <w:rPr>
          <w:sz w:val="28"/>
          <w:szCs w:val="28"/>
        </w:rPr>
        <w:t>款性剝削態樣，有所規範。其中第</w:t>
      </w:r>
      <w:r w:rsidRPr="005E758A">
        <w:rPr>
          <w:sz w:val="28"/>
          <w:szCs w:val="28"/>
        </w:rPr>
        <w:t>27</w:t>
      </w:r>
      <w:r w:rsidRPr="005E758A">
        <w:rPr>
          <w:sz w:val="28"/>
          <w:szCs w:val="28"/>
        </w:rPr>
        <w:t>條及第</w:t>
      </w:r>
      <w:r w:rsidRPr="005E758A">
        <w:rPr>
          <w:sz w:val="28"/>
          <w:szCs w:val="28"/>
        </w:rPr>
        <w:t>28</w:t>
      </w:r>
      <w:r w:rsidRPr="005E758A">
        <w:rPr>
          <w:sz w:val="28"/>
          <w:szCs w:val="28"/>
        </w:rPr>
        <w:t>條為兒童色情處罰規定，</w:t>
      </w:r>
      <w:proofErr w:type="gramStart"/>
      <w:r w:rsidRPr="005E758A">
        <w:rPr>
          <w:sz w:val="28"/>
          <w:szCs w:val="28"/>
        </w:rPr>
        <w:t>較諸日</w:t>
      </w:r>
      <w:proofErr w:type="gramEnd"/>
      <w:r w:rsidRPr="005E758A">
        <w:rPr>
          <w:sz w:val="28"/>
          <w:szCs w:val="28"/>
        </w:rPr>
        <w:t>、韓等國同時期立法，已屬進步。兒童及少年性交易防制條例於</w:t>
      </w:r>
      <w:smartTag w:uri="urn:schemas-microsoft-com:office:smarttags" w:element="chsdate">
        <w:smartTagPr>
          <w:attr w:name="IsROCDate" w:val="False"/>
          <w:attr w:name="IsLunarDate" w:val="False"/>
          <w:attr w:name="Day" w:val="23"/>
          <w:attr w:name="Month" w:val="1"/>
          <w:attr w:name="Year" w:val="2015"/>
        </w:smartTagPr>
        <w:r w:rsidRPr="005E758A">
          <w:rPr>
            <w:sz w:val="28"/>
            <w:szCs w:val="28"/>
          </w:rPr>
          <w:t>2015</w:t>
        </w:r>
        <w:r w:rsidRPr="005E758A">
          <w:rPr>
            <w:sz w:val="28"/>
            <w:szCs w:val="28"/>
          </w:rPr>
          <w:t>年</w:t>
        </w:r>
        <w:r w:rsidRPr="005E758A">
          <w:rPr>
            <w:sz w:val="28"/>
            <w:szCs w:val="28"/>
          </w:rPr>
          <w:t>1</w:t>
        </w:r>
        <w:r w:rsidRPr="005E758A">
          <w:rPr>
            <w:sz w:val="28"/>
            <w:szCs w:val="28"/>
          </w:rPr>
          <w:t>月</w:t>
        </w:r>
        <w:r w:rsidRPr="005E758A">
          <w:rPr>
            <w:sz w:val="28"/>
            <w:szCs w:val="28"/>
          </w:rPr>
          <w:t>23</w:t>
        </w:r>
        <w:r w:rsidRPr="005E758A">
          <w:rPr>
            <w:sz w:val="28"/>
            <w:szCs w:val="28"/>
          </w:rPr>
          <w:t>日</w:t>
        </w:r>
      </w:smartTag>
      <w:r w:rsidRPr="005E758A">
        <w:rPr>
          <w:sz w:val="28"/>
          <w:szCs w:val="28"/>
        </w:rPr>
        <w:t>經立法院修正為兒童及少年性剝削條例後，無論法律名稱或內容皆有長足進步，更加貼近本條及任擇議定書的本旨。</w:t>
      </w:r>
    </w:p>
    <w:p w14:paraId="1328E502" w14:textId="77777777" w:rsidR="0095798C" w:rsidRPr="005E758A" w:rsidRDefault="0095798C" w:rsidP="0095798C">
      <w:pPr>
        <w:pStyle w:val="2"/>
      </w:pPr>
      <w:r w:rsidRPr="005E758A">
        <w:t>參考資料</w:t>
      </w:r>
    </w:p>
    <w:p w14:paraId="22E63327" w14:textId="77777777" w:rsidR="0095798C" w:rsidRPr="005E758A" w:rsidRDefault="0095798C" w:rsidP="007119F4">
      <w:pPr>
        <w:pStyle w:val="a0"/>
        <w:numPr>
          <w:ilvl w:val="0"/>
          <w:numId w:val="67"/>
        </w:numPr>
        <w:snapToGrid w:val="0"/>
        <w:spacing w:before="100" w:beforeAutospacing="1" w:after="100" w:afterAutospacing="1"/>
        <w:ind w:leftChars="0"/>
        <w:jc w:val="both"/>
        <w:rPr>
          <w:rFonts w:ascii="Times New Roman" w:eastAsia="標楷體" w:hAnsi="Times New Roman"/>
          <w:sz w:val="28"/>
          <w:szCs w:val="28"/>
        </w:rPr>
      </w:pPr>
      <w:r w:rsidRPr="005E758A">
        <w:rPr>
          <w:rFonts w:ascii="Times New Roman" w:eastAsia="標楷體" w:hAnsi="Times New Roman"/>
          <w:sz w:val="28"/>
          <w:szCs w:val="28"/>
        </w:rPr>
        <w:t xml:space="preserve">Bernard Y. Kao, </w:t>
      </w:r>
      <w:r w:rsidRPr="005E758A">
        <w:rPr>
          <w:rFonts w:ascii="Times New Roman" w:eastAsia="標楷體" w:hAnsi="Times New Roman"/>
          <w:i/>
          <w:sz w:val="28"/>
          <w:szCs w:val="28"/>
        </w:rPr>
        <w:t>Child Pornography and Law in East Asia</w:t>
      </w:r>
      <w:r w:rsidRPr="005E758A">
        <w:rPr>
          <w:rFonts w:ascii="Times New Roman" w:eastAsia="標楷體" w:hAnsi="Times New Roman"/>
          <w:sz w:val="28"/>
          <w:szCs w:val="28"/>
        </w:rPr>
        <w:t xml:space="preserve">, in </w:t>
      </w:r>
      <w:r w:rsidRPr="005E758A">
        <w:rPr>
          <w:rFonts w:ascii="Times New Roman" w:eastAsia="標楷體" w:hAnsi="Times New Roman"/>
          <w:smallCaps/>
          <w:sz w:val="28"/>
          <w:szCs w:val="28"/>
        </w:rPr>
        <w:t>Understanding and Preventing Online Sexual Exploitation of Children</w:t>
      </w:r>
      <w:r w:rsidRPr="005E758A">
        <w:rPr>
          <w:rFonts w:ascii="Times New Roman" w:eastAsia="標楷體" w:hAnsi="Times New Roman"/>
          <w:sz w:val="28"/>
          <w:szCs w:val="28"/>
        </w:rPr>
        <w:t xml:space="preserve"> 79 (2013).</w:t>
      </w:r>
    </w:p>
    <w:p w14:paraId="74452632" w14:textId="77777777" w:rsidR="0095798C" w:rsidRPr="005E758A" w:rsidRDefault="0095798C" w:rsidP="007119F4">
      <w:pPr>
        <w:pStyle w:val="a0"/>
        <w:numPr>
          <w:ilvl w:val="0"/>
          <w:numId w:val="67"/>
        </w:numPr>
        <w:snapToGrid w:val="0"/>
        <w:spacing w:before="100" w:beforeAutospacing="1" w:after="100" w:afterAutospacing="1"/>
        <w:ind w:leftChars="0"/>
        <w:jc w:val="both"/>
        <w:rPr>
          <w:rFonts w:ascii="Times New Roman" w:eastAsia="標楷體" w:hAnsi="Times New Roman"/>
          <w:sz w:val="28"/>
          <w:szCs w:val="28"/>
        </w:rPr>
      </w:pPr>
      <w:proofErr w:type="spellStart"/>
      <w:r w:rsidRPr="005E758A">
        <w:rPr>
          <w:rFonts w:ascii="Times New Roman" w:eastAsia="標楷體" w:hAnsi="Times New Roman"/>
          <w:smallCaps/>
          <w:sz w:val="28"/>
          <w:szCs w:val="28"/>
        </w:rPr>
        <w:t>Vitit</w:t>
      </w:r>
      <w:proofErr w:type="spellEnd"/>
      <w:r w:rsidRPr="005E758A">
        <w:rPr>
          <w:rFonts w:ascii="Times New Roman" w:eastAsia="標楷體" w:hAnsi="Times New Roman"/>
          <w:smallCaps/>
          <w:sz w:val="28"/>
          <w:szCs w:val="28"/>
        </w:rPr>
        <w:t xml:space="preserve"> </w:t>
      </w:r>
      <w:proofErr w:type="spellStart"/>
      <w:r w:rsidRPr="005E758A">
        <w:rPr>
          <w:rFonts w:ascii="Times New Roman" w:eastAsia="標楷體" w:hAnsi="Times New Roman"/>
          <w:smallCaps/>
          <w:sz w:val="28"/>
          <w:szCs w:val="28"/>
        </w:rPr>
        <w:t>Muntarbhorn</w:t>
      </w:r>
      <w:proofErr w:type="spellEnd"/>
      <w:r w:rsidRPr="005E758A">
        <w:rPr>
          <w:rFonts w:ascii="Times New Roman" w:eastAsia="標楷體" w:hAnsi="Times New Roman"/>
          <w:smallCaps/>
          <w:sz w:val="28"/>
          <w:szCs w:val="28"/>
        </w:rPr>
        <w:t>, A Commentary on the United Nations Convention on the Rights of the Child: Article 34</w:t>
      </w:r>
      <w:r w:rsidR="003456FC" w:rsidRPr="005E758A">
        <w:rPr>
          <w:rFonts w:ascii="Times New Roman" w:eastAsia="標楷體" w:hAnsi="Times New Roman"/>
          <w:smallCaps/>
          <w:sz w:val="28"/>
          <w:szCs w:val="28"/>
        </w:rPr>
        <w:t>.</w:t>
      </w:r>
      <w:r w:rsidRPr="005E758A">
        <w:rPr>
          <w:rFonts w:ascii="Times New Roman" w:eastAsia="標楷體" w:hAnsi="Times New Roman"/>
          <w:smallCaps/>
          <w:sz w:val="28"/>
          <w:szCs w:val="28"/>
        </w:rPr>
        <w:t xml:space="preserve"> Sexual Exploitation and Sexual Abuse of Children </w:t>
      </w:r>
      <w:r w:rsidRPr="005E758A">
        <w:rPr>
          <w:rFonts w:ascii="Times New Roman" w:eastAsia="標楷體" w:hAnsi="Times New Roman"/>
          <w:sz w:val="28"/>
          <w:szCs w:val="28"/>
        </w:rPr>
        <w:t>(2007).</w:t>
      </w:r>
    </w:p>
    <w:p w14:paraId="1BD753DD" w14:textId="77777777" w:rsidR="0095798C" w:rsidRPr="005E758A" w:rsidRDefault="0095798C" w:rsidP="007119F4">
      <w:pPr>
        <w:pStyle w:val="a0"/>
        <w:numPr>
          <w:ilvl w:val="0"/>
          <w:numId w:val="67"/>
        </w:numPr>
        <w:snapToGrid w:val="0"/>
        <w:spacing w:before="100" w:beforeAutospacing="1" w:after="100" w:afterAutospacing="1"/>
        <w:ind w:leftChars="0"/>
        <w:jc w:val="both"/>
        <w:rPr>
          <w:rFonts w:ascii="Times New Roman" w:eastAsia="標楷體" w:hAnsi="Times New Roman"/>
          <w:sz w:val="28"/>
          <w:szCs w:val="28"/>
        </w:rPr>
        <w:sectPr w:rsidR="0095798C" w:rsidRPr="005E758A" w:rsidSect="00135FC9">
          <w:footnotePr>
            <w:numRestart w:val="eachSect"/>
          </w:footnotePr>
          <w:endnotePr>
            <w:numFmt w:val="decimal"/>
            <w:numRestart w:val="eachSect"/>
          </w:endnotePr>
          <w:pgSz w:w="11906" w:h="16838"/>
          <w:pgMar w:top="1440" w:right="1797" w:bottom="1440" w:left="1797" w:header="851" w:footer="992" w:gutter="0"/>
          <w:cols w:space="425"/>
          <w:docGrid w:linePitch="360"/>
        </w:sectPr>
      </w:pPr>
      <w:r w:rsidRPr="005E758A">
        <w:rPr>
          <w:rFonts w:ascii="Times New Roman" w:eastAsia="標楷體" w:hAnsi="Times New Roman"/>
          <w:sz w:val="28"/>
          <w:szCs w:val="28"/>
        </w:rPr>
        <w:t>ECPAT International, World Congress against the Commercial Sexual Exploitation of Children, http://www.ecpat.net/world-congress-against-commercial-sexual-exploitation-children.</w:t>
      </w:r>
    </w:p>
    <w:p w14:paraId="2EB8F6F7" w14:textId="77777777" w:rsidR="00170406" w:rsidRDefault="00170406" w:rsidP="00170406">
      <w:pPr>
        <w:pStyle w:val="1"/>
        <w:rPr>
          <w:sz w:val="28"/>
        </w:rPr>
      </w:pPr>
      <w:bookmarkStart w:id="99" w:name="_Toc431072751"/>
      <w:r w:rsidRPr="005E758A">
        <w:lastRenderedPageBreak/>
        <w:t>第</w:t>
      </w:r>
      <w:r w:rsidRPr="005E758A">
        <w:t>35</w:t>
      </w:r>
      <w:r w:rsidRPr="005E758A">
        <w:t>條</w:t>
      </w:r>
      <w:r>
        <w:rPr>
          <w:rFonts w:hint="eastAsia"/>
        </w:rPr>
        <w:t xml:space="preserve">　</w:t>
      </w:r>
      <w:r w:rsidRPr="00170406">
        <w:rPr>
          <w:rFonts w:hint="eastAsia"/>
        </w:rPr>
        <w:t>誘拐、買賣或販運</w:t>
      </w:r>
      <w:bookmarkEnd w:id="99"/>
    </w:p>
    <w:tbl>
      <w:tblPr>
        <w:tblW w:w="82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8220"/>
      </w:tblGrid>
      <w:tr w:rsidR="00170406" w:rsidRPr="005E758A" w14:paraId="269AE79B" w14:textId="77777777" w:rsidTr="00170406">
        <w:trPr>
          <w:jc w:val="center"/>
        </w:trPr>
        <w:tc>
          <w:tcPr>
            <w:tcW w:w="8220" w:type="dxa"/>
          </w:tcPr>
          <w:p w14:paraId="08E7259F" w14:textId="77777777" w:rsidR="00170406" w:rsidRPr="005E758A" w:rsidRDefault="00170406" w:rsidP="002B035C">
            <w:pPr>
              <w:snapToGrid w:val="0"/>
              <w:spacing w:before="100" w:beforeAutospacing="1" w:after="100" w:afterAutospacing="1"/>
              <w:jc w:val="both"/>
              <w:rPr>
                <w:i/>
                <w:sz w:val="28"/>
                <w:szCs w:val="28"/>
              </w:rPr>
            </w:pPr>
            <w:r w:rsidRPr="005E758A">
              <w:rPr>
                <w:kern w:val="0"/>
                <w:sz w:val="28"/>
                <w:szCs w:val="28"/>
              </w:rPr>
              <w:t>締約國應採取所有適當之國內、雙邊與多邊措施，以防止兒童受到任何目的或以任何形式之誘拐、買賣或販運。</w:t>
            </w:r>
          </w:p>
        </w:tc>
      </w:tr>
    </w:tbl>
    <w:p w14:paraId="1FB3EA8B" w14:textId="77777777" w:rsidR="00170406" w:rsidRPr="00170406" w:rsidRDefault="00170406" w:rsidP="00170406">
      <w:pPr>
        <w:snapToGrid w:val="0"/>
        <w:spacing w:before="100" w:beforeAutospacing="1" w:after="100" w:afterAutospacing="1"/>
        <w:jc w:val="both"/>
        <w:rPr>
          <w:sz w:val="28"/>
        </w:rPr>
      </w:pPr>
    </w:p>
    <w:p w14:paraId="5439AA0A" w14:textId="77777777" w:rsidR="009F66C9" w:rsidRPr="005E758A" w:rsidRDefault="009F66C9" w:rsidP="009F66C9">
      <w:pPr>
        <w:pStyle w:val="2"/>
        <w:numPr>
          <w:ilvl w:val="0"/>
          <w:numId w:val="199"/>
        </w:numPr>
      </w:pPr>
      <w:r w:rsidRPr="005E758A">
        <w:t>規範宗旨</w:t>
      </w:r>
    </w:p>
    <w:p w14:paraId="433D2FC7" w14:textId="77777777" w:rsidR="009F66C9" w:rsidRPr="005E758A" w:rsidRDefault="009F66C9" w:rsidP="009F66C9">
      <w:pPr>
        <w:snapToGrid w:val="0"/>
        <w:spacing w:before="100" w:beforeAutospacing="1" w:after="100" w:afterAutospacing="1"/>
        <w:ind w:firstLineChars="200" w:firstLine="560"/>
        <w:jc w:val="both"/>
        <w:rPr>
          <w:sz w:val="28"/>
          <w:szCs w:val="28"/>
        </w:rPr>
      </w:pPr>
      <w:r w:rsidRPr="005E758A">
        <w:rPr>
          <w:kern w:val="0"/>
          <w:sz w:val="28"/>
          <w:szCs w:val="28"/>
        </w:rPr>
        <w:t>公約中有數條與防止兒童遭受誘拐、買賣或販運相關之規範：第</w:t>
      </w:r>
      <w:r w:rsidRPr="005E758A">
        <w:rPr>
          <w:kern w:val="0"/>
          <w:sz w:val="28"/>
          <w:szCs w:val="28"/>
        </w:rPr>
        <w:t>11</w:t>
      </w:r>
      <w:r w:rsidRPr="005E758A">
        <w:rPr>
          <w:kern w:val="0"/>
          <w:sz w:val="28"/>
          <w:szCs w:val="28"/>
        </w:rPr>
        <w:t>條（禁止非法移送兒童或令其無法回國）、第</w:t>
      </w:r>
      <w:r w:rsidRPr="005E758A">
        <w:rPr>
          <w:kern w:val="0"/>
          <w:sz w:val="28"/>
          <w:szCs w:val="28"/>
        </w:rPr>
        <w:t>21</w:t>
      </w:r>
      <w:r w:rsidRPr="005E758A">
        <w:rPr>
          <w:kern w:val="0"/>
          <w:sz w:val="28"/>
          <w:szCs w:val="28"/>
        </w:rPr>
        <w:t>條（禁止</w:t>
      </w:r>
      <w:r w:rsidRPr="005E758A">
        <w:rPr>
          <w:sz w:val="28"/>
          <w:szCs w:val="28"/>
        </w:rPr>
        <w:t>涉及收養人士獲得不正當的財務上收益</w:t>
      </w:r>
      <w:r w:rsidRPr="005E758A">
        <w:rPr>
          <w:kern w:val="0"/>
          <w:sz w:val="28"/>
          <w:szCs w:val="28"/>
        </w:rPr>
        <w:t>）、第</w:t>
      </w:r>
      <w:r w:rsidRPr="005E758A">
        <w:rPr>
          <w:kern w:val="0"/>
          <w:sz w:val="28"/>
          <w:szCs w:val="28"/>
        </w:rPr>
        <w:t>32</w:t>
      </w:r>
      <w:r w:rsidRPr="005E758A">
        <w:rPr>
          <w:kern w:val="0"/>
          <w:sz w:val="28"/>
          <w:szCs w:val="28"/>
        </w:rPr>
        <w:t>條（兒童免受經濟剝削之權利）、第</w:t>
      </w:r>
      <w:r w:rsidRPr="005E758A">
        <w:rPr>
          <w:kern w:val="0"/>
          <w:sz w:val="28"/>
          <w:szCs w:val="28"/>
        </w:rPr>
        <w:t>33</w:t>
      </w:r>
      <w:r w:rsidRPr="005E758A">
        <w:rPr>
          <w:kern w:val="0"/>
          <w:sz w:val="28"/>
          <w:szCs w:val="28"/>
        </w:rPr>
        <w:t>條（防止利用兒童從事販運麻醉藥品及精神藥物）、第</w:t>
      </w:r>
      <w:r w:rsidRPr="005E758A">
        <w:rPr>
          <w:kern w:val="0"/>
          <w:sz w:val="28"/>
          <w:szCs w:val="28"/>
        </w:rPr>
        <w:t>34</w:t>
      </w:r>
      <w:r w:rsidRPr="005E758A">
        <w:rPr>
          <w:kern w:val="0"/>
          <w:sz w:val="28"/>
          <w:szCs w:val="28"/>
        </w:rPr>
        <w:t>條（</w:t>
      </w:r>
      <w:r w:rsidRPr="005E758A">
        <w:rPr>
          <w:sz w:val="28"/>
          <w:szCs w:val="28"/>
        </w:rPr>
        <w:t>兒童</w:t>
      </w:r>
      <w:r w:rsidRPr="005E758A">
        <w:rPr>
          <w:kern w:val="0"/>
          <w:sz w:val="28"/>
          <w:szCs w:val="28"/>
        </w:rPr>
        <w:t>免受</w:t>
      </w:r>
      <w:r w:rsidRPr="005E758A">
        <w:rPr>
          <w:sz w:val="28"/>
          <w:szCs w:val="28"/>
        </w:rPr>
        <w:t>性剝削</w:t>
      </w:r>
      <w:r w:rsidRPr="005E758A">
        <w:rPr>
          <w:kern w:val="0"/>
          <w:sz w:val="28"/>
          <w:szCs w:val="28"/>
        </w:rPr>
        <w:t>權利）及第</w:t>
      </w:r>
      <w:r w:rsidRPr="005E758A">
        <w:rPr>
          <w:kern w:val="0"/>
          <w:sz w:val="28"/>
          <w:szCs w:val="28"/>
        </w:rPr>
        <w:t>36</w:t>
      </w:r>
      <w:r w:rsidRPr="005E758A">
        <w:rPr>
          <w:kern w:val="0"/>
          <w:sz w:val="28"/>
          <w:szCs w:val="28"/>
        </w:rPr>
        <w:t>條（兒童免於遭受任何其他形式剝削之權利），而為了確保上開條文無法保護兒童</w:t>
      </w:r>
      <w:r w:rsidRPr="005E758A">
        <w:rPr>
          <w:sz w:val="28"/>
        </w:rPr>
        <w:t>免於所有形式之</w:t>
      </w:r>
      <w:r w:rsidRPr="005E758A">
        <w:rPr>
          <w:kern w:val="0"/>
          <w:sz w:val="28"/>
          <w:szCs w:val="28"/>
        </w:rPr>
        <w:t>誘拐、買賣或販運，故訂定</w:t>
      </w:r>
      <w:r w:rsidRPr="005E758A">
        <w:rPr>
          <w:sz w:val="28"/>
        </w:rPr>
        <w:t>本條之</w:t>
      </w:r>
      <w:r w:rsidRPr="005E758A">
        <w:rPr>
          <w:kern w:val="0"/>
          <w:sz w:val="28"/>
          <w:szCs w:val="28"/>
        </w:rPr>
        <w:t>概括規定</w:t>
      </w:r>
      <w:r w:rsidRPr="005E758A">
        <w:rPr>
          <w:rStyle w:val="af3"/>
          <w:sz w:val="28"/>
          <w:szCs w:val="28"/>
        </w:rPr>
        <w:endnoteReference w:id="473"/>
      </w:r>
      <w:r w:rsidRPr="005E758A">
        <w:rPr>
          <w:kern w:val="0"/>
          <w:sz w:val="28"/>
          <w:szCs w:val="28"/>
        </w:rPr>
        <w:t>。</w:t>
      </w:r>
    </w:p>
    <w:p w14:paraId="1D5EBF96" w14:textId="77777777" w:rsidR="009F66C9" w:rsidRPr="005E758A" w:rsidRDefault="009F66C9" w:rsidP="009F66C9">
      <w:pPr>
        <w:pStyle w:val="2"/>
      </w:pPr>
      <w:r w:rsidRPr="005E758A">
        <w:t>條文要義</w:t>
      </w:r>
    </w:p>
    <w:p w14:paraId="56E88C3F" w14:textId="77777777" w:rsidR="009F66C9" w:rsidRPr="005E758A" w:rsidRDefault="009F66C9" w:rsidP="009F66C9">
      <w:pPr>
        <w:snapToGrid w:val="0"/>
        <w:spacing w:before="100" w:beforeAutospacing="1" w:after="100" w:afterAutospacing="1"/>
        <w:ind w:firstLineChars="200" w:firstLine="560"/>
        <w:jc w:val="both"/>
        <w:rPr>
          <w:sz w:val="28"/>
          <w:szCs w:val="28"/>
        </w:rPr>
      </w:pPr>
      <w:r w:rsidRPr="005E758A">
        <w:rPr>
          <w:sz w:val="28"/>
          <w:szCs w:val="28"/>
        </w:rPr>
        <w:t>就誘拐而言，兒童權利委員會經常對於締約國境內受誘拐兒童數量的問題表達擔憂</w:t>
      </w:r>
      <w:r w:rsidRPr="005E758A">
        <w:rPr>
          <w:rStyle w:val="af3"/>
          <w:sz w:val="28"/>
          <w:szCs w:val="28"/>
        </w:rPr>
        <w:endnoteReference w:id="474"/>
      </w:r>
      <w:r w:rsidRPr="005E758A">
        <w:rPr>
          <w:sz w:val="28"/>
          <w:szCs w:val="28"/>
        </w:rPr>
        <w:t>，尤其若有國家共謀的情形時，委員會即強調調查的重要性</w:t>
      </w:r>
      <w:r w:rsidRPr="005E758A">
        <w:rPr>
          <w:rStyle w:val="af3"/>
          <w:sz w:val="28"/>
          <w:szCs w:val="28"/>
        </w:rPr>
        <w:endnoteReference w:id="475"/>
      </w:r>
      <w:r w:rsidRPr="005E758A">
        <w:rPr>
          <w:sz w:val="28"/>
          <w:szCs w:val="28"/>
        </w:rPr>
        <w:t>。就買賣或販運兒童而言，兒童權利委員會認為其目的包括：童工、收養、性剝削及武裝衝突等</w:t>
      </w:r>
      <w:r w:rsidRPr="005E758A">
        <w:rPr>
          <w:rStyle w:val="af3"/>
          <w:sz w:val="28"/>
          <w:szCs w:val="28"/>
        </w:rPr>
        <w:endnoteReference w:id="476"/>
      </w:r>
      <w:r w:rsidRPr="005E758A">
        <w:rPr>
          <w:sz w:val="28"/>
          <w:szCs w:val="28"/>
        </w:rPr>
        <w:t>。而這些目的分別與公約第</w:t>
      </w:r>
      <w:r w:rsidRPr="005E758A">
        <w:rPr>
          <w:sz w:val="28"/>
          <w:szCs w:val="28"/>
        </w:rPr>
        <w:t>32</w:t>
      </w:r>
      <w:r w:rsidRPr="005E758A">
        <w:rPr>
          <w:sz w:val="28"/>
          <w:szCs w:val="28"/>
        </w:rPr>
        <w:t>條、第</w:t>
      </w:r>
      <w:r w:rsidRPr="005E758A">
        <w:rPr>
          <w:sz w:val="28"/>
          <w:szCs w:val="28"/>
        </w:rPr>
        <w:t>21</w:t>
      </w:r>
      <w:r w:rsidRPr="005E758A">
        <w:rPr>
          <w:sz w:val="28"/>
          <w:szCs w:val="28"/>
        </w:rPr>
        <w:t>條、第</w:t>
      </w:r>
      <w:r w:rsidRPr="005E758A">
        <w:rPr>
          <w:sz w:val="28"/>
          <w:szCs w:val="28"/>
        </w:rPr>
        <w:t>34</w:t>
      </w:r>
      <w:r w:rsidRPr="005E758A">
        <w:rPr>
          <w:sz w:val="28"/>
          <w:szCs w:val="28"/>
        </w:rPr>
        <w:t>條及第</w:t>
      </w:r>
      <w:r w:rsidRPr="005E758A">
        <w:rPr>
          <w:sz w:val="28"/>
          <w:szCs w:val="28"/>
        </w:rPr>
        <w:t>38</w:t>
      </w:r>
      <w:r w:rsidRPr="005E758A">
        <w:rPr>
          <w:sz w:val="28"/>
          <w:szCs w:val="28"/>
        </w:rPr>
        <w:t>條相關。另外一項可能不受上述條文規範的類型為兒童器官買賣，兒童權利委員會仍未就此問題做出解釋，但可參考世界衛生組織</w:t>
      </w:r>
      <w:r w:rsidRPr="005E758A">
        <w:rPr>
          <w:sz w:val="28"/>
          <w:szCs w:val="28"/>
        </w:rPr>
        <w:t>2010</w:t>
      </w:r>
      <w:r w:rsidRPr="005E758A">
        <w:rPr>
          <w:sz w:val="28"/>
          <w:szCs w:val="28"/>
        </w:rPr>
        <w:t>年頒布之人體細胞、組織和器官移植指導原則</w:t>
      </w:r>
      <w:r w:rsidRPr="005E758A">
        <w:rPr>
          <w:sz w:val="28"/>
          <w:szCs w:val="28"/>
        </w:rPr>
        <w:t>(Guiding Principles on Human Cell, Tissue and Organ Transplantation)</w:t>
      </w:r>
      <w:r w:rsidRPr="005E758A">
        <w:rPr>
          <w:sz w:val="28"/>
          <w:szCs w:val="28"/>
        </w:rPr>
        <w:t>，其中第</w:t>
      </w:r>
      <w:r w:rsidRPr="005E758A">
        <w:rPr>
          <w:sz w:val="28"/>
          <w:szCs w:val="28"/>
        </w:rPr>
        <w:t>4</w:t>
      </w:r>
      <w:r w:rsidRPr="005E758A">
        <w:rPr>
          <w:sz w:val="28"/>
          <w:szCs w:val="28"/>
        </w:rPr>
        <w:t>項規定：「除了在國家法律允許範圍內的少變通例外情況，不可出於移植目的從未成年活人身上摘取任何細胞、組織或器官」</w:t>
      </w:r>
      <w:r w:rsidRPr="005E758A">
        <w:rPr>
          <w:rStyle w:val="af3"/>
          <w:sz w:val="28"/>
          <w:szCs w:val="28"/>
        </w:rPr>
        <w:endnoteReference w:id="477"/>
      </w:r>
      <w:r w:rsidRPr="005E758A">
        <w:rPr>
          <w:sz w:val="28"/>
          <w:szCs w:val="28"/>
        </w:rPr>
        <w:t>。</w:t>
      </w:r>
    </w:p>
    <w:p w14:paraId="325933EA" w14:textId="77777777" w:rsidR="009F66C9" w:rsidRPr="005E758A" w:rsidRDefault="009F66C9" w:rsidP="009F66C9">
      <w:pPr>
        <w:snapToGrid w:val="0"/>
        <w:spacing w:before="100" w:beforeAutospacing="1" w:after="100" w:afterAutospacing="1"/>
        <w:ind w:firstLineChars="200" w:firstLine="560"/>
        <w:jc w:val="both"/>
        <w:rPr>
          <w:sz w:val="28"/>
          <w:szCs w:val="28"/>
        </w:rPr>
      </w:pPr>
      <w:r w:rsidRPr="005E758A">
        <w:rPr>
          <w:sz w:val="28"/>
          <w:szCs w:val="28"/>
        </w:rPr>
        <w:t>各締約國為</w:t>
      </w:r>
      <w:r w:rsidRPr="005E758A">
        <w:rPr>
          <w:kern w:val="0"/>
          <w:sz w:val="28"/>
          <w:szCs w:val="28"/>
        </w:rPr>
        <w:t>防止兒童受到誘拐、買賣或販運所</w:t>
      </w:r>
      <w:r w:rsidRPr="005E758A">
        <w:rPr>
          <w:sz w:val="28"/>
          <w:szCs w:val="28"/>
        </w:rPr>
        <w:t>應採取之適當措施依各國情況而定，兒童權利委員會也曾在審議國家報告時針對個別國家提出特定的建議。舉例而言，委員會在對貝南共和國國家報告作出之結論性意見中建議國家採取以下措施</w:t>
      </w:r>
      <w:r w:rsidRPr="005E758A">
        <w:rPr>
          <w:rStyle w:val="af3"/>
          <w:sz w:val="28"/>
          <w:szCs w:val="28"/>
        </w:rPr>
        <w:endnoteReference w:id="478"/>
      </w:r>
      <w:r w:rsidRPr="005E758A">
        <w:rPr>
          <w:sz w:val="28"/>
          <w:szCs w:val="28"/>
        </w:rPr>
        <w:t>：</w:t>
      </w:r>
    </w:p>
    <w:p w14:paraId="2329687C" w14:textId="77777777" w:rsidR="009F66C9" w:rsidRPr="005E758A" w:rsidRDefault="009F66C9" w:rsidP="009F66C9">
      <w:pPr>
        <w:pStyle w:val="a0"/>
        <w:numPr>
          <w:ilvl w:val="0"/>
          <w:numId w:val="197"/>
        </w:numPr>
        <w:snapToGrid w:val="0"/>
        <w:spacing w:before="100" w:beforeAutospacing="1" w:after="100" w:afterAutospacing="1"/>
        <w:ind w:leftChars="0"/>
        <w:jc w:val="both"/>
        <w:rPr>
          <w:rFonts w:ascii="Times New Roman" w:eastAsia="標楷體" w:hAnsi="Times New Roman"/>
          <w:sz w:val="28"/>
          <w:szCs w:val="28"/>
        </w:rPr>
      </w:pPr>
      <w:r w:rsidRPr="005E758A">
        <w:rPr>
          <w:rFonts w:ascii="Times New Roman" w:eastAsia="標楷體" w:hAnsi="Times New Roman"/>
          <w:sz w:val="28"/>
          <w:szCs w:val="28"/>
        </w:rPr>
        <w:t>在中央、部會及地方層級增加兒童保護（包括販運問題）相關之知識、資料蒐集機制以及分析；</w:t>
      </w:r>
    </w:p>
    <w:p w14:paraId="069A13AC" w14:textId="77777777" w:rsidR="009F66C9" w:rsidRPr="005E758A" w:rsidRDefault="009F66C9" w:rsidP="009F66C9">
      <w:pPr>
        <w:pStyle w:val="a0"/>
        <w:numPr>
          <w:ilvl w:val="0"/>
          <w:numId w:val="197"/>
        </w:numPr>
        <w:snapToGrid w:val="0"/>
        <w:spacing w:before="100" w:beforeAutospacing="1" w:after="100" w:afterAutospacing="1"/>
        <w:ind w:leftChars="0"/>
        <w:jc w:val="both"/>
        <w:rPr>
          <w:rFonts w:ascii="Times New Roman" w:eastAsia="標楷體" w:hAnsi="Times New Roman"/>
          <w:sz w:val="28"/>
          <w:szCs w:val="28"/>
        </w:rPr>
      </w:pPr>
      <w:r w:rsidRPr="005E758A">
        <w:rPr>
          <w:rFonts w:ascii="Times New Roman" w:eastAsia="標楷體" w:hAnsi="Times New Roman"/>
          <w:sz w:val="28"/>
          <w:szCs w:val="28"/>
        </w:rPr>
        <w:t>在國家兒童保護政策及策略</w:t>
      </w:r>
      <w:r w:rsidRPr="005E758A">
        <w:rPr>
          <w:rFonts w:ascii="Times New Roman" w:eastAsia="標楷體" w:hAnsi="Times New Roman"/>
          <w:sz w:val="28"/>
          <w:szCs w:val="28"/>
        </w:rPr>
        <w:t>(National Policy and Strategy on Child Protection)</w:t>
      </w:r>
      <w:r w:rsidRPr="005E758A">
        <w:rPr>
          <w:rFonts w:ascii="Times New Roman" w:eastAsia="標楷體" w:hAnsi="Times New Roman"/>
          <w:sz w:val="28"/>
          <w:szCs w:val="28"/>
        </w:rPr>
        <w:t>之框架下發展並執行預防及保護兒童免遭受</w:t>
      </w:r>
      <w:r w:rsidRPr="005E758A">
        <w:rPr>
          <w:rFonts w:ascii="Times New Roman" w:eastAsia="標楷體" w:hAnsi="Times New Roman"/>
          <w:sz w:val="28"/>
          <w:szCs w:val="28"/>
        </w:rPr>
        <w:lastRenderedPageBreak/>
        <w:t>販運的計畫；</w:t>
      </w:r>
    </w:p>
    <w:p w14:paraId="5FF170EB" w14:textId="77777777" w:rsidR="009F66C9" w:rsidRPr="005E758A" w:rsidRDefault="009F66C9" w:rsidP="009F66C9">
      <w:pPr>
        <w:pStyle w:val="a0"/>
        <w:numPr>
          <w:ilvl w:val="0"/>
          <w:numId w:val="197"/>
        </w:numPr>
        <w:snapToGrid w:val="0"/>
        <w:spacing w:before="100" w:beforeAutospacing="1" w:after="100" w:afterAutospacing="1"/>
        <w:ind w:leftChars="0"/>
        <w:jc w:val="both"/>
        <w:rPr>
          <w:rFonts w:ascii="Times New Roman" w:eastAsia="標楷體" w:hAnsi="Times New Roman"/>
          <w:sz w:val="28"/>
          <w:szCs w:val="28"/>
        </w:rPr>
      </w:pPr>
      <w:r w:rsidRPr="005E758A">
        <w:rPr>
          <w:rFonts w:ascii="Times New Roman" w:eastAsia="標楷體" w:hAnsi="Times New Roman"/>
          <w:sz w:val="28"/>
          <w:szCs w:val="28"/>
        </w:rPr>
        <w:t>徹底落實人口販運相關法令，且公布統計資料等相關資訊；</w:t>
      </w:r>
    </w:p>
    <w:p w14:paraId="4C85D37E" w14:textId="77777777" w:rsidR="009F66C9" w:rsidRPr="005E758A" w:rsidRDefault="009F66C9" w:rsidP="009F66C9">
      <w:pPr>
        <w:pStyle w:val="a0"/>
        <w:numPr>
          <w:ilvl w:val="0"/>
          <w:numId w:val="197"/>
        </w:numPr>
        <w:snapToGrid w:val="0"/>
        <w:spacing w:before="100" w:beforeAutospacing="1" w:after="100" w:afterAutospacing="1"/>
        <w:ind w:leftChars="0"/>
        <w:jc w:val="both"/>
        <w:rPr>
          <w:rFonts w:ascii="Times New Roman" w:eastAsia="標楷體" w:hAnsi="Times New Roman"/>
          <w:sz w:val="28"/>
          <w:szCs w:val="28"/>
        </w:rPr>
      </w:pPr>
      <w:r w:rsidRPr="005E758A">
        <w:rPr>
          <w:rFonts w:ascii="Times New Roman" w:eastAsia="標楷體" w:hAnsi="Times New Roman"/>
          <w:sz w:val="28"/>
          <w:szCs w:val="28"/>
        </w:rPr>
        <w:t>加強透過社區機制（例如地方委員會）預防並監控兒童販運和剝削問題，同時採取預防性措施改進邊境和高風險區的生活條件和工作機會，並特別注意弱勢家庭的狀況；</w:t>
      </w:r>
    </w:p>
    <w:p w14:paraId="450F66BC" w14:textId="77777777" w:rsidR="009F66C9" w:rsidRPr="005E758A" w:rsidRDefault="009F66C9" w:rsidP="009F66C9">
      <w:pPr>
        <w:pStyle w:val="a0"/>
        <w:numPr>
          <w:ilvl w:val="0"/>
          <w:numId w:val="197"/>
        </w:numPr>
        <w:snapToGrid w:val="0"/>
        <w:spacing w:before="100" w:beforeAutospacing="1" w:after="100" w:afterAutospacing="1"/>
        <w:ind w:leftChars="0"/>
        <w:jc w:val="both"/>
        <w:rPr>
          <w:rFonts w:ascii="Times New Roman" w:eastAsia="標楷體" w:hAnsi="Times New Roman"/>
          <w:sz w:val="28"/>
          <w:szCs w:val="28"/>
        </w:rPr>
      </w:pPr>
      <w:r w:rsidRPr="005E758A">
        <w:rPr>
          <w:rFonts w:ascii="Times New Roman" w:eastAsia="標楷體" w:hAnsi="Times New Roman"/>
          <w:sz w:val="28"/>
          <w:szCs w:val="28"/>
        </w:rPr>
        <w:t>繼續努力達成打擊販運兒童之跨國合作以及與鄰近國家簽訂並執行相關協定；</w:t>
      </w:r>
    </w:p>
    <w:p w14:paraId="7AE50B97" w14:textId="77777777" w:rsidR="009F66C9" w:rsidRPr="005E758A" w:rsidRDefault="009F66C9" w:rsidP="009F66C9">
      <w:pPr>
        <w:pStyle w:val="a0"/>
        <w:numPr>
          <w:ilvl w:val="0"/>
          <w:numId w:val="197"/>
        </w:numPr>
        <w:snapToGrid w:val="0"/>
        <w:spacing w:before="100" w:beforeAutospacing="1" w:after="100" w:afterAutospacing="1"/>
        <w:ind w:leftChars="0"/>
        <w:jc w:val="both"/>
        <w:rPr>
          <w:rFonts w:ascii="Times New Roman" w:eastAsia="標楷體" w:hAnsi="Times New Roman"/>
          <w:sz w:val="28"/>
          <w:szCs w:val="28"/>
        </w:rPr>
      </w:pPr>
      <w:r w:rsidRPr="005E758A">
        <w:rPr>
          <w:rFonts w:ascii="Times New Roman" w:eastAsia="標楷體" w:hAnsi="Times New Roman"/>
          <w:sz w:val="28"/>
          <w:szCs w:val="28"/>
        </w:rPr>
        <w:t>提供業務相關人員（特別是執法人員以及邊境安全人員）適當且具系統性的訓練；</w:t>
      </w:r>
    </w:p>
    <w:p w14:paraId="3FFAA321" w14:textId="77777777" w:rsidR="009F66C9" w:rsidRPr="005E758A" w:rsidRDefault="009F66C9" w:rsidP="009F66C9">
      <w:pPr>
        <w:pStyle w:val="a0"/>
        <w:numPr>
          <w:ilvl w:val="0"/>
          <w:numId w:val="197"/>
        </w:numPr>
        <w:snapToGrid w:val="0"/>
        <w:spacing w:before="100" w:beforeAutospacing="1" w:after="100" w:afterAutospacing="1"/>
        <w:ind w:leftChars="0"/>
        <w:jc w:val="both"/>
        <w:rPr>
          <w:rFonts w:ascii="Times New Roman" w:eastAsia="標楷體" w:hAnsi="Times New Roman"/>
          <w:sz w:val="28"/>
          <w:szCs w:val="28"/>
        </w:rPr>
      </w:pPr>
      <w:r w:rsidRPr="005E758A">
        <w:rPr>
          <w:rFonts w:ascii="Times New Roman" w:eastAsia="標楷體" w:hAnsi="Times New Roman"/>
          <w:sz w:val="28"/>
          <w:szCs w:val="28"/>
        </w:rPr>
        <w:t>提升兒童、父母及其他照顧兒童之人對兒童販運、性剝削、兒童色情等問題的瞭解，以預防上開問題，並使業務與販運受害兒童相關的人士對相關議題更加敏感；</w:t>
      </w:r>
    </w:p>
    <w:p w14:paraId="0D510BD2" w14:textId="77777777" w:rsidR="009F66C9" w:rsidRPr="005E758A" w:rsidRDefault="009F66C9" w:rsidP="009F66C9">
      <w:pPr>
        <w:pStyle w:val="a0"/>
        <w:numPr>
          <w:ilvl w:val="0"/>
          <w:numId w:val="197"/>
        </w:numPr>
        <w:snapToGrid w:val="0"/>
        <w:spacing w:before="100" w:beforeAutospacing="1" w:after="100" w:afterAutospacing="1"/>
        <w:ind w:leftChars="0"/>
        <w:jc w:val="both"/>
        <w:rPr>
          <w:rFonts w:ascii="Times New Roman" w:eastAsia="標楷體" w:hAnsi="Times New Roman"/>
          <w:sz w:val="28"/>
          <w:szCs w:val="28"/>
        </w:rPr>
      </w:pPr>
      <w:r w:rsidRPr="005E758A">
        <w:rPr>
          <w:rFonts w:ascii="Times New Roman" w:eastAsia="標楷體" w:hAnsi="Times New Roman"/>
          <w:sz w:val="28"/>
          <w:szCs w:val="28"/>
        </w:rPr>
        <w:t>建立機制監督返回家庭之兒童；</w:t>
      </w:r>
    </w:p>
    <w:p w14:paraId="793F412A" w14:textId="77777777" w:rsidR="009F66C9" w:rsidRPr="005E758A" w:rsidRDefault="009F66C9" w:rsidP="009F66C9">
      <w:pPr>
        <w:pStyle w:val="a0"/>
        <w:numPr>
          <w:ilvl w:val="0"/>
          <w:numId w:val="197"/>
        </w:numPr>
        <w:snapToGrid w:val="0"/>
        <w:spacing w:before="100" w:beforeAutospacing="1" w:after="100" w:afterAutospacing="1"/>
        <w:ind w:leftChars="0"/>
        <w:jc w:val="both"/>
        <w:rPr>
          <w:rFonts w:ascii="Times New Roman" w:eastAsia="標楷體" w:hAnsi="Times New Roman"/>
          <w:sz w:val="28"/>
          <w:szCs w:val="28"/>
        </w:rPr>
      </w:pPr>
      <w:r w:rsidRPr="005E758A">
        <w:rPr>
          <w:rFonts w:ascii="Times New Roman" w:eastAsia="標楷體" w:hAnsi="Times New Roman"/>
          <w:sz w:val="28"/>
          <w:szCs w:val="28"/>
        </w:rPr>
        <w:t>與其他相關單位和組織合作，依照全球反兒童商業性剝削世界大會</w:t>
      </w:r>
      <w:r w:rsidRPr="005E758A">
        <w:rPr>
          <w:rFonts w:ascii="Times New Roman" w:eastAsia="標楷體" w:hAnsi="Times New Roman"/>
          <w:sz w:val="28"/>
          <w:szCs w:val="28"/>
        </w:rPr>
        <w:t>(World Congress against Commercial Sexual Exploitation of Children)</w:t>
      </w:r>
      <w:r w:rsidRPr="005E758A">
        <w:rPr>
          <w:rFonts w:ascii="Times New Roman" w:eastAsia="標楷體" w:hAnsi="Times New Roman"/>
          <w:sz w:val="28"/>
          <w:szCs w:val="28"/>
        </w:rPr>
        <w:t>於</w:t>
      </w:r>
      <w:r w:rsidRPr="005E758A">
        <w:rPr>
          <w:rFonts w:ascii="Times New Roman" w:eastAsia="標楷體" w:hAnsi="Times New Roman"/>
          <w:sz w:val="28"/>
          <w:szCs w:val="28"/>
        </w:rPr>
        <w:t>1996</w:t>
      </w:r>
      <w:r w:rsidRPr="005E758A">
        <w:rPr>
          <w:rFonts w:ascii="Times New Roman" w:eastAsia="標楷體" w:hAnsi="Times New Roman"/>
          <w:sz w:val="28"/>
          <w:szCs w:val="28"/>
        </w:rPr>
        <w:t>年通過之行動宣言</w:t>
      </w:r>
      <w:r w:rsidRPr="005E758A">
        <w:rPr>
          <w:rFonts w:ascii="Times New Roman" w:eastAsia="標楷體" w:hAnsi="Times New Roman"/>
          <w:sz w:val="28"/>
          <w:szCs w:val="28"/>
        </w:rPr>
        <w:t>(Declaration and Agenda for Action)</w:t>
      </w:r>
      <w:r w:rsidRPr="005E758A">
        <w:rPr>
          <w:rFonts w:ascii="Times New Roman" w:eastAsia="標楷體" w:hAnsi="Times New Roman"/>
          <w:sz w:val="28"/>
          <w:szCs w:val="28"/>
        </w:rPr>
        <w:t>及</w:t>
      </w:r>
      <w:r w:rsidRPr="005E758A">
        <w:rPr>
          <w:rFonts w:ascii="Times New Roman" w:eastAsia="標楷體" w:hAnsi="Times New Roman"/>
          <w:sz w:val="28"/>
          <w:szCs w:val="28"/>
        </w:rPr>
        <w:t>2001</w:t>
      </w:r>
      <w:r w:rsidRPr="005E758A">
        <w:rPr>
          <w:rFonts w:ascii="Times New Roman" w:eastAsia="標楷體" w:hAnsi="Times New Roman"/>
          <w:sz w:val="28"/>
          <w:szCs w:val="28"/>
        </w:rPr>
        <w:t>年通過之全球承諾</w:t>
      </w:r>
      <w:r w:rsidRPr="005E758A">
        <w:rPr>
          <w:rFonts w:ascii="Times New Roman" w:eastAsia="標楷體" w:hAnsi="Times New Roman"/>
          <w:sz w:val="28"/>
          <w:szCs w:val="28"/>
        </w:rPr>
        <w:t>(Global Commitment)</w:t>
      </w:r>
      <w:r w:rsidRPr="005E758A">
        <w:rPr>
          <w:rFonts w:ascii="Times New Roman" w:eastAsia="標楷體" w:hAnsi="Times New Roman"/>
          <w:sz w:val="28"/>
          <w:szCs w:val="28"/>
        </w:rPr>
        <w:t>，建立適當計畫提供性剝削及販運受害兒童協助、心理上復健以及重回社會。</w:t>
      </w:r>
    </w:p>
    <w:p w14:paraId="0AB3EC36" w14:textId="77777777" w:rsidR="009F66C9" w:rsidRPr="005E758A" w:rsidRDefault="009F66C9" w:rsidP="009F66C9">
      <w:pPr>
        <w:snapToGrid w:val="0"/>
        <w:spacing w:before="100" w:beforeAutospacing="1" w:after="100" w:afterAutospacing="1"/>
        <w:ind w:firstLineChars="200" w:firstLine="560"/>
        <w:jc w:val="both"/>
        <w:rPr>
          <w:sz w:val="28"/>
          <w:szCs w:val="28"/>
        </w:rPr>
      </w:pPr>
      <w:r w:rsidRPr="005E758A">
        <w:rPr>
          <w:sz w:val="28"/>
          <w:szCs w:val="28"/>
        </w:rPr>
        <w:t>另外，兒童權利委員會指出遠離原籍國無人陪伴和無父母陪伴的兒童容易遭受剝削、買賣或販運。為避免此類兒童遭受販運，締約國應該採取之適當措施包括：「對無人陪伴和無父母陪伴兒童的身份認證；定期瞭解他們的去向；同時以適合年齡、對性別敏感和兒童能夠聽懂的語言和能夠看懂的媒體開展宣傳運動」；此外，締約國也「應針對勞工管制和過境問題頒佈充足的立法和建立有效的執法機制」</w:t>
      </w:r>
      <w:r w:rsidRPr="005E758A">
        <w:rPr>
          <w:rStyle w:val="af3"/>
        </w:rPr>
        <w:endnoteReference w:id="479"/>
      </w:r>
      <w:r w:rsidRPr="005E758A">
        <w:rPr>
          <w:sz w:val="28"/>
          <w:szCs w:val="28"/>
        </w:rPr>
        <w:t>。</w:t>
      </w:r>
    </w:p>
    <w:p w14:paraId="33798226" w14:textId="77777777" w:rsidR="009F66C9" w:rsidRPr="005E758A" w:rsidRDefault="009F66C9" w:rsidP="009F66C9">
      <w:pPr>
        <w:pStyle w:val="2"/>
      </w:pPr>
      <w:r w:rsidRPr="005E758A">
        <w:t>案例介紹</w:t>
      </w:r>
    </w:p>
    <w:p w14:paraId="5782BDED" w14:textId="77777777" w:rsidR="009F66C9" w:rsidRPr="005E758A" w:rsidRDefault="009F66C9" w:rsidP="009F66C9">
      <w:pPr>
        <w:pStyle w:val="3"/>
        <w:numPr>
          <w:ilvl w:val="0"/>
          <w:numId w:val="200"/>
        </w:numPr>
      </w:pPr>
      <w:r w:rsidRPr="005E758A">
        <w:t>2000</w:t>
      </w:r>
      <w:r w:rsidRPr="005E758A">
        <w:t>年</w:t>
      </w:r>
      <w:r w:rsidR="00FC16DD" w:rsidRPr="005E758A">
        <w:t>《聯合國打擊跨國有組織犯罪公約》《</w:t>
      </w:r>
      <w:r w:rsidRPr="005E758A">
        <w:t>預防、壓制及懲治販運人口（特別是婦女及兒童）議定書</w:t>
      </w:r>
      <w:r w:rsidR="00FC16DD" w:rsidRPr="005E758A">
        <w:t>》</w:t>
      </w:r>
      <w:r w:rsidRPr="005E758A">
        <w:rPr>
          <w:rStyle w:val="af3"/>
        </w:rPr>
        <w:endnoteReference w:id="480"/>
      </w:r>
    </w:p>
    <w:p w14:paraId="4DBD09EF" w14:textId="77777777" w:rsidR="009F66C9" w:rsidRPr="005E758A" w:rsidRDefault="00FC16DD" w:rsidP="009F66C9">
      <w:pPr>
        <w:snapToGrid w:val="0"/>
        <w:spacing w:before="100" w:beforeAutospacing="1" w:after="100" w:afterAutospacing="1"/>
        <w:ind w:firstLineChars="200" w:firstLine="560"/>
        <w:jc w:val="both"/>
        <w:rPr>
          <w:sz w:val="28"/>
        </w:rPr>
      </w:pPr>
      <w:r w:rsidRPr="005E758A">
        <w:rPr>
          <w:sz w:val="28"/>
        </w:rPr>
        <w:t>《</w:t>
      </w:r>
      <w:r w:rsidR="009F66C9" w:rsidRPr="005E758A">
        <w:rPr>
          <w:sz w:val="28"/>
        </w:rPr>
        <w:t>聯合國打擊跨國有組織犯罪公約</w:t>
      </w:r>
      <w:r w:rsidRPr="005E758A">
        <w:rPr>
          <w:sz w:val="28"/>
        </w:rPr>
        <w:t>》</w:t>
      </w:r>
      <w:r w:rsidR="009F66C9" w:rsidRPr="005E758A">
        <w:rPr>
          <w:sz w:val="28"/>
        </w:rPr>
        <w:t>於</w:t>
      </w:r>
      <w:r w:rsidR="009F66C9" w:rsidRPr="005E758A">
        <w:rPr>
          <w:sz w:val="28"/>
        </w:rPr>
        <w:t>2000</w:t>
      </w:r>
      <w:r w:rsidR="009F66C9" w:rsidRPr="005E758A">
        <w:rPr>
          <w:sz w:val="28"/>
        </w:rPr>
        <w:t>年通過時附有</w:t>
      </w:r>
      <w:r w:rsidR="009F66C9" w:rsidRPr="005E758A">
        <w:rPr>
          <w:sz w:val="28"/>
        </w:rPr>
        <w:t>3</w:t>
      </w:r>
      <w:r w:rsidR="009F66C9" w:rsidRPr="005E758A">
        <w:rPr>
          <w:sz w:val="28"/>
        </w:rPr>
        <w:t>項議定書，其中一個即為預防、壓制及懲治販運人口（特別是婦女及兒童）議定書，此議定書目前共有</w:t>
      </w:r>
      <w:r w:rsidR="009F66C9" w:rsidRPr="005E758A">
        <w:rPr>
          <w:sz w:val="28"/>
        </w:rPr>
        <w:t>167</w:t>
      </w:r>
      <w:r w:rsidR="009F66C9" w:rsidRPr="005E758A">
        <w:rPr>
          <w:sz w:val="28"/>
        </w:rPr>
        <w:t>個締約國。根據此議定書第</w:t>
      </w:r>
      <w:r w:rsidR="009F66C9" w:rsidRPr="005E758A">
        <w:rPr>
          <w:sz w:val="28"/>
        </w:rPr>
        <w:t>3</w:t>
      </w:r>
      <w:r w:rsidR="009F66C9" w:rsidRPr="005E758A">
        <w:rPr>
          <w:sz w:val="28"/>
        </w:rPr>
        <w:t>條，販運人口指的是：</w:t>
      </w:r>
    </w:p>
    <w:p w14:paraId="6832F1AF" w14:textId="77777777" w:rsidR="009F66C9" w:rsidRPr="005E758A" w:rsidRDefault="009F66C9" w:rsidP="009F66C9">
      <w:pPr>
        <w:snapToGrid w:val="0"/>
        <w:spacing w:before="100" w:beforeAutospacing="1" w:after="100" w:afterAutospacing="1"/>
        <w:ind w:left="567" w:right="567" w:firstLineChars="200" w:firstLine="560"/>
        <w:jc w:val="both"/>
        <w:rPr>
          <w:sz w:val="28"/>
        </w:rPr>
      </w:pPr>
      <w:r w:rsidRPr="005E758A">
        <w:rPr>
          <w:sz w:val="28"/>
        </w:rPr>
        <w:t>為剝削目的而透過暴力威脅或使用暴力手段，或透過其他形式的脅迫，透過誘拐、欺詐、欺騙、濫用權力或濫用脆</w:t>
      </w:r>
      <w:r w:rsidRPr="005E758A">
        <w:rPr>
          <w:sz w:val="28"/>
        </w:rPr>
        <w:lastRenderedPageBreak/>
        <w:t>弱境況，或透過授受酬金或利益取得對另一人有控制權的某人的同意等手段招募、運送、轉移窩藏或接收人員。剝削應至少包括利用他人賣淫進行剝削或其他形式的性剝削、強迫勞動或服務、奴役或類似奴役的做法、勞役或切除器官。</w:t>
      </w:r>
    </w:p>
    <w:p w14:paraId="056EBAF1" w14:textId="77777777" w:rsidR="009F66C9" w:rsidRPr="005E758A" w:rsidRDefault="009F66C9" w:rsidP="009F66C9">
      <w:pPr>
        <w:snapToGrid w:val="0"/>
        <w:spacing w:before="100" w:beforeAutospacing="1" w:after="100" w:afterAutospacing="1"/>
        <w:jc w:val="both"/>
        <w:rPr>
          <w:sz w:val="28"/>
        </w:rPr>
      </w:pPr>
      <w:r w:rsidRPr="005E758A">
        <w:rPr>
          <w:sz w:val="28"/>
        </w:rPr>
        <w:t>同條另外明定，未涉及上述手段但「為剝削目的而招募運送、轉移、窩藏或接收兒童」者，也應視為販運人口。</w:t>
      </w:r>
    </w:p>
    <w:p w14:paraId="04066667" w14:textId="77777777" w:rsidR="009F66C9" w:rsidRPr="005E758A" w:rsidRDefault="009F66C9" w:rsidP="009F66C9">
      <w:pPr>
        <w:snapToGrid w:val="0"/>
        <w:spacing w:before="100" w:beforeAutospacing="1" w:after="100" w:afterAutospacing="1"/>
        <w:ind w:firstLineChars="200" w:firstLine="560"/>
        <w:jc w:val="both"/>
        <w:rPr>
          <w:sz w:val="28"/>
        </w:rPr>
      </w:pPr>
      <w:r w:rsidRPr="005E758A">
        <w:rPr>
          <w:sz w:val="28"/>
        </w:rPr>
        <w:t>本議定書另外規範了對人口販運活動被害人的保護，其中對於兒童有特殊的考量，包括第</w:t>
      </w:r>
      <w:r w:rsidRPr="005E758A">
        <w:rPr>
          <w:sz w:val="28"/>
        </w:rPr>
        <w:t>6</w:t>
      </w:r>
      <w:r w:rsidRPr="005E758A">
        <w:rPr>
          <w:sz w:val="28"/>
        </w:rPr>
        <w:t>條第</w:t>
      </w:r>
      <w:r w:rsidRPr="005E758A">
        <w:rPr>
          <w:sz w:val="28"/>
        </w:rPr>
        <w:t>4</w:t>
      </w:r>
      <w:r w:rsidRPr="005E758A">
        <w:rPr>
          <w:sz w:val="28"/>
        </w:rPr>
        <w:t>項要求國家採取保護被害人之措施時：「應考慮到人口販運活動被害人的年齡、性別和特殊需要，特別是兒童的特殊需要，其中包括適當的住房、教育和照顧」；以即第</w:t>
      </w:r>
      <w:r w:rsidRPr="005E758A">
        <w:rPr>
          <w:sz w:val="28"/>
        </w:rPr>
        <w:t>10</w:t>
      </w:r>
      <w:r w:rsidRPr="005E758A">
        <w:rPr>
          <w:sz w:val="28"/>
        </w:rPr>
        <w:t>條第</w:t>
      </w:r>
      <w:r w:rsidRPr="005E758A">
        <w:rPr>
          <w:sz w:val="28"/>
        </w:rPr>
        <w:t>2</w:t>
      </w:r>
      <w:r w:rsidRPr="005E758A">
        <w:rPr>
          <w:sz w:val="28"/>
        </w:rPr>
        <w:t>項規範國家對執法人員、移民人員等業務相關人員進行培訓時，需「顧及對人權和兒童及性別敏感問題」。</w:t>
      </w:r>
    </w:p>
    <w:p w14:paraId="04932F66" w14:textId="77777777" w:rsidR="009F66C9" w:rsidRPr="005E758A" w:rsidRDefault="009F66C9" w:rsidP="009F66C9">
      <w:pPr>
        <w:pStyle w:val="2"/>
      </w:pPr>
      <w:r w:rsidRPr="005E758A">
        <w:t>綜合分析</w:t>
      </w:r>
    </w:p>
    <w:p w14:paraId="1D8E1574" w14:textId="77777777" w:rsidR="009F66C9" w:rsidRPr="005E758A" w:rsidRDefault="009F66C9" w:rsidP="009F66C9">
      <w:pPr>
        <w:snapToGrid w:val="0"/>
        <w:spacing w:before="100" w:beforeAutospacing="1" w:after="100" w:afterAutospacing="1"/>
        <w:ind w:firstLineChars="200" w:firstLine="560"/>
        <w:jc w:val="both"/>
        <w:rPr>
          <w:kern w:val="0"/>
          <w:sz w:val="28"/>
          <w:szCs w:val="28"/>
        </w:rPr>
      </w:pPr>
      <w:r w:rsidRPr="005E758A">
        <w:rPr>
          <w:kern w:val="0"/>
          <w:sz w:val="28"/>
          <w:szCs w:val="28"/>
        </w:rPr>
        <w:t>國家為預防和打擊販運兒童的現象而採取立法等相關措施時，應特別注意將遭受販運的兒童視為被害人而非犯罪行為人，且此類兒童意應享有公約第</w:t>
      </w:r>
      <w:r w:rsidRPr="005E758A">
        <w:rPr>
          <w:kern w:val="0"/>
          <w:sz w:val="28"/>
          <w:szCs w:val="28"/>
        </w:rPr>
        <w:t>39</w:t>
      </w:r>
      <w:r w:rsidRPr="005E758A">
        <w:rPr>
          <w:kern w:val="0"/>
          <w:sz w:val="28"/>
          <w:szCs w:val="28"/>
        </w:rPr>
        <w:t>條之權利，國家應協助其恢復身心健康並重返社會。此外，關於兒童買賣的問題，</w:t>
      </w:r>
      <w:r w:rsidRPr="005E758A">
        <w:rPr>
          <w:kern w:val="0"/>
          <w:sz w:val="28"/>
          <w:szCs w:val="28"/>
        </w:rPr>
        <w:t>2002</w:t>
      </w:r>
      <w:r w:rsidRPr="005E758A">
        <w:rPr>
          <w:kern w:val="0"/>
          <w:sz w:val="28"/>
          <w:szCs w:val="28"/>
        </w:rPr>
        <w:t>年通過之關於買賣兒童、兒童賣淫和兒童色情問題之兒童權利公約任擇議定書有更詳細的規定，解釋上亦應參考之。我國於</w:t>
      </w:r>
      <w:r w:rsidRPr="005E758A">
        <w:rPr>
          <w:kern w:val="0"/>
          <w:sz w:val="28"/>
          <w:szCs w:val="28"/>
        </w:rPr>
        <w:t>2009</w:t>
      </w:r>
      <w:r w:rsidRPr="005E758A">
        <w:rPr>
          <w:kern w:val="0"/>
          <w:sz w:val="28"/>
          <w:szCs w:val="28"/>
        </w:rPr>
        <w:t>年通過人口販運防制法，對人口販運之防制、起訴及被害人的保護有特別規定。另兒童及少年性剝削防制條例亦有針對對兒少犯行之特別處罰規定，大抵上已符合公約本條之規定。</w:t>
      </w:r>
    </w:p>
    <w:p w14:paraId="6ED9BBDC" w14:textId="77777777" w:rsidR="009F66C9" w:rsidRPr="005E758A" w:rsidRDefault="009F66C9" w:rsidP="009F66C9">
      <w:pPr>
        <w:pStyle w:val="2"/>
      </w:pPr>
      <w:r w:rsidRPr="005E758A">
        <w:t>參考資料</w:t>
      </w:r>
    </w:p>
    <w:p w14:paraId="3208D405" w14:textId="77777777" w:rsidR="009F66C9" w:rsidRPr="005E758A" w:rsidRDefault="009F66C9" w:rsidP="009F66C9">
      <w:pPr>
        <w:pStyle w:val="a0"/>
        <w:numPr>
          <w:ilvl w:val="0"/>
          <w:numId w:val="201"/>
        </w:numPr>
        <w:snapToGrid w:val="0"/>
        <w:ind w:leftChars="0"/>
        <w:jc w:val="both"/>
        <w:rPr>
          <w:rFonts w:ascii="Times New Roman" w:eastAsia="標楷體" w:hAnsi="Times New Roman"/>
          <w:sz w:val="28"/>
          <w:szCs w:val="28"/>
        </w:rPr>
      </w:pPr>
      <w:r w:rsidRPr="005E758A">
        <w:rPr>
          <w:rFonts w:ascii="Times New Roman" w:eastAsia="標楷體" w:hAnsi="Times New Roman"/>
          <w:smallCaps/>
          <w:sz w:val="28"/>
          <w:szCs w:val="28"/>
        </w:rPr>
        <w:t>UNICEF, Implementation Handbook for the Convention on the Rights of the Child</w:t>
      </w:r>
      <w:r w:rsidRPr="005E758A">
        <w:rPr>
          <w:rFonts w:ascii="Times New Roman" w:eastAsia="標楷體" w:hAnsi="Times New Roman"/>
          <w:sz w:val="28"/>
          <w:szCs w:val="28"/>
        </w:rPr>
        <w:t xml:space="preserve"> (3d. 2007).</w:t>
      </w:r>
    </w:p>
    <w:p w14:paraId="17BA8947" w14:textId="77777777" w:rsidR="009F66C9" w:rsidRPr="005E758A" w:rsidRDefault="009F66C9" w:rsidP="009F66C9">
      <w:pPr>
        <w:pStyle w:val="a0"/>
        <w:numPr>
          <w:ilvl w:val="0"/>
          <w:numId w:val="201"/>
        </w:numPr>
        <w:snapToGrid w:val="0"/>
        <w:ind w:leftChars="0"/>
        <w:jc w:val="both"/>
        <w:rPr>
          <w:rFonts w:ascii="Times New Roman" w:eastAsia="標楷體" w:hAnsi="Times New Roman"/>
          <w:sz w:val="28"/>
          <w:szCs w:val="28"/>
        </w:rPr>
      </w:pPr>
      <w:r w:rsidRPr="005E758A">
        <w:rPr>
          <w:rFonts w:ascii="Times New Roman" w:eastAsia="標楷體" w:hAnsi="Times New Roman"/>
          <w:sz w:val="28"/>
          <w:szCs w:val="28"/>
        </w:rPr>
        <w:t>兒童權利委員會，第</w:t>
      </w:r>
      <w:r w:rsidRPr="005E758A">
        <w:rPr>
          <w:rFonts w:ascii="Times New Roman" w:eastAsia="標楷體" w:hAnsi="Times New Roman"/>
          <w:sz w:val="28"/>
          <w:szCs w:val="28"/>
        </w:rPr>
        <w:t>6</w:t>
      </w:r>
      <w:r w:rsidRPr="005E758A">
        <w:rPr>
          <w:rFonts w:ascii="Times New Roman" w:eastAsia="標楷體" w:hAnsi="Times New Roman"/>
          <w:sz w:val="28"/>
          <w:szCs w:val="28"/>
        </w:rPr>
        <w:t>號一般性意見「遠離原籍國無人陪伴和無父母陪伴的兒童待遇」。</w:t>
      </w:r>
      <w:r w:rsidRPr="005E758A">
        <w:rPr>
          <w:rFonts w:ascii="Times New Roman" w:eastAsia="標楷體" w:hAnsi="Times New Roman"/>
          <w:sz w:val="28"/>
          <w:szCs w:val="28"/>
        </w:rPr>
        <w:t>(Committee on the Rights of the Child, General Comment No. 6: Treatment of Unaccompanied and Separated Children Outside Their Country of Origin, U.N. Doc. CRC/GC/2005/6 (Sept. 1, 2005).)</w:t>
      </w:r>
    </w:p>
    <w:p w14:paraId="6A312AE1" w14:textId="77777777" w:rsidR="009F66C9" w:rsidRPr="005E758A" w:rsidRDefault="009F66C9" w:rsidP="009F66C9">
      <w:pPr>
        <w:pStyle w:val="a0"/>
        <w:numPr>
          <w:ilvl w:val="0"/>
          <w:numId w:val="201"/>
        </w:numPr>
        <w:snapToGrid w:val="0"/>
        <w:ind w:leftChars="0"/>
        <w:jc w:val="both"/>
        <w:rPr>
          <w:rFonts w:ascii="Times New Roman" w:eastAsia="標楷體" w:hAnsi="Times New Roman"/>
          <w:sz w:val="28"/>
          <w:szCs w:val="28"/>
        </w:rPr>
      </w:pPr>
      <w:r w:rsidRPr="005E758A">
        <w:rPr>
          <w:rFonts w:ascii="Times New Roman" w:eastAsia="標楷體" w:hAnsi="Times New Roman"/>
          <w:sz w:val="28"/>
          <w:szCs w:val="28"/>
        </w:rPr>
        <w:t>林沛君，兒少人權向前行，臺北市，台灣展翅協會，</w:t>
      </w:r>
      <w:r w:rsidRPr="005E758A">
        <w:rPr>
          <w:rFonts w:ascii="Times New Roman" w:eastAsia="標楷體" w:hAnsi="Times New Roman"/>
          <w:sz w:val="28"/>
          <w:szCs w:val="28"/>
        </w:rPr>
        <w:t>2015</w:t>
      </w:r>
      <w:r w:rsidRPr="005E758A">
        <w:rPr>
          <w:rFonts w:ascii="Times New Roman" w:eastAsia="標楷體" w:hAnsi="Times New Roman"/>
          <w:sz w:val="28"/>
          <w:szCs w:val="28"/>
        </w:rPr>
        <w:t>年</w:t>
      </w:r>
      <w:r w:rsidRPr="005E758A">
        <w:rPr>
          <w:rFonts w:ascii="Times New Roman" w:eastAsia="標楷體" w:hAnsi="Times New Roman"/>
          <w:sz w:val="28"/>
          <w:szCs w:val="28"/>
        </w:rPr>
        <w:t>4</w:t>
      </w:r>
      <w:r w:rsidRPr="005E758A">
        <w:rPr>
          <w:rFonts w:ascii="Times New Roman" w:eastAsia="標楷體" w:hAnsi="Times New Roman"/>
          <w:sz w:val="28"/>
          <w:szCs w:val="28"/>
        </w:rPr>
        <w:t>月。</w:t>
      </w:r>
    </w:p>
    <w:p w14:paraId="7B46DB84" w14:textId="77777777" w:rsidR="009F66C9" w:rsidRPr="005E758A" w:rsidRDefault="009F66C9" w:rsidP="009F66C9">
      <w:pPr>
        <w:snapToGrid w:val="0"/>
        <w:spacing w:before="100" w:beforeAutospacing="1" w:after="100" w:afterAutospacing="1"/>
        <w:jc w:val="both"/>
        <w:rPr>
          <w:sz w:val="28"/>
        </w:rPr>
      </w:pPr>
    </w:p>
    <w:p w14:paraId="686058BA" w14:textId="77777777" w:rsidR="009F66C9" w:rsidRPr="005E758A" w:rsidRDefault="009F66C9" w:rsidP="009F66C9">
      <w:pPr>
        <w:snapToGrid w:val="0"/>
        <w:spacing w:before="100" w:beforeAutospacing="1" w:after="100" w:afterAutospacing="1"/>
        <w:jc w:val="both"/>
        <w:rPr>
          <w:sz w:val="28"/>
        </w:rPr>
        <w:sectPr w:rsidR="009F66C9" w:rsidRPr="005E758A" w:rsidSect="0096212B">
          <w:footerReference w:type="default" r:id="rId20"/>
          <w:footnotePr>
            <w:numRestart w:val="eachSect"/>
          </w:footnotePr>
          <w:endnotePr>
            <w:numFmt w:val="decimal"/>
            <w:numRestart w:val="eachSect"/>
          </w:endnotePr>
          <w:pgSz w:w="11906" w:h="16838"/>
          <w:pgMar w:top="1440" w:right="1797" w:bottom="1440" w:left="1797" w:header="851" w:footer="992" w:gutter="0"/>
          <w:cols w:space="425"/>
          <w:docGrid w:type="lines" w:linePitch="360"/>
        </w:sectPr>
      </w:pPr>
      <w:r w:rsidRPr="005E758A">
        <w:rPr>
          <w:sz w:val="28"/>
        </w:rPr>
        <w:lastRenderedPageBreak/>
        <w:t>關鍵詞：</w:t>
      </w:r>
      <w:r w:rsidRPr="005E758A">
        <w:rPr>
          <w:sz w:val="28"/>
        </w:rPr>
        <w:t xml:space="preserve"> </w:t>
      </w:r>
      <w:r w:rsidRPr="005E758A">
        <w:rPr>
          <w:sz w:val="28"/>
        </w:rPr>
        <w:t>兒童誘拐、兒童買賣、兒童販運</w:t>
      </w:r>
    </w:p>
    <w:p w14:paraId="5338C87D" w14:textId="77777777" w:rsidR="00170406" w:rsidRDefault="00170406" w:rsidP="00170406">
      <w:pPr>
        <w:pStyle w:val="1"/>
        <w:rPr>
          <w:sz w:val="28"/>
          <w:szCs w:val="28"/>
        </w:rPr>
      </w:pPr>
      <w:bookmarkStart w:id="100" w:name="_Toc431072752"/>
      <w:r w:rsidRPr="005E758A">
        <w:lastRenderedPageBreak/>
        <w:t>第</w:t>
      </w:r>
      <w:r w:rsidRPr="005E758A">
        <w:t>36</w:t>
      </w:r>
      <w:r w:rsidRPr="005E758A">
        <w:t>條</w:t>
      </w:r>
      <w:r>
        <w:rPr>
          <w:rFonts w:hint="eastAsia"/>
        </w:rPr>
        <w:t xml:space="preserve">　任何形式之剝削</w:t>
      </w:r>
      <w:bookmarkEnd w:id="100"/>
    </w:p>
    <w:tbl>
      <w:tblPr>
        <w:tblW w:w="82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8220"/>
      </w:tblGrid>
      <w:tr w:rsidR="00170406" w:rsidRPr="005E758A" w14:paraId="1F60C3A4" w14:textId="77777777" w:rsidTr="002B035C">
        <w:trPr>
          <w:jc w:val="center"/>
        </w:trPr>
        <w:tc>
          <w:tcPr>
            <w:tcW w:w="8220" w:type="dxa"/>
          </w:tcPr>
          <w:p w14:paraId="447032FC" w14:textId="77777777" w:rsidR="00170406" w:rsidRPr="005E758A" w:rsidRDefault="00170406" w:rsidP="002B035C">
            <w:pPr>
              <w:snapToGrid w:val="0"/>
              <w:spacing w:before="100" w:beforeAutospacing="1" w:after="100" w:afterAutospacing="1"/>
              <w:jc w:val="both"/>
            </w:pPr>
            <w:r w:rsidRPr="005E758A">
              <w:rPr>
                <w:sz w:val="28"/>
              </w:rPr>
              <w:t>締約國應保護兒童免於遭受有害其福祉之任何其他形式之剝削。</w:t>
            </w:r>
          </w:p>
        </w:tc>
      </w:tr>
    </w:tbl>
    <w:p w14:paraId="5E3E391A" w14:textId="77777777" w:rsidR="00170406" w:rsidRPr="00170406" w:rsidRDefault="00170406" w:rsidP="00170406">
      <w:pPr>
        <w:snapToGrid w:val="0"/>
        <w:spacing w:before="100" w:beforeAutospacing="1" w:after="100" w:afterAutospacing="1"/>
        <w:jc w:val="both"/>
        <w:rPr>
          <w:sz w:val="28"/>
          <w:szCs w:val="28"/>
        </w:rPr>
      </w:pPr>
    </w:p>
    <w:p w14:paraId="14218213" w14:textId="77777777" w:rsidR="009F66C9" w:rsidRPr="005E758A" w:rsidRDefault="009F66C9" w:rsidP="009F66C9">
      <w:pPr>
        <w:pStyle w:val="2"/>
        <w:numPr>
          <w:ilvl w:val="0"/>
          <w:numId w:val="202"/>
        </w:numPr>
        <w:rPr>
          <w:szCs w:val="28"/>
        </w:rPr>
      </w:pPr>
      <w:r w:rsidRPr="005E758A">
        <w:rPr>
          <w:szCs w:val="28"/>
        </w:rPr>
        <w:t>規範宗旨</w:t>
      </w:r>
    </w:p>
    <w:p w14:paraId="6487CE65" w14:textId="77777777" w:rsidR="009F66C9" w:rsidRPr="005E758A" w:rsidRDefault="009F66C9" w:rsidP="009F66C9">
      <w:pPr>
        <w:snapToGrid w:val="0"/>
        <w:spacing w:before="100" w:beforeAutospacing="1" w:after="100" w:afterAutospacing="1"/>
        <w:ind w:firstLineChars="200" w:firstLine="560"/>
        <w:jc w:val="both"/>
        <w:rPr>
          <w:sz w:val="28"/>
        </w:rPr>
      </w:pPr>
      <w:r w:rsidRPr="005E758A">
        <w:rPr>
          <w:sz w:val="28"/>
        </w:rPr>
        <w:t>關於兒童剝削的問題，公約中已有數個條文規範特定類型的剝削，例如</w:t>
      </w:r>
      <w:r w:rsidRPr="005E758A">
        <w:rPr>
          <w:kern w:val="0"/>
          <w:sz w:val="28"/>
          <w:szCs w:val="28"/>
        </w:rPr>
        <w:t>第</w:t>
      </w:r>
      <w:r w:rsidRPr="005E758A">
        <w:rPr>
          <w:kern w:val="0"/>
          <w:sz w:val="28"/>
          <w:szCs w:val="28"/>
        </w:rPr>
        <w:t>32</w:t>
      </w:r>
      <w:r w:rsidRPr="005E758A">
        <w:rPr>
          <w:kern w:val="0"/>
          <w:sz w:val="28"/>
          <w:szCs w:val="28"/>
        </w:rPr>
        <w:t>條（兒童免受經濟剝削之權利）及第</w:t>
      </w:r>
      <w:r w:rsidRPr="005E758A">
        <w:rPr>
          <w:kern w:val="0"/>
          <w:sz w:val="28"/>
          <w:szCs w:val="28"/>
        </w:rPr>
        <w:t>34</w:t>
      </w:r>
      <w:r w:rsidRPr="005E758A">
        <w:rPr>
          <w:kern w:val="0"/>
          <w:sz w:val="28"/>
          <w:szCs w:val="28"/>
        </w:rPr>
        <w:t>條（</w:t>
      </w:r>
      <w:r w:rsidRPr="005E758A">
        <w:rPr>
          <w:sz w:val="28"/>
          <w:szCs w:val="28"/>
        </w:rPr>
        <w:t>兒童</w:t>
      </w:r>
      <w:r w:rsidRPr="005E758A">
        <w:rPr>
          <w:kern w:val="0"/>
          <w:sz w:val="28"/>
          <w:szCs w:val="28"/>
        </w:rPr>
        <w:t>免受</w:t>
      </w:r>
      <w:r w:rsidRPr="005E758A">
        <w:rPr>
          <w:sz w:val="28"/>
          <w:szCs w:val="28"/>
        </w:rPr>
        <w:t>性剝削</w:t>
      </w:r>
      <w:r w:rsidRPr="005E758A">
        <w:rPr>
          <w:kern w:val="0"/>
          <w:sz w:val="28"/>
          <w:szCs w:val="28"/>
        </w:rPr>
        <w:t>權利）。</w:t>
      </w:r>
      <w:r w:rsidRPr="005E758A">
        <w:rPr>
          <w:sz w:val="28"/>
        </w:rPr>
        <w:t>本條於公約起草時主要希望處理的是「社會剝削」</w:t>
      </w:r>
      <w:r w:rsidRPr="005E758A">
        <w:rPr>
          <w:sz w:val="28"/>
        </w:rPr>
        <w:t>(social exploitation)</w:t>
      </w:r>
      <w:r w:rsidRPr="005E758A">
        <w:rPr>
          <w:sz w:val="28"/>
        </w:rPr>
        <w:t>問題，</w:t>
      </w:r>
      <w:r w:rsidRPr="005E758A">
        <w:rPr>
          <w:rStyle w:val="af3"/>
          <w:sz w:val="28"/>
        </w:rPr>
        <w:endnoteReference w:id="481"/>
      </w:r>
      <w:r w:rsidRPr="005E758A">
        <w:rPr>
          <w:sz w:val="28"/>
        </w:rPr>
        <w:t>而公約草案一讀版本亦明確規定：「兒童應受保護免於任何形式之歧視、社會剝削和侮辱尊嚴」</w:t>
      </w:r>
      <w:r w:rsidRPr="005E758A">
        <w:rPr>
          <w:rStyle w:val="af3"/>
          <w:sz w:val="28"/>
        </w:rPr>
        <w:endnoteReference w:id="482"/>
      </w:r>
      <w:r w:rsidRPr="005E758A">
        <w:rPr>
          <w:sz w:val="28"/>
        </w:rPr>
        <w:t>。雖然從公約協商歷程及後續實踐中看不出何謂「社會剝削」</w:t>
      </w:r>
      <w:r w:rsidRPr="005E758A">
        <w:rPr>
          <w:rStyle w:val="af3"/>
          <w:sz w:val="28"/>
        </w:rPr>
        <w:endnoteReference w:id="483"/>
      </w:r>
      <w:r w:rsidRPr="005E758A">
        <w:rPr>
          <w:sz w:val="28"/>
        </w:rPr>
        <w:t>，但解釋上應該認為所有不在公約其他剝削相關條文規範範圍之剝削，均屬本條所指之「其他形式之剝削」，因此本條乃是防制規範漏洞之概括條款。</w:t>
      </w:r>
    </w:p>
    <w:p w14:paraId="4905DB12" w14:textId="77777777" w:rsidR="009F66C9" w:rsidRPr="005E758A" w:rsidRDefault="009F66C9" w:rsidP="009F66C9">
      <w:pPr>
        <w:pStyle w:val="2"/>
      </w:pPr>
      <w:r w:rsidRPr="005E758A">
        <w:t>條文要義</w:t>
      </w:r>
    </w:p>
    <w:p w14:paraId="00B22E57" w14:textId="77777777" w:rsidR="009F66C9" w:rsidRPr="005E758A" w:rsidRDefault="009F66C9" w:rsidP="009F66C9">
      <w:pPr>
        <w:snapToGrid w:val="0"/>
        <w:spacing w:before="100" w:beforeAutospacing="1" w:after="100" w:afterAutospacing="1"/>
        <w:ind w:firstLineChars="200" w:firstLine="560"/>
        <w:jc w:val="both"/>
        <w:rPr>
          <w:sz w:val="28"/>
        </w:rPr>
      </w:pPr>
      <w:r w:rsidRPr="005E758A">
        <w:rPr>
          <w:sz w:val="28"/>
        </w:rPr>
        <w:t>本條所指之「其他形式之剝削」可能包括：「對資優兒童</w:t>
      </w:r>
      <w:r w:rsidRPr="005E758A">
        <w:rPr>
          <w:sz w:val="28"/>
        </w:rPr>
        <w:t>(gifted children)</w:t>
      </w:r>
      <w:r w:rsidRPr="005E758A">
        <w:rPr>
          <w:sz w:val="28"/>
        </w:rPr>
        <w:t>的剝削、兒童被利用從事犯罪活動、在政治活動（例如：暴力示威）中對兒童的剝削、媒體對兒童的剝削以及為了醫學或科學實驗目的的兒童剝削」</w:t>
      </w:r>
      <w:bookmarkStart w:id="101" w:name="_Ref430776375"/>
      <w:r w:rsidRPr="005E758A">
        <w:rPr>
          <w:rStyle w:val="af3"/>
          <w:sz w:val="28"/>
        </w:rPr>
        <w:endnoteReference w:id="484"/>
      </w:r>
      <w:bookmarkEnd w:id="101"/>
      <w:r w:rsidRPr="005E758A">
        <w:rPr>
          <w:sz w:val="28"/>
        </w:rPr>
        <w:t>。此處所指的資優兒童可能因為其家庭、媒體、企業和國家極力發展其潛能，而影響到其身心健全發展，與童工相關的規定經常排除志願性的活動，使得資優兒童無法受到應有的保障</w:t>
      </w:r>
      <w:r w:rsidRPr="005E758A">
        <w:rPr>
          <w:rStyle w:val="af3"/>
          <w:sz w:val="28"/>
        </w:rPr>
        <w:endnoteReference w:id="485"/>
      </w:r>
      <w:r w:rsidRPr="005E758A">
        <w:rPr>
          <w:sz w:val="28"/>
        </w:rPr>
        <w:t>。</w:t>
      </w:r>
    </w:p>
    <w:p w14:paraId="4EA86931" w14:textId="77777777" w:rsidR="009F66C9" w:rsidRPr="005E758A" w:rsidRDefault="009F66C9" w:rsidP="009F66C9">
      <w:pPr>
        <w:snapToGrid w:val="0"/>
        <w:spacing w:before="100" w:beforeAutospacing="1" w:after="100" w:afterAutospacing="1"/>
        <w:ind w:firstLineChars="200" w:firstLine="560"/>
        <w:jc w:val="both"/>
        <w:rPr>
          <w:sz w:val="28"/>
        </w:rPr>
      </w:pPr>
      <w:r w:rsidRPr="005E758A">
        <w:rPr>
          <w:sz w:val="28"/>
        </w:rPr>
        <w:t>兒童委員會雖未對本條作出詳細解釋，但其過去探討的主題中有兩項可能包括在本條範圍內：媒體對兒童的剝削，以及為了研究和實驗目的所為之兒童剝削。針對前者，可以參考兒童權利委員會在其以「兒童與媒體」為題之綜合討論日中的觀察：</w:t>
      </w:r>
      <w:r w:rsidRPr="005E758A">
        <w:rPr>
          <w:rStyle w:val="af3"/>
          <w:sz w:val="28"/>
          <w:szCs w:val="28"/>
        </w:rPr>
        <w:endnoteReference w:id="486"/>
      </w:r>
    </w:p>
    <w:p w14:paraId="2DD84F60" w14:textId="77777777" w:rsidR="009F66C9" w:rsidRPr="005E758A" w:rsidRDefault="009F66C9" w:rsidP="009F66C9">
      <w:pPr>
        <w:snapToGrid w:val="0"/>
        <w:spacing w:before="100" w:beforeAutospacing="1" w:after="100" w:afterAutospacing="1"/>
        <w:ind w:left="567" w:right="567" w:firstLineChars="200" w:firstLine="560"/>
        <w:jc w:val="both"/>
        <w:rPr>
          <w:sz w:val="28"/>
        </w:rPr>
      </w:pPr>
      <w:r w:rsidRPr="005E758A">
        <w:rPr>
          <w:sz w:val="28"/>
        </w:rPr>
        <w:t>大眾傳播媒體在報導中塑造了兒童的「形象」；它們反映和影響人們對誰是兒童和兒童行為的觀念。這種形象可造成和傳達對年輕人的尊重；然而，也可傳播可能對輿論和政治家造成消極影響的偏見，有分寸和瞭解情況的報導有利於兒童權利的保障。</w:t>
      </w:r>
    </w:p>
    <w:p w14:paraId="5E69DB42" w14:textId="77777777" w:rsidR="009F66C9" w:rsidRPr="005E758A" w:rsidRDefault="009F66C9" w:rsidP="009F66C9">
      <w:pPr>
        <w:snapToGrid w:val="0"/>
        <w:spacing w:before="100" w:beforeAutospacing="1" w:after="100" w:afterAutospacing="1"/>
        <w:ind w:left="567" w:right="567" w:firstLineChars="200" w:firstLine="560"/>
        <w:jc w:val="both"/>
        <w:rPr>
          <w:sz w:val="28"/>
        </w:rPr>
      </w:pPr>
      <w:r w:rsidRPr="005E758A">
        <w:rPr>
          <w:sz w:val="28"/>
        </w:rPr>
        <w:t>特別應注意的是大眾傳播媒體不應侵害兒童，在兒童捲入犯罪活動、性侵害或家庭問題時，報導過程中應尊重兒童的人格完善。</w:t>
      </w:r>
    </w:p>
    <w:p w14:paraId="1E0D5476" w14:textId="77777777" w:rsidR="009F66C9" w:rsidRPr="005E758A" w:rsidRDefault="009F66C9" w:rsidP="009F66C9">
      <w:pPr>
        <w:snapToGrid w:val="0"/>
        <w:spacing w:before="100" w:beforeAutospacing="1" w:after="100" w:afterAutospacing="1"/>
        <w:ind w:firstLineChars="200" w:firstLine="560"/>
        <w:jc w:val="both"/>
        <w:rPr>
          <w:sz w:val="28"/>
        </w:rPr>
      </w:pPr>
      <w:r w:rsidRPr="005E758A">
        <w:rPr>
          <w:sz w:val="28"/>
        </w:rPr>
        <w:lastRenderedPageBreak/>
        <w:t>至於為了研究和實驗目的所造成的兒童剝削問題，兒童權利委員會在其以「愛滋病與兒童權利」為主題之一般性意見中特別提到</w:t>
      </w:r>
      <w:r w:rsidRPr="005E758A">
        <w:rPr>
          <w:rStyle w:val="af3"/>
          <w:sz w:val="28"/>
        </w:rPr>
        <w:endnoteReference w:id="487"/>
      </w:r>
      <w:r w:rsidRPr="005E758A">
        <w:rPr>
          <w:sz w:val="28"/>
        </w:rPr>
        <w:t>：</w:t>
      </w:r>
    </w:p>
    <w:p w14:paraId="006DF269" w14:textId="77777777" w:rsidR="009F66C9" w:rsidRPr="005E758A" w:rsidRDefault="009F66C9" w:rsidP="009F66C9">
      <w:pPr>
        <w:snapToGrid w:val="0"/>
        <w:spacing w:before="100" w:beforeAutospacing="1" w:after="100" w:afterAutospacing="1"/>
        <w:ind w:left="567" w:right="567" w:firstLineChars="200" w:firstLine="560"/>
        <w:jc w:val="both"/>
        <w:rPr>
          <w:sz w:val="28"/>
        </w:rPr>
      </w:pPr>
      <w:r w:rsidRPr="005E758A">
        <w:rPr>
          <w:sz w:val="28"/>
        </w:rPr>
        <w:t>締約國必須確保一種治療方法已經對成人進行全面試驗之後，才能將兒童作為研究對象。涉及愛滋病毒</w:t>
      </w:r>
      <w:r w:rsidRPr="005E758A">
        <w:rPr>
          <w:sz w:val="28"/>
        </w:rPr>
        <w:t>/</w:t>
      </w:r>
      <w:r w:rsidRPr="005E758A">
        <w:rPr>
          <w:sz w:val="28"/>
        </w:rPr>
        <w:t>愛滋病的生物醫學研究、愛滋病毒</w:t>
      </w:r>
      <w:r w:rsidRPr="005E758A">
        <w:rPr>
          <w:sz w:val="28"/>
        </w:rPr>
        <w:t>/</w:t>
      </w:r>
      <w:r w:rsidRPr="005E758A">
        <w:rPr>
          <w:sz w:val="28"/>
        </w:rPr>
        <w:t>愛滋病的活動、以及社會、文化和行為研究，產生了關於權利和倫理問題的關注。兒童被作為不必要的或設計不當的研究的對象，而兒童對拒絕或同意參加研究極少擁有或者沒有發言權。根據兒童能力的發展，應徵求兒童的許可，如有必要可以徵求父母或監護人的許可。但是在所有情況下，必須在充分透露兒童研究的風險和益處基礎上給予許可。</w:t>
      </w:r>
    </w:p>
    <w:p w14:paraId="14F95AD2" w14:textId="77777777" w:rsidR="009F66C9" w:rsidRPr="005E758A" w:rsidRDefault="009F66C9" w:rsidP="009F66C9">
      <w:pPr>
        <w:pStyle w:val="2"/>
      </w:pPr>
      <w:r w:rsidRPr="005E758A">
        <w:t>案例介紹</w:t>
      </w:r>
    </w:p>
    <w:p w14:paraId="3D1DF85E" w14:textId="77777777" w:rsidR="009F66C9" w:rsidRPr="005E758A" w:rsidRDefault="009F66C9" w:rsidP="009F66C9">
      <w:pPr>
        <w:pStyle w:val="3"/>
        <w:numPr>
          <w:ilvl w:val="0"/>
          <w:numId w:val="203"/>
        </w:numPr>
      </w:pPr>
      <w:r w:rsidRPr="005E758A">
        <w:t>2002</w:t>
      </w:r>
      <w:r w:rsidRPr="005E758A">
        <w:t>年國際醫學科學組織協會</w:t>
      </w:r>
      <w:r w:rsidRPr="005E758A">
        <w:t>(Council for International Organizations of Medical Sciences)</w:t>
      </w:r>
      <w:r w:rsidRPr="005E758A">
        <w:t>涉及人體之生物醫療研究國際倫理指導方針</w:t>
      </w:r>
      <w:r w:rsidRPr="005E758A">
        <w:t>(International Ethical Guidelines for Biomedical Research Involving Human Subjects)</w:t>
      </w:r>
    </w:p>
    <w:p w14:paraId="41CDF777" w14:textId="77777777" w:rsidR="009F66C9" w:rsidRPr="005E758A" w:rsidRDefault="009F66C9" w:rsidP="009F66C9">
      <w:pPr>
        <w:snapToGrid w:val="0"/>
        <w:spacing w:before="100" w:beforeAutospacing="1" w:after="100" w:afterAutospacing="1"/>
        <w:ind w:firstLineChars="200" w:firstLine="560"/>
        <w:jc w:val="both"/>
        <w:rPr>
          <w:sz w:val="28"/>
        </w:rPr>
      </w:pPr>
      <w:r w:rsidRPr="005E758A">
        <w:rPr>
          <w:sz w:val="28"/>
        </w:rPr>
        <w:t>國際醫學科學組織協會為世界衛生組織及聯合國教科文組織推動下成立之國際性非政府組織，從</w:t>
      </w:r>
      <w:r w:rsidRPr="005E758A">
        <w:rPr>
          <w:sz w:val="28"/>
        </w:rPr>
        <w:t>1970</w:t>
      </w:r>
      <w:r w:rsidRPr="005E758A">
        <w:rPr>
          <w:sz w:val="28"/>
        </w:rPr>
        <w:t>年代開始研究生物醫療研究倫理相關議題，經過多年討論後，於</w:t>
      </w:r>
      <w:r w:rsidRPr="005E758A">
        <w:rPr>
          <w:sz w:val="28"/>
        </w:rPr>
        <w:t>1993</w:t>
      </w:r>
      <w:r w:rsidRPr="005E758A">
        <w:rPr>
          <w:sz w:val="28"/>
        </w:rPr>
        <w:t>年通過涉及人體之生物醫療研究國際倫理指導方針，</w:t>
      </w:r>
      <w:r w:rsidRPr="005E758A">
        <w:rPr>
          <w:sz w:val="28"/>
        </w:rPr>
        <w:t>1998</w:t>
      </w:r>
      <w:r w:rsidRPr="005E758A">
        <w:rPr>
          <w:sz w:val="28"/>
        </w:rPr>
        <w:t>年開始推動此份指導方針的修訂，並於</w:t>
      </w:r>
      <w:r w:rsidRPr="005E758A">
        <w:rPr>
          <w:sz w:val="28"/>
        </w:rPr>
        <w:t>2002</w:t>
      </w:r>
      <w:r w:rsidRPr="005E758A">
        <w:rPr>
          <w:sz w:val="28"/>
        </w:rPr>
        <w:t>年通過修正版。該份方針規範了醫療倫理審查、涉及人體研究時病人的同意及參與等不同層面的議題，也特別討論到與兒童相關的研究。其中第</w:t>
      </w:r>
      <w:r w:rsidRPr="005E758A">
        <w:rPr>
          <w:sz w:val="28"/>
        </w:rPr>
        <w:t>14</w:t>
      </w:r>
      <w:r w:rsidRPr="005E758A">
        <w:rPr>
          <w:sz w:val="28"/>
        </w:rPr>
        <w:t>號原則規定：研究人員在進行與兒童相關的研究前須確保</w:t>
      </w:r>
    </w:p>
    <w:p w14:paraId="159B7324" w14:textId="77777777" w:rsidR="009F66C9" w:rsidRPr="005E758A" w:rsidRDefault="009F66C9" w:rsidP="009F66C9">
      <w:pPr>
        <w:pStyle w:val="a0"/>
        <w:numPr>
          <w:ilvl w:val="0"/>
          <w:numId w:val="198"/>
        </w:numPr>
        <w:snapToGrid w:val="0"/>
        <w:spacing w:before="100" w:beforeAutospacing="1" w:after="100" w:afterAutospacing="1"/>
        <w:ind w:leftChars="0"/>
        <w:jc w:val="both"/>
        <w:rPr>
          <w:rFonts w:ascii="Times New Roman" w:eastAsia="標楷體" w:hAnsi="Times New Roman"/>
          <w:sz w:val="28"/>
        </w:rPr>
      </w:pPr>
      <w:r w:rsidRPr="005E758A">
        <w:rPr>
          <w:rFonts w:ascii="Times New Roman" w:eastAsia="標楷體" w:hAnsi="Times New Roman"/>
          <w:sz w:val="28"/>
        </w:rPr>
        <w:t>該項研究若以成人為對象無法達到同樣效果</w:t>
      </w:r>
    </w:p>
    <w:p w14:paraId="079CD691" w14:textId="77777777" w:rsidR="009F66C9" w:rsidRPr="005E758A" w:rsidRDefault="009F66C9" w:rsidP="009F66C9">
      <w:pPr>
        <w:pStyle w:val="a0"/>
        <w:numPr>
          <w:ilvl w:val="0"/>
          <w:numId w:val="198"/>
        </w:numPr>
        <w:snapToGrid w:val="0"/>
        <w:spacing w:before="100" w:beforeAutospacing="1" w:after="100" w:afterAutospacing="1"/>
        <w:ind w:leftChars="0"/>
        <w:jc w:val="both"/>
        <w:rPr>
          <w:rFonts w:ascii="Times New Roman" w:eastAsia="標楷體" w:hAnsi="Times New Roman"/>
          <w:sz w:val="28"/>
        </w:rPr>
      </w:pPr>
      <w:r w:rsidRPr="005E758A">
        <w:rPr>
          <w:rFonts w:ascii="Times New Roman" w:eastAsia="標楷體" w:hAnsi="Times New Roman"/>
          <w:sz w:val="28"/>
        </w:rPr>
        <w:t>研究的目的是為了獲取與兒童健康上需求相關之知識</w:t>
      </w:r>
    </w:p>
    <w:p w14:paraId="26E02BC7" w14:textId="77777777" w:rsidR="009F66C9" w:rsidRPr="005E758A" w:rsidRDefault="009F66C9" w:rsidP="009F66C9">
      <w:pPr>
        <w:pStyle w:val="a0"/>
        <w:numPr>
          <w:ilvl w:val="0"/>
          <w:numId w:val="198"/>
        </w:numPr>
        <w:snapToGrid w:val="0"/>
        <w:spacing w:before="100" w:beforeAutospacing="1" w:after="100" w:afterAutospacing="1"/>
        <w:ind w:leftChars="0"/>
        <w:jc w:val="both"/>
        <w:rPr>
          <w:rFonts w:ascii="Times New Roman" w:eastAsia="標楷體" w:hAnsi="Times New Roman"/>
          <w:sz w:val="28"/>
        </w:rPr>
      </w:pPr>
      <w:r w:rsidRPr="005E758A">
        <w:rPr>
          <w:rFonts w:ascii="Times New Roman" w:eastAsia="標楷體" w:hAnsi="Times New Roman"/>
          <w:sz w:val="28"/>
        </w:rPr>
        <w:t>已取得所有參與兒童之父母親或法定代理人之一的許可</w:t>
      </w:r>
    </w:p>
    <w:p w14:paraId="00FC467E" w14:textId="77777777" w:rsidR="009F66C9" w:rsidRPr="005E758A" w:rsidRDefault="009F66C9" w:rsidP="009F66C9">
      <w:pPr>
        <w:pStyle w:val="a0"/>
        <w:numPr>
          <w:ilvl w:val="0"/>
          <w:numId w:val="198"/>
        </w:numPr>
        <w:snapToGrid w:val="0"/>
        <w:spacing w:before="100" w:beforeAutospacing="1" w:after="100" w:afterAutospacing="1"/>
        <w:ind w:leftChars="0"/>
        <w:jc w:val="both"/>
        <w:rPr>
          <w:rFonts w:ascii="Times New Roman" w:eastAsia="標楷體" w:hAnsi="Times New Roman"/>
          <w:sz w:val="28"/>
        </w:rPr>
      </w:pPr>
      <w:r w:rsidRPr="005E758A">
        <w:rPr>
          <w:rFonts w:ascii="Times New Roman" w:eastAsia="標楷體" w:hAnsi="Times New Roman"/>
          <w:sz w:val="28"/>
        </w:rPr>
        <w:t>已盡可能依照每位兒童的能力取得其同意</w:t>
      </w:r>
      <w:r w:rsidRPr="005E758A">
        <w:rPr>
          <w:rFonts w:ascii="Times New Roman" w:eastAsia="標楷體" w:hAnsi="Times New Roman"/>
          <w:sz w:val="28"/>
        </w:rPr>
        <w:t>(assent)</w:t>
      </w:r>
    </w:p>
    <w:p w14:paraId="6928F10A" w14:textId="77777777" w:rsidR="009F66C9" w:rsidRPr="005E758A" w:rsidRDefault="009F66C9" w:rsidP="009F66C9">
      <w:pPr>
        <w:pStyle w:val="a0"/>
        <w:numPr>
          <w:ilvl w:val="0"/>
          <w:numId w:val="198"/>
        </w:numPr>
        <w:snapToGrid w:val="0"/>
        <w:spacing w:before="100" w:beforeAutospacing="1" w:after="100" w:afterAutospacing="1"/>
        <w:ind w:leftChars="0"/>
        <w:jc w:val="both"/>
        <w:rPr>
          <w:rFonts w:ascii="Times New Roman" w:eastAsia="標楷體" w:hAnsi="Times New Roman"/>
          <w:sz w:val="28"/>
        </w:rPr>
      </w:pPr>
      <w:r w:rsidRPr="005E758A">
        <w:rPr>
          <w:rFonts w:ascii="Times New Roman" w:eastAsia="標楷體" w:hAnsi="Times New Roman"/>
          <w:sz w:val="28"/>
        </w:rPr>
        <w:t>若兒童拒絕參與研究，他的意願應被尊重</w:t>
      </w:r>
    </w:p>
    <w:p w14:paraId="62B3FF59" w14:textId="77777777" w:rsidR="009F66C9" w:rsidRPr="005E758A" w:rsidRDefault="009F66C9" w:rsidP="009F66C9">
      <w:pPr>
        <w:snapToGrid w:val="0"/>
        <w:spacing w:before="100" w:beforeAutospacing="1" w:after="100" w:afterAutospacing="1"/>
        <w:ind w:firstLineChars="200" w:firstLine="560"/>
        <w:jc w:val="both"/>
        <w:rPr>
          <w:sz w:val="28"/>
        </w:rPr>
      </w:pPr>
      <w:r w:rsidRPr="005E758A">
        <w:rPr>
          <w:sz w:val="28"/>
        </w:rPr>
        <w:t>國際醫學科學組織協會對此項原則所做出的解釋提及，世界各國國內法對於兒童可以表示同意的年齡或條件所作之規定有很大的差異，而許多未達法定同意年齡的兒童其實可以瞭解研究相關的內容以及同意的後果，因此應視情況並依照每位兒童的能力取得其同意。此</w:t>
      </w:r>
      <w:r w:rsidRPr="005E758A">
        <w:rPr>
          <w:sz w:val="28"/>
        </w:rPr>
        <w:lastRenderedPageBreak/>
        <w:t>外，涉及兒童的研究環境應提供兒童及父母足夠的醫療及心理健康協助，研究者也可以在能力範圍內就兒童對研究的參與洽詢兒童的家庭醫生、小兒科醫生或其它提供醫療照顧者。</w:t>
      </w:r>
    </w:p>
    <w:p w14:paraId="2E57E228" w14:textId="77777777" w:rsidR="009F66C9" w:rsidRPr="005E758A" w:rsidRDefault="009F66C9" w:rsidP="009F66C9">
      <w:pPr>
        <w:pStyle w:val="2"/>
      </w:pPr>
      <w:r w:rsidRPr="005E758A">
        <w:t>綜合分析</w:t>
      </w:r>
    </w:p>
    <w:p w14:paraId="7C8BF6CA" w14:textId="77777777" w:rsidR="009F66C9" w:rsidRPr="005E758A" w:rsidRDefault="009F66C9" w:rsidP="009F66C9">
      <w:pPr>
        <w:snapToGrid w:val="0"/>
        <w:spacing w:before="100" w:beforeAutospacing="1" w:after="100" w:afterAutospacing="1"/>
        <w:ind w:firstLineChars="200" w:firstLine="560"/>
        <w:jc w:val="both"/>
        <w:rPr>
          <w:sz w:val="28"/>
        </w:rPr>
      </w:pPr>
      <w:r w:rsidRPr="005E758A">
        <w:rPr>
          <w:sz w:val="28"/>
        </w:rPr>
        <w:t>儘管多年來與本條相關的討論及兒童權利委員會的實踐均較缺乏，但不應因此影響本條規範的重要性。聯合國兒童基金會曾建議國家在執行本條規範時，應注意與剝削相關國內法律是否不限於經濟剝削與性剝削，相關部門也應在兒童遭受社會剝削等其它形式的剝削時介入處理</w:t>
      </w:r>
      <w:r w:rsidRPr="005E758A">
        <w:rPr>
          <w:rStyle w:val="af3"/>
          <w:sz w:val="28"/>
        </w:rPr>
        <w:endnoteReference w:id="488"/>
      </w:r>
      <w:r w:rsidRPr="005E758A">
        <w:rPr>
          <w:sz w:val="28"/>
        </w:rPr>
        <w:t>，始屬徹底落實本條對兒童的保障。</w:t>
      </w:r>
    </w:p>
    <w:p w14:paraId="2087908E" w14:textId="77777777" w:rsidR="009F66C9" w:rsidRPr="005E758A" w:rsidRDefault="009F66C9" w:rsidP="009F66C9">
      <w:pPr>
        <w:pStyle w:val="2"/>
      </w:pPr>
      <w:r w:rsidRPr="005E758A">
        <w:t>參考資料</w:t>
      </w:r>
    </w:p>
    <w:p w14:paraId="0BC16417" w14:textId="77777777" w:rsidR="009F66C9" w:rsidRPr="005E758A" w:rsidRDefault="009F66C9" w:rsidP="009F66C9">
      <w:pPr>
        <w:pStyle w:val="a0"/>
        <w:numPr>
          <w:ilvl w:val="0"/>
          <w:numId w:val="196"/>
        </w:numPr>
        <w:snapToGrid w:val="0"/>
        <w:ind w:leftChars="0"/>
        <w:jc w:val="both"/>
        <w:rPr>
          <w:rFonts w:ascii="Times New Roman" w:eastAsia="標楷體" w:hAnsi="Times New Roman"/>
          <w:sz w:val="28"/>
          <w:szCs w:val="28"/>
        </w:rPr>
      </w:pPr>
      <w:r w:rsidRPr="005E758A">
        <w:rPr>
          <w:rFonts w:ascii="Times New Roman" w:eastAsia="標楷體" w:hAnsi="Times New Roman"/>
          <w:smallCaps/>
          <w:sz w:val="28"/>
          <w:szCs w:val="28"/>
        </w:rPr>
        <w:t>UNICEF, Implementation Handbook for the Convention on the Rights of the Child</w:t>
      </w:r>
      <w:r w:rsidRPr="005E758A">
        <w:rPr>
          <w:rFonts w:ascii="Times New Roman" w:eastAsia="標楷體" w:hAnsi="Times New Roman"/>
          <w:sz w:val="28"/>
          <w:szCs w:val="28"/>
        </w:rPr>
        <w:t xml:space="preserve"> (3d. 2007).</w:t>
      </w:r>
    </w:p>
    <w:p w14:paraId="15298B4B" w14:textId="77777777" w:rsidR="009F66C9" w:rsidRPr="005E758A" w:rsidRDefault="009F66C9" w:rsidP="009F66C9">
      <w:pPr>
        <w:pStyle w:val="a0"/>
        <w:numPr>
          <w:ilvl w:val="0"/>
          <w:numId w:val="196"/>
        </w:numPr>
        <w:snapToGrid w:val="0"/>
        <w:ind w:leftChars="0"/>
        <w:jc w:val="both"/>
        <w:rPr>
          <w:rFonts w:ascii="Times New Roman" w:eastAsia="標楷體" w:hAnsi="Times New Roman"/>
          <w:sz w:val="28"/>
          <w:szCs w:val="28"/>
        </w:rPr>
      </w:pPr>
      <w:r w:rsidRPr="005E758A">
        <w:rPr>
          <w:rFonts w:ascii="Times New Roman" w:eastAsia="標楷體" w:hAnsi="Times New Roman"/>
          <w:sz w:val="28"/>
        </w:rPr>
        <w:t>兒童權利委員會，第</w:t>
      </w:r>
      <w:r w:rsidRPr="005E758A">
        <w:rPr>
          <w:rFonts w:ascii="Times New Roman" w:eastAsia="標楷體" w:hAnsi="Times New Roman"/>
          <w:sz w:val="28"/>
        </w:rPr>
        <w:t>3</w:t>
      </w:r>
      <w:r w:rsidRPr="005E758A">
        <w:rPr>
          <w:rFonts w:ascii="Times New Roman" w:eastAsia="標楷體" w:hAnsi="Times New Roman"/>
          <w:sz w:val="28"/>
        </w:rPr>
        <w:t>號一般性意見「愛滋病與兒童權利」。</w:t>
      </w:r>
      <w:r w:rsidRPr="005E758A">
        <w:rPr>
          <w:rFonts w:ascii="Times New Roman" w:eastAsia="標楷體" w:hAnsi="Times New Roman"/>
          <w:sz w:val="28"/>
          <w:szCs w:val="28"/>
        </w:rPr>
        <w:t>(Committee on the Rights of the Child, General Comment No. 3: HIV/AIDS and the Rights of the Child, U.N. Doc. CRC/GC/2003/3 (Mar. 17, 2003).)</w:t>
      </w:r>
    </w:p>
    <w:p w14:paraId="75D173EA" w14:textId="77777777" w:rsidR="009F66C9" w:rsidRPr="005E758A" w:rsidRDefault="009F66C9" w:rsidP="009F66C9">
      <w:pPr>
        <w:pStyle w:val="a0"/>
        <w:numPr>
          <w:ilvl w:val="0"/>
          <w:numId w:val="196"/>
        </w:numPr>
        <w:snapToGrid w:val="0"/>
        <w:ind w:leftChars="0"/>
        <w:jc w:val="both"/>
        <w:rPr>
          <w:rFonts w:ascii="Times New Roman" w:eastAsia="標楷體" w:hAnsi="Times New Roman"/>
          <w:sz w:val="28"/>
          <w:szCs w:val="28"/>
        </w:rPr>
      </w:pPr>
      <w:r w:rsidRPr="005E758A">
        <w:rPr>
          <w:rFonts w:ascii="Times New Roman" w:eastAsia="標楷體" w:hAnsi="Times New Roman"/>
          <w:sz w:val="28"/>
          <w:szCs w:val="28"/>
        </w:rPr>
        <w:t>兒童權利委員會，第</w:t>
      </w:r>
      <w:r w:rsidRPr="005E758A">
        <w:rPr>
          <w:rFonts w:ascii="Times New Roman" w:eastAsia="標楷體" w:hAnsi="Times New Roman"/>
          <w:sz w:val="28"/>
          <w:szCs w:val="28"/>
        </w:rPr>
        <w:t>11</w:t>
      </w:r>
      <w:r w:rsidRPr="005E758A">
        <w:rPr>
          <w:rFonts w:ascii="Times New Roman" w:eastAsia="標楷體" w:hAnsi="Times New Roman"/>
          <w:sz w:val="28"/>
          <w:szCs w:val="28"/>
        </w:rPr>
        <w:t>屆會議報告。</w:t>
      </w:r>
      <w:r w:rsidRPr="005E758A">
        <w:rPr>
          <w:rFonts w:ascii="Times New Roman" w:eastAsia="標楷體" w:hAnsi="Times New Roman"/>
          <w:sz w:val="28"/>
          <w:szCs w:val="28"/>
        </w:rPr>
        <w:t>(Committee on the Rights of the Child, Report on the Eleventh Session, U.N. Doc. CRC/C/50 (Mar. 22, 1996).)</w:t>
      </w:r>
    </w:p>
    <w:p w14:paraId="7F58D6A2" w14:textId="77777777" w:rsidR="009F66C9" w:rsidRPr="005E758A" w:rsidRDefault="009F66C9" w:rsidP="009F66C9">
      <w:pPr>
        <w:pStyle w:val="a0"/>
        <w:numPr>
          <w:ilvl w:val="0"/>
          <w:numId w:val="196"/>
        </w:numPr>
        <w:snapToGrid w:val="0"/>
        <w:ind w:leftChars="0"/>
        <w:jc w:val="both"/>
        <w:rPr>
          <w:rFonts w:ascii="Times New Roman" w:eastAsia="標楷體" w:hAnsi="Times New Roman"/>
          <w:sz w:val="28"/>
          <w:szCs w:val="28"/>
        </w:rPr>
      </w:pPr>
      <w:r w:rsidRPr="005E758A">
        <w:rPr>
          <w:rFonts w:ascii="Times New Roman" w:eastAsia="標楷體" w:hAnsi="Times New Roman"/>
          <w:sz w:val="28"/>
          <w:szCs w:val="28"/>
        </w:rPr>
        <w:t>林沛君，兒少人權向前行，臺北市，台灣展翅協會，</w:t>
      </w:r>
      <w:r w:rsidRPr="005E758A">
        <w:rPr>
          <w:rFonts w:ascii="Times New Roman" w:eastAsia="標楷體" w:hAnsi="Times New Roman"/>
          <w:sz w:val="28"/>
          <w:szCs w:val="28"/>
        </w:rPr>
        <w:t>2015</w:t>
      </w:r>
      <w:r w:rsidRPr="005E758A">
        <w:rPr>
          <w:rFonts w:ascii="Times New Roman" w:eastAsia="標楷體" w:hAnsi="Times New Roman"/>
          <w:sz w:val="28"/>
          <w:szCs w:val="28"/>
        </w:rPr>
        <w:t>年</w:t>
      </w:r>
      <w:r w:rsidRPr="005E758A">
        <w:rPr>
          <w:rFonts w:ascii="Times New Roman" w:eastAsia="標楷體" w:hAnsi="Times New Roman"/>
          <w:sz w:val="28"/>
          <w:szCs w:val="28"/>
        </w:rPr>
        <w:t>4</w:t>
      </w:r>
      <w:r w:rsidRPr="005E758A">
        <w:rPr>
          <w:rFonts w:ascii="Times New Roman" w:eastAsia="標楷體" w:hAnsi="Times New Roman"/>
          <w:sz w:val="28"/>
          <w:szCs w:val="28"/>
        </w:rPr>
        <w:t>月。</w:t>
      </w:r>
    </w:p>
    <w:p w14:paraId="0E2F0428" w14:textId="77777777" w:rsidR="009F66C9" w:rsidRPr="005E758A" w:rsidRDefault="009F66C9" w:rsidP="009F66C9">
      <w:pPr>
        <w:pStyle w:val="a0"/>
        <w:numPr>
          <w:ilvl w:val="0"/>
          <w:numId w:val="196"/>
        </w:numPr>
        <w:snapToGrid w:val="0"/>
        <w:ind w:leftChars="0"/>
        <w:jc w:val="both"/>
        <w:rPr>
          <w:rFonts w:ascii="Times New Roman" w:eastAsia="標楷體" w:hAnsi="Times New Roman"/>
          <w:sz w:val="28"/>
          <w:szCs w:val="28"/>
        </w:rPr>
      </w:pPr>
      <w:r w:rsidRPr="005E758A">
        <w:rPr>
          <w:rFonts w:ascii="Times New Roman" w:eastAsia="標楷體" w:hAnsi="Times New Roman"/>
          <w:sz w:val="28"/>
          <w:szCs w:val="28"/>
        </w:rPr>
        <w:t>聯合國人權事務高級專員辦事處，兒童權利公約立法歷史。</w:t>
      </w:r>
      <w:r w:rsidRPr="005E758A">
        <w:rPr>
          <w:rFonts w:ascii="Times New Roman" w:eastAsia="標楷體" w:hAnsi="Times New Roman"/>
          <w:sz w:val="28"/>
          <w:szCs w:val="28"/>
        </w:rPr>
        <w:t>(</w:t>
      </w:r>
      <w:r w:rsidRPr="005E758A">
        <w:rPr>
          <w:rFonts w:ascii="Times New Roman" w:eastAsia="標楷體" w:hAnsi="Times New Roman"/>
          <w:smallCaps/>
          <w:sz w:val="28"/>
          <w:szCs w:val="28"/>
        </w:rPr>
        <w:t xml:space="preserve">Office of the United Nations High Commissioner for Human Rights, Legislative History of the Convention on the Rights of the Child </w:t>
      </w:r>
      <w:r w:rsidRPr="005E758A">
        <w:rPr>
          <w:rFonts w:ascii="Times New Roman" w:eastAsia="標楷體" w:hAnsi="Times New Roman"/>
          <w:sz w:val="28"/>
          <w:szCs w:val="28"/>
        </w:rPr>
        <w:t>(2007).)</w:t>
      </w:r>
    </w:p>
    <w:p w14:paraId="3CBF3D63" w14:textId="77777777" w:rsidR="009F66C9" w:rsidRPr="005E758A" w:rsidRDefault="009F66C9" w:rsidP="009F66C9">
      <w:pPr>
        <w:snapToGrid w:val="0"/>
        <w:spacing w:before="100" w:beforeAutospacing="1" w:after="100" w:afterAutospacing="1"/>
        <w:jc w:val="both"/>
        <w:rPr>
          <w:sz w:val="28"/>
        </w:rPr>
      </w:pPr>
    </w:p>
    <w:p w14:paraId="0FA2C40D" w14:textId="77777777" w:rsidR="009F66C9" w:rsidRPr="005E758A" w:rsidRDefault="009F66C9" w:rsidP="009F66C9">
      <w:pPr>
        <w:snapToGrid w:val="0"/>
        <w:spacing w:before="100" w:beforeAutospacing="1" w:after="100" w:afterAutospacing="1"/>
        <w:jc w:val="both"/>
      </w:pPr>
      <w:r w:rsidRPr="005E758A">
        <w:rPr>
          <w:sz w:val="28"/>
        </w:rPr>
        <w:t>關鍵詞：兒童福祉、兒童剝削</w:t>
      </w:r>
    </w:p>
    <w:p w14:paraId="7247EC54" w14:textId="77777777" w:rsidR="009F66C9" w:rsidRPr="005E758A" w:rsidRDefault="009F66C9" w:rsidP="009B0E2D">
      <w:pPr>
        <w:pStyle w:val="1"/>
        <w:sectPr w:rsidR="009F66C9" w:rsidRPr="005E758A" w:rsidSect="00135FC9">
          <w:footerReference w:type="default" r:id="rId21"/>
          <w:footnotePr>
            <w:numRestart w:val="eachSect"/>
          </w:footnotePr>
          <w:endnotePr>
            <w:numFmt w:val="decimal"/>
            <w:numRestart w:val="eachSect"/>
          </w:endnotePr>
          <w:pgSz w:w="11906" w:h="16838"/>
          <w:pgMar w:top="1440" w:right="1797" w:bottom="1440" w:left="1797" w:header="851" w:footer="992" w:gutter="0"/>
          <w:cols w:space="425"/>
          <w:docGrid w:linePitch="360"/>
        </w:sectPr>
      </w:pPr>
    </w:p>
    <w:p w14:paraId="4C4248E7" w14:textId="77777777" w:rsidR="00F50913" w:rsidRPr="00F50913" w:rsidRDefault="00F50913" w:rsidP="00F50913">
      <w:pPr>
        <w:pStyle w:val="1"/>
        <w:rPr>
          <w:color w:val="000000" w:themeColor="text1"/>
        </w:rPr>
      </w:pPr>
      <w:bookmarkStart w:id="102" w:name="_Toc431072753"/>
      <w:r w:rsidRPr="005E758A">
        <w:rPr>
          <w:color w:val="000000" w:themeColor="text1"/>
        </w:rPr>
        <w:lastRenderedPageBreak/>
        <w:t>第</w:t>
      </w:r>
      <w:r w:rsidRPr="005E758A">
        <w:rPr>
          <w:color w:val="000000" w:themeColor="text1"/>
        </w:rPr>
        <w:t>37</w:t>
      </w:r>
      <w:r w:rsidRPr="005E758A">
        <w:rPr>
          <w:color w:val="000000" w:themeColor="text1"/>
        </w:rPr>
        <w:t>條</w:t>
      </w:r>
      <w:r>
        <w:rPr>
          <w:color w:val="000000" w:themeColor="text1"/>
        </w:rPr>
        <w:t xml:space="preserve">　</w:t>
      </w:r>
      <w:r w:rsidRPr="00F50913">
        <w:rPr>
          <w:rFonts w:hint="eastAsia"/>
          <w:color w:val="000000" w:themeColor="text1"/>
        </w:rPr>
        <w:t>殘忍、不人道或有辱人格之待遇</w:t>
      </w:r>
      <w:bookmarkEnd w:id="102"/>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20"/>
      </w:tblGrid>
      <w:tr w:rsidR="00F50913" w:rsidRPr="005E758A" w14:paraId="1F7C47FC" w14:textId="77777777" w:rsidTr="002B035C">
        <w:trPr>
          <w:jc w:val="center"/>
        </w:trPr>
        <w:tc>
          <w:tcPr>
            <w:tcW w:w="8220" w:type="dxa"/>
            <w:shd w:val="clear" w:color="auto" w:fill="auto"/>
          </w:tcPr>
          <w:p w14:paraId="25F39F76" w14:textId="77777777" w:rsidR="00F50913" w:rsidRPr="005E758A" w:rsidRDefault="00F50913" w:rsidP="002B035C">
            <w:pPr>
              <w:snapToGrid w:val="0"/>
              <w:spacing w:beforeLines="50" w:before="120" w:afterLines="50" w:after="120" w:line="240" w:lineRule="atLeast"/>
              <w:contextualSpacing/>
              <w:rPr>
                <w:color w:val="000000" w:themeColor="text1"/>
                <w:sz w:val="28"/>
                <w:szCs w:val="28"/>
                <w:shd w:val="clear" w:color="auto" w:fill="FFFFFF"/>
              </w:rPr>
            </w:pPr>
            <w:r w:rsidRPr="005E758A">
              <w:rPr>
                <w:color w:val="000000" w:themeColor="text1"/>
                <w:sz w:val="28"/>
                <w:szCs w:val="28"/>
                <w:shd w:val="clear" w:color="auto" w:fill="FFFFFF"/>
              </w:rPr>
              <w:t>締約國應確保：</w:t>
            </w:r>
          </w:p>
          <w:p w14:paraId="0E3927AB" w14:textId="77777777" w:rsidR="00F50913" w:rsidRPr="005E758A" w:rsidRDefault="00F50913" w:rsidP="002B035C">
            <w:pPr>
              <w:pStyle w:val="a0"/>
              <w:numPr>
                <w:ilvl w:val="4"/>
                <w:numId w:val="1"/>
              </w:numPr>
              <w:snapToGrid w:val="0"/>
              <w:spacing w:beforeLines="50" w:before="120" w:afterLines="50" w:after="120" w:line="240" w:lineRule="atLeast"/>
              <w:ind w:leftChars="0" w:left="454"/>
              <w:contextualSpacing/>
              <w:rPr>
                <w:rFonts w:ascii="Times New Roman" w:eastAsia="標楷體" w:hAnsi="Times New Roman"/>
                <w:color w:val="000000" w:themeColor="text1"/>
                <w:sz w:val="28"/>
                <w:szCs w:val="28"/>
                <w:shd w:val="clear" w:color="auto" w:fill="FFFFFF"/>
              </w:rPr>
            </w:pPr>
            <w:r w:rsidRPr="005E758A">
              <w:rPr>
                <w:rFonts w:ascii="Times New Roman" w:eastAsia="標楷體" w:hAnsi="Times New Roman"/>
                <w:color w:val="000000" w:themeColor="text1"/>
                <w:sz w:val="28"/>
                <w:szCs w:val="28"/>
                <w:shd w:val="clear" w:color="auto" w:fill="FFFFFF"/>
              </w:rPr>
              <w:t>所有兒童均不受酷刑或其他形式之殘忍、不人道或有辱人格之待遇或處罰。對未滿十八歲之人所犯罪行，不得處以死刑或無釋放可能之無期徒刑；</w:t>
            </w:r>
          </w:p>
          <w:p w14:paraId="41B38EA2" w14:textId="77777777" w:rsidR="00F50913" w:rsidRPr="005E758A" w:rsidRDefault="00F50913" w:rsidP="002B035C">
            <w:pPr>
              <w:pStyle w:val="a0"/>
              <w:numPr>
                <w:ilvl w:val="4"/>
                <w:numId w:val="1"/>
              </w:numPr>
              <w:snapToGrid w:val="0"/>
              <w:spacing w:beforeLines="50" w:before="120" w:afterLines="50" w:after="120" w:line="240" w:lineRule="atLeast"/>
              <w:ind w:leftChars="0" w:left="454"/>
              <w:contextualSpacing/>
              <w:rPr>
                <w:rFonts w:ascii="Times New Roman" w:eastAsia="標楷體" w:hAnsi="Times New Roman"/>
                <w:color w:val="000000" w:themeColor="text1"/>
                <w:sz w:val="28"/>
                <w:szCs w:val="28"/>
                <w:shd w:val="clear" w:color="auto" w:fill="FFFFFF"/>
              </w:rPr>
            </w:pPr>
            <w:r w:rsidRPr="005E758A">
              <w:rPr>
                <w:rFonts w:ascii="Times New Roman" w:eastAsia="標楷體" w:hAnsi="Times New Roman"/>
                <w:color w:val="000000" w:themeColor="text1"/>
                <w:sz w:val="28"/>
                <w:szCs w:val="28"/>
                <w:shd w:val="clear" w:color="auto" w:fill="FFFFFF"/>
              </w:rPr>
              <w:t>不得非法或恣意剝奪任何兒童之自由。對兒童之逮捕、拘留或監禁應符合法律規定並僅應作為最後手段，且應為最短之適當時限；</w:t>
            </w:r>
          </w:p>
          <w:p w14:paraId="2073A995" w14:textId="77777777" w:rsidR="00F50913" w:rsidRPr="005E758A" w:rsidRDefault="00F50913" w:rsidP="002B035C">
            <w:pPr>
              <w:pStyle w:val="a0"/>
              <w:numPr>
                <w:ilvl w:val="4"/>
                <w:numId w:val="1"/>
              </w:numPr>
              <w:snapToGrid w:val="0"/>
              <w:spacing w:beforeLines="50" w:before="120" w:afterLines="50" w:after="120" w:line="240" w:lineRule="atLeast"/>
              <w:ind w:leftChars="0" w:left="454"/>
              <w:contextualSpacing/>
              <w:rPr>
                <w:rFonts w:ascii="Times New Roman" w:eastAsia="標楷體" w:hAnsi="Times New Roman"/>
                <w:color w:val="000000" w:themeColor="text1"/>
                <w:sz w:val="28"/>
                <w:szCs w:val="28"/>
                <w:shd w:val="clear" w:color="auto" w:fill="FFFFFF"/>
              </w:rPr>
            </w:pPr>
            <w:r w:rsidRPr="005E758A">
              <w:rPr>
                <w:rFonts w:ascii="Times New Roman" w:eastAsia="標楷體" w:hAnsi="Times New Roman"/>
                <w:color w:val="000000" w:themeColor="text1"/>
                <w:sz w:val="28"/>
                <w:szCs w:val="28"/>
                <w:shd w:val="clear" w:color="auto" w:fill="FFFFFF"/>
              </w:rPr>
              <w:t>所有被剝奪自由之兒童應受到人道待遇，其人性尊嚴應受尊重，並應考慮其年齡之需要加以對待。特別是被剝奪自由之兒童應與成年人分別隔離，除非係基於兒童最佳利益而不隔離；除有特殊情況外，此等兒童有權透過通訊及探視與家人保持聯繫；</w:t>
            </w:r>
          </w:p>
          <w:p w14:paraId="103D6C9C" w14:textId="77777777" w:rsidR="00F50913" w:rsidRPr="005E758A" w:rsidRDefault="00F50913" w:rsidP="002B035C">
            <w:pPr>
              <w:pStyle w:val="a0"/>
              <w:numPr>
                <w:ilvl w:val="4"/>
                <w:numId w:val="1"/>
              </w:numPr>
              <w:snapToGrid w:val="0"/>
              <w:spacing w:beforeLines="50" w:before="120" w:afterLines="50" w:after="120" w:line="240" w:lineRule="atLeast"/>
              <w:ind w:leftChars="0" w:left="454"/>
              <w:contextualSpacing/>
              <w:rPr>
                <w:rFonts w:ascii="Times New Roman" w:eastAsia="標楷體" w:hAnsi="Times New Roman"/>
                <w:i/>
                <w:sz w:val="28"/>
                <w:szCs w:val="28"/>
              </w:rPr>
            </w:pPr>
            <w:r w:rsidRPr="005E758A">
              <w:rPr>
                <w:rFonts w:ascii="Times New Roman" w:eastAsia="標楷體" w:hAnsi="Times New Roman"/>
                <w:color w:val="000000" w:themeColor="text1"/>
                <w:sz w:val="28"/>
                <w:szCs w:val="28"/>
                <w:shd w:val="clear" w:color="auto" w:fill="FFFFFF"/>
              </w:rPr>
              <w:t>所有被剝奪自由之兒童，有迅速獲得法律及其他適當協助之權利，並有權就其自由被剝奪之合法性，向法院或其他權責、獨立、公正機關提出異議，並要求獲得迅速之決定。</w:t>
            </w:r>
          </w:p>
        </w:tc>
      </w:tr>
    </w:tbl>
    <w:p w14:paraId="7DE24192" w14:textId="77777777" w:rsidR="00F50913" w:rsidRPr="00F50913" w:rsidRDefault="00F50913" w:rsidP="00F50913">
      <w:pPr>
        <w:snapToGrid w:val="0"/>
        <w:spacing w:before="100" w:beforeAutospacing="1" w:after="100" w:afterAutospacing="1" w:line="0" w:lineRule="atLeast"/>
        <w:jc w:val="both"/>
        <w:rPr>
          <w:sz w:val="28"/>
        </w:rPr>
      </w:pPr>
    </w:p>
    <w:p w14:paraId="6BFA72A0" w14:textId="77777777" w:rsidR="009B0E2D" w:rsidRPr="005E758A" w:rsidRDefault="009B0E2D" w:rsidP="00D2135A">
      <w:pPr>
        <w:pStyle w:val="2"/>
        <w:numPr>
          <w:ilvl w:val="0"/>
          <w:numId w:val="80"/>
        </w:numPr>
      </w:pPr>
      <w:r w:rsidRPr="005E758A">
        <w:t>規範宗旨</w:t>
      </w:r>
    </w:p>
    <w:p w14:paraId="020C563F" w14:textId="77777777" w:rsidR="009B0E2D" w:rsidRPr="005E758A" w:rsidRDefault="009B0E2D" w:rsidP="009B0E2D">
      <w:pPr>
        <w:snapToGrid w:val="0"/>
        <w:spacing w:before="100" w:beforeAutospacing="1" w:after="100" w:afterAutospacing="1" w:line="0" w:lineRule="atLeast"/>
        <w:ind w:firstLineChars="200" w:firstLine="560"/>
        <w:jc w:val="both"/>
        <w:rPr>
          <w:sz w:val="28"/>
          <w:szCs w:val="28"/>
        </w:rPr>
      </w:pPr>
      <w:r w:rsidRPr="005E758A">
        <w:rPr>
          <w:sz w:val="28"/>
          <w:szCs w:val="28"/>
        </w:rPr>
        <w:t>國際人權法保障核心之一係任何人不應遭受酷刑或其他形式之殘忍、不人道或有辱人格的待遇或處罰。此種保障所涵蓋的對象應包括兒童，並無疑義。本條規定除了重申國際人權法中禁止禁止酷刑等之一般原則外，更針對兒童的特殊性而增列規定</w:t>
      </w:r>
      <w:r w:rsidRPr="005E758A">
        <w:rPr>
          <w:sz w:val="28"/>
          <w:szCs w:val="28"/>
        </w:rPr>
        <w:t>─</w:t>
      </w:r>
      <w:r w:rsidRPr="005E758A">
        <w:rPr>
          <w:sz w:val="28"/>
          <w:szCs w:val="28"/>
        </w:rPr>
        <w:t>不得處死刑或無期徒刑。國際法對此項人權已累積相當豐富之規定與解釋，包括</w:t>
      </w:r>
      <w:r w:rsidRPr="005E758A">
        <w:rPr>
          <w:sz w:val="28"/>
          <w:szCs w:val="28"/>
        </w:rPr>
        <w:t>(1)</w:t>
      </w:r>
      <w:r w:rsidRPr="005E758A">
        <w:rPr>
          <w:sz w:val="28"/>
          <w:szCs w:val="28"/>
        </w:rPr>
        <w:t>聯合國人權事務委員會</w:t>
      </w:r>
      <w:r w:rsidRPr="005E758A">
        <w:rPr>
          <w:sz w:val="28"/>
          <w:szCs w:val="28"/>
        </w:rPr>
        <w:t>(United Nations Human Rights Committee)</w:t>
      </w:r>
      <w:r w:rsidRPr="005E758A">
        <w:rPr>
          <w:sz w:val="28"/>
          <w:szCs w:val="28"/>
        </w:rPr>
        <w:t>與聯合國禁止酷刑委員會</w:t>
      </w:r>
      <w:r w:rsidRPr="005E758A">
        <w:rPr>
          <w:sz w:val="28"/>
          <w:szCs w:val="28"/>
        </w:rPr>
        <w:t>(United Nations Committee Against Torture)</w:t>
      </w:r>
      <w:r w:rsidRPr="005E758A">
        <w:rPr>
          <w:sz w:val="28"/>
          <w:szCs w:val="28"/>
        </w:rPr>
        <w:t>對</w:t>
      </w:r>
      <w:r w:rsidRPr="005E758A">
        <w:rPr>
          <w:sz w:val="28"/>
          <w:szCs w:val="28"/>
        </w:rPr>
        <w:t>1987</w:t>
      </w:r>
      <w:r w:rsidRPr="005E758A">
        <w:rPr>
          <w:sz w:val="28"/>
          <w:szCs w:val="28"/>
        </w:rPr>
        <w:t>年聯合國禁止酷刑公約</w:t>
      </w:r>
      <w:r w:rsidRPr="005E758A">
        <w:rPr>
          <w:sz w:val="28"/>
          <w:szCs w:val="28"/>
        </w:rPr>
        <w:t>(Convention Against Torture and Other Cruel, Inhuman or Degrading Treatment or Punishment)</w:t>
      </w:r>
      <w:r w:rsidRPr="005E758A">
        <w:rPr>
          <w:sz w:val="28"/>
          <w:szCs w:val="28"/>
        </w:rPr>
        <w:t>所公布之解釋</w:t>
      </w:r>
      <w:bookmarkStart w:id="103" w:name="_Ref429383442"/>
      <w:r w:rsidRPr="005E758A">
        <w:rPr>
          <w:rStyle w:val="af3"/>
          <w:sz w:val="28"/>
          <w:szCs w:val="28"/>
        </w:rPr>
        <w:endnoteReference w:id="489"/>
      </w:r>
      <w:bookmarkEnd w:id="103"/>
      <w:r w:rsidRPr="005E758A">
        <w:rPr>
          <w:sz w:val="28"/>
          <w:szCs w:val="28"/>
        </w:rPr>
        <w:t>及</w:t>
      </w:r>
      <w:r w:rsidRPr="005E758A">
        <w:rPr>
          <w:sz w:val="28"/>
          <w:szCs w:val="28"/>
        </w:rPr>
        <w:t>(2)</w:t>
      </w:r>
      <w:r w:rsidRPr="005E758A">
        <w:rPr>
          <w:sz w:val="28"/>
          <w:szCs w:val="28"/>
        </w:rPr>
        <w:t>歐洲委員會</w:t>
      </w:r>
      <w:r w:rsidRPr="005E758A">
        <w:rPr>
          <w:sz w:val="28"/>
          <w:szCs w:val="28"/>
        </w:rPr>
        <w:t>(European Commission)</w:t>
      </w:r>
      <w:r w:rsidRPr="005E758A">
        <w:rPr>
          <w:sz w:val="28"/>
          <w:szCs w:val="28"/>
        </w:rPr>
        <w:t>與歐洲人權法院</w:t>
      </w:r>
      <w:r w:rsidRPr="005E758A">
        <w:rPr>
          <w:sz w:val="28"/>
          <w:szCs w:val="28"/>
        </w:rPr>
        <w:t>(European Court of Human Rights)</w:t>
      </w:r>
      <w:r w:rsidRPr="005E758A">
        <w:rPr>
          <w:sz w:val="28"/>
          <w:szCs w:val="28"/>
        </w:rPr>
        <w:t>歷年之判決。</w:t>
      </w:r>
    </w:p>
    <w:p w14:paraId="2E555494" w14:textId="77777777" w:rsidR="009B0E2D" w:rsidRPr="005E758A" w:rsidRDefault="009B0E2D" w:rsidP="009B0E2D">
      <w:pPr>
        <w:snapToGrid w:val="0"/>
        <w:spacing w:before="100" w:beforeAutospacing="1" w:after="100" w:afterAutospacing="1" w:line="0" w:lineRule="atLeast"/>
        <w:ind w:firstLineChars="200" w:firstLine="560"/>
        <w:jc w:val="both"/>
        <w:rPr>
          <w:sz w:val="28"/>
          <w:szCs w:val="28"/>
        </w:rPr>
      </w:pPr>
      <w:r w:rsidRPr="005E758A">
        <w:rPr>
          <w:sz w:val="28"/>
          <w:szCs w:val="28"/>
        </w:rPr>
        <w:t>另由於公約前言將聯合國少年司法最低限度標準規則（下稱北京規則）列為參考文件之一，故而北京規則對於公約之解釋即具有其重要性。此外，兒童權利委員會於檢視各國國家報告時亦曾指出，聯合國有關少年司法之規範已為本條之落時提供了具體標準，所以相關規</w:t>
      </w:r>
      <w:r w:rsidRPr="005E758A">
        <w:rPr>
          <w:sz w:val="28"/>
          <w:szCs w:val="28"/>
        </w:rPr>
        <w:lastRenderedPageBreak/>
        <w:t>範對於公約之解釋亦不容忽視。除北京規則外，聯合國有關少年司法之規範尚包括聯合國保護被剝奪自由少年規則及聯合國預防少年犯罪準則（利雅德準則）等，解釋本條時，可一併參照。</w:t>
      </w:r>
    </w:p>
    <w:p w14:paraId="1A9A7342" w14:textId="77777777" w:rsidR="009B0E2D" w:rsidRPr="005E758A" w:rsidRDefault="009B0E2D" w:rsidP="009B0E2D">
      <w:pPr>
        <w:pStyle w:val="2"/>
      </w:pPr>
      <w:r w:rsidRPr="005E758A">
        <w:t>條文要義</w:t>
      </w:r>
    </w:p>
    <w:p w14:paraId="32446C04" w14:textId="77777777" w:rsidR="009B0E2D" w:rsidRPr="005E758A" w:rsidRDefault="009B0E2D" w:rsidP="00D2135A">
      <w:pPr>
        <w:pStyle w:val="3"/>
        <w:numPr>
          <w:ilvl w:val="0"/>
          <w:numId w:val="83"/>
        </w:numPr>
      </w:pPr>
      <w:r w:rsidRPr="005E758A">
        <w:t xml:space="preserve"> </w:t>
      </w:r>
      <w:r w:rsidRPr="005E758A">
        <w:t>第</w:t>
      </w:r>
      <w:r w:rsidRPr="005E758A">
        <w:t>37</w:t>
      </w:r>
      <w:r w:rsidRPr="005E758A">
        <w:t>條第</w:t>
      </w:r>
      <w:r w:rsidRPr="005E758A">
        <w:t>1</w:t>
      </w:r>
      <w:r w:rsidRPr="005E758A">
        <w:t>款</w:t>
      </w:r>
    </w:p>
    <w:p w14:paraId="05F0A269" w14:textId="77777777" w:rsidR="009B0E2D" w:rsidRPr="005E758A" w:rsidRDefault="009B0E2D" w:rsidP="00D2135A">
      <w:pPr>
        <w:pStyle w:val="4"/>
        <w:numPr>
          <w:ilvl w:val="2"/>
          <w:numId w:val="81"/>
        </w:numPr>
      </w:pPr>
      <w:r w:rsidRPr="005E758A">
        <w:t>「不受酷刑或其他形式之殘忍、不人道或有辱人格的待遇或處罰」：</w:t>
      </w:r>
    </w:p>
    <w:p w14:paraId="7B933829" w14:textId="77777777" w:rsidR="009B0E2D" w:rsidRPr="005E758A" w:rsidRDefault="009B0E2D" w:rsidP="009B0E2D">
      <w:pPr>
        <w:snapToGrid w:val="0"/>
        <w:spacing w:before="100" w:beforeAutospacing="1" w:after="100" w:afterAutospacing="1" w:line="0" w:lineRule="atLeast"/>
        <w:ind w:firstLineChars="200" w:firstLine="560"/>
        <w:jc w:val="both"/>
        <w:rPr>
          <w:sz w:val="28"/>
          <w:szCs w:val="28"/>
        </w:rPr>
      </w:pPr>
      <w:r w:rsidRPr="005E758A">
        <w:rPr>
          <w:sz w:val="28"/>
          <w:szCs w:val="28"/>
        </w:rPr>
        <w:t>依據禁止酷刑及其他殘忍、不人道或有辱人格之待遇或處罰公約第</w:t>
      </w:r>
      <w:r w:rsidRPr="005E758A">
        <w:rPr>
          <w:sz w:val="28"/>
          <w:szCs w:val="28"/>
        </w:rPr>
        <w:t>1</w:t>
      </w:r>
      <w:r w:rsidRPr="005E758A">
        <w:rPr>
          <w:sz w:val="28"/>
          <w:szCs w:val="28"/>
        </w:rPr>
        <w:t>條之規定，「酷刑」係指「為向特定人或第三者取得情報或供詞之目的，以處罰該特定人或第三者所從事或涉嫌之行為，或恐嚇或威脅該特定人或第三者，或基於任何形式歧視之任何理由，而蓄意使特定人在肉體或精神上遭受劇烈疼痛或痛苦之任何行為，而該等疼痛或痛苦係由公職人員或以官方身分行使職權之其他人所造成或在其唆使、同意或默許下所造成。惟純粹因法律制裁而導致之疼痛及痛苦則不在此限」</w:t>
      </w:r>
      <w:r w:rsidRPr="005E758A">
        <w:rPr>
          <w:rStyle w:val="af3"/>
          <w:sz w:val="28"/>
          <w:szCs w:val="28"/>
        </w:rPr>
        <w:endnoteReference w:id="490"/>
      </w:r>
      <w:r w:rsidRPr="005E758A">
        <w:rPr>
          <w:sz w:val="28"/>
          <w:szCs w:val="28"/>
        </w:rPr>
        <w:t>。</w:t>
      </w:r>
    </w:p>
    <w:p w14:paraId="59DE6891" w14:textId="77777777" w:rsidR="009B0E2D" w:rsidRPr="005E758A" w:rsidRDefault="009B0E2D" w:rsidP="009B0E2D">
      <w:pPr>
        <w:snapToGrid w:val="0"/>
        <w:spacing w:before="100" w:beforeAutospacing="1" w:after="100" w:afterAutospacing="1" w:line="0" w:lineRule="atLeast"/>
        <w:ind w:firstLineChars="200" w:firstLine="560"/>
        <w:jc w:val="both"/>
        <w:rPr>
          <w:sz w:val="28"/>
          <w:szCs w:val="28"/>
        </w:rPr>
      </w:pPr>
      <w:r w:rsidRPr="005E758A">
        <w:rPr>
          <w:sz w:val="28"/>
          <w:szCs w:val="28"/>
        </w:rPr>
        <w:t>聯合國人權事務委員會於其第</w:t>
      </w:r>
      <w:r w:rsidRPr="005E758A">
        <w:rPr>
          <w:sz w:val="28"/>
          <w:szCs w:val="28"/>
        </w:rPr>
        <w:t>20</w:t>
      </w:r>
      <w:r w:rsidRPr="005E758A">
        <w:rPr>
          <w:sz w:val="28"/>
          <w:szCs w:val="28"/>
        </w:rPr>
        <w:t>號一般性意見中表示，公民與政治權利國際公約第</w:t>
      </w:r>
      <w:r w:rsidRPr="005E758A">
        <w:rPr>
          <w:sz w:val="28"/>
          <w:szCs w:val="28"/>
        </w:rPr>
        <w:t>7</w:t>
      </w:r>
      <w:r w:rsidRPr="005E758A">
        <w:rPr>
          <w:sz w:val="28"/>
          <w:szCs w:val="28"/>
        </w:rPr>
        <w:t>條禁止對任何人「施以酷刑，或與以殘忍、不人道或侮辱之處遇或懲罰」之規定係為保障個人之尊嚴與身心完整性；而就該條所涉及之各行為類型則「無須提出明確之區分標準，蓋因處遇或懲罰之樣態基於其性質、目的與嚴重性本即有所不同」，例如以教育或管教目的而施予之體罰亦屬本條禁止之範圍，且遭受體罰之學生與醫療機構內之兒童病患亦為該委員會特別強調應受前開人權保障之對象。</w:t>
      </w:r>
      <w:r w:rsidRPr="005E758A">
        <w:rPr>
          <w:rStyle w:val="af3"/>
          <w:sz w:val="28"/>
          <w:szCs w:val="28"/>
        </w:rPr>
        <w:endnoteReference w:id="491"/>
      </w:r>
    </w:p>
    <w:p w14:paraId="445E5D44" w14:textId="77777777" w:rsidR="009B0E2D" w:rsidRPr="005E758A" w:rsidRDefault="009B0E2D" w:rsidP="009B0E2D">
      <w:pPr>
        <w:snapToGrid w:val="0"/>
        <w:spacing w:before="100" w:beforeAutospacing="1" w:after="100" w:afterAutospacing="1" w:line="0" w:lineRule="atLeast"/>
        <w:ind w:firstLineChars="200" w:firstLine="560"/>
        <w:jc w:val="both"/>
        <w:rPr>
          <w:sz w:val="28"/>
          <w:szCs w:val="28"/>
        </w:rPr>
      </w:pPr>
      <w:r w:rsidRPr="005E758A">
        <w:rPr>
          <w:sz w:val="28"/>
          <w:szCs w:val="28"/>
        </w:rPr>
        <w:t>兒童權利委員會於第</w:t>
      </w:r>
      <w:r w:rsidRPr="005E758A">
        <w:rPr>
          <w:sz w:val="28"/>
          <w:szCs w:val="28"/>
        </w:rPr>
        <w:t>13</w:t>
      </w:r>
      <w:r w:rsidRPr="005E758A">
        <w:rPr>
          <w:sz w:val="28"/>
          <w:szCs w:val="28"/>
        </w:rPr>
        <w:t>號一般性意見</w:t>
      </w:r>
      <w:r w:rsidRPr="005E758A">
        <w:rPr>
          <w:rStyle w:val="af3"/>
          <w:sz w:val="28"/>
          <w:szCs w:val="28"/>
        </w:rPr>
        <w:endnoteReference w:id="492"/>
      </w:r>
      <w:r w:rsidRPr="005E758A">
        <w:rPr>
          <w:sz w:val="28"/>
          <w:szCs w:val="28"/>
        </w:rPr>
        <w:t>中就「酷刑或其他形式之殘忍、不人道或有辱人格的待遇或處罰」亦採取與前述禁止酷刑公約類似之定義，即「出於逼供、對兒童的非法或欠佳行為進行法外處罰，或強迫兒童從事違背自身意願之活動的目的而對兒童施行之所有形式的暴力。施行之人通常為員警、執法官員、寄宿機構和其他機構之人員以及對兒童擁有權力之人，包括非國家武裝人員等」。例如，對兒童施以禁閉室處分除涉及兒童人身自由的議題外，同時也是對兒童精神虐待的一種形式。</w:t>
      </w:r>
    </w:p>
    <w:p w14:paraId="732CC454" w14:textId="77777777" w:rsidR="009B0E2D" w:rsidRPr="005E758A" w:rsidRDefault="009B0E2D" w:rsidP="009B0E2D">
      <w:pPr>
        <w:snapToGrid w:val="0"/>
        <w:spacing w:before="100" w:beforeAutospacing="1" w:after="100" w:afterAutospacing="1" w:line="0" w:lineRule="atLeast"/>
        <w:ind w:firstLineChars="200" w:firstLine="560"/>
        <w:jc w:val="both"/>
        <w:rPr>
          <w:sz w:val="28"/>
          <w:szCs w:val="28"/>
        </w:rPr>
      </w:pPr>
      <w:r w:rsidRPr="005E758A">
        <w:rPr>
          <w:sz w:val="28"/>
          <w:szCs w:val="28"/>
        </w:rPr>
        <w:t>受此等傷害之兒童多為遭受歧視、弱勢且缺乏成人為其捍衛權利之族群，例如觸法兒童、街頭兒童、原住民兒童或與父母等成人分離</w:t>
      </w:r>
      <w:r w:rsidRPr="005E758A">
        <w:rPr>
          <w:sz w:val="28"/>
          <w:szCs w:val="28"/>
        </w:rPr>
        <w:lastRenderedPageBreak/>
        <w:t>之兒童。</w:t>
      </w:r>
    </w:p>
    <w:p w14:paraId="1774C76D" w14:textId="77777777" w:rsidR="009B0E2D" w:rsidRPr="005E758A" w:rsidRDefault="009B0E2D" w:rsidP="00D2135A">
      <w:pPr>
        <w:pStyle w:val="4"/>
        <w:numPr>
          <w:ilvl w:val="2"/>
          <w:numId w:val="81"/>
        </w:numPr>
        <w:rPr>
          <w:szCs w:val="28"/>
        </w:rPr>
      </w:pPr>
      <w:r w:rsidRPr="005E758A">
        <w:rPr>
          <w:szCs w:val="28"/>
        </w:rPr>
        <w:t>「對未滿</w:t>
      </w:r>
      <w:r w:rsidRPr="005E758A">
        <w:rPr>
          <w:szCs w:val="28"/>
        </w:rPr>
        <w:t>18</w:t>
      </w:r>
      <w:r w:rsidRPr="005E758A">
        <w:rPr>
          <w:szCs w:val="28"/>
        </w:rPr>
        <w:t>歲的人所犯罪行，不得判以死刑或無釋放可能之無期徒刑」：</w:t>
      </w:r>
    </w:p>
    <w:p w14:paraId="76134C47" w14:textId="77777777" w:rsidR="009B0E2D" w:rsidRPr="005E758A" w:rsidRDefault="009B0E2D" w:rsidP="009B0E2D">
      <w:pPr>
        <w:snapToGrid w:val="0"/>
        <w:spacing w:before="100" w:beforeAutospacing="1" w:after="100" w:afterAutospacing="1" w:line="0" w:lineRule="atLeast"/>
        <w:ind w:firstLineChars="200" w:firstLine="560"/>
        <w:jc w:val="both"/>
        <w:rPr>
          <w:sz w:val="28"/>
          <w:szCs w:val="28"/>
        </w:rPr>
      </w:pPr>
      <w:r w:rsidRPr="005E758A">
        <w:rPr>
          <w:sz w:val="28"/>
          <w:szCs w:val="28"/>
        </w:rPr>
        <w:t>前文雖已提及公民與政治權利國際公約第</w:t>
      </w:r>
      <w:r w:rsidRPr="005E758A">
        <w:rPr>
          <w:sz w:val="28"/>
          <w:szCs w:val="28"/>
        </w:rPr>
        <w:t>6</w:t>
      </w:r>
      <w:r w:rsidRPr="005E758A">
        <w:rPr>
          <w:sz w:val="28"/>
          <w:szCs w:val="28"/>
        </w:rPr>
        <w:t>條第</w:t>
      </w:r>
      <w:r w:rsidRPr="005E758A">
        <w:rPr>
          <w:sz w:val="28"/>
          <w:szCs w:val="28"/>
        </w:rPr>
        <w:t>5</w:t>
      </w:r>
      <w:r w:rsidRPr="005E758A">
        <w:rPr>
          <w:sz w:val="28"/>
          <w:szCs w:val="28"/>
        </w:rPr>
        <w:t>項明文禁止對未滿</w:t>
      </w:r>
      <w:r w:rsidRPr="005E758A">
        <w:rPr>
          <w:sz w:val="28"/>
          <w:szCs w:val="28"/>
        </w:rPr>
        <w:t>18</w:t>
      </w:r>
      <w:r w:rsidRPr="005E758A">
        <w:rPr>
          <w:sz w:val="28"/>
          <w:szCs w:val="28"/>
        </w:rPr>
        <w:t>歲之人判處死刑，惟就部分仍允許對兒童處以死刑或</w:t>
      </w:r>
      <w:r w:rsidRPr="005E758A">
        <w:rPr>
          <w:sz w:val="28"/>
          <w:szCs w:val="28"/>
        </w:rPr>
        <w:t>/</w:t>
      </w:r>
      <w:r w:rsidRPr="005E758A">
        <w:rPr>
          <w:sz w:val="28"/>
          <w:szCs w:val="28"/>
        </w:rPr>
        <w:t>及無釋放可能性之無期徒刑的國家，兒童權利委員會曾於其</w:t>
      </w:r>
      <w:r w:rsidR="00090AC1" w:rsidRPr="005E758A">
        <w:rPr>
          <w:sz w:val="28"/>
          <w:szCs w:val="28"/>
        </w:rPr>
        <w:t>結論性</w:t>
      </w:r>
      <w:r w:rsidRPr="005E758A">
        <w:rPr>
          <w:sz w:val="28"/>
          <w:szCs w:val="28"/>
        </w:rPr>
        <w:t>意見中表示，縱使實務上真正執行之情況並不常見，該等國家之法律規範實有悖於前開公約之規定</w:t>
      </w:r>
      <w:r w:rsidRPr="005E758A">
        <w:rPr>
          <w:rStyle w:val="af3"/>
          <w:sz w:val="28"/>
          <w:szCs w:val="28"/>
        </w:rPr>
        <w:endnoteReference w:id="493"/>
      </w:r>
      <w:r w:rsidRPr="005E758A">
        <w:rPr>
          <w:sz w:val="28"/>
          <w:szCs w:val="28"/>
        </w:rPr>
        <w:t>。</w:t>
      </w:r>
    </w:p>
    <w:p w14:paraId="5D623C06" w14:textId="77777777" w:rsidR="009B0E2D" w:rsidRPr="005E758A" w:rsidRDefault="009B0E2D" w:rsidP="009B0E2D">
      <w:pPr>
        <w:pStyle w:val="3"/>
      </w:pPr>
      <w:r w:rsidRPr="005E758A">
        <w:t xml:space="preserve"> </w:t>
      </w:r>
      <w:r w:rsidRPr="005E758A">
        <w:t>第</w:t>
      </w:r>
      <w:r w:rsidRPr="005E758A">
        <w:t>37</w:t>
      </w:r>
      <w:r w:rsidRPr="005E758A">
        <w:t>條第</w:t>
      </w:r>
      <w:r w:rsidRPr="005E758A">
        <w:t>2</w:t>
      </w:r>
      <w:r w:rsidRPr="005E758A">
        <w:t>款</w:t>
      </w:r>
    </w:p>
    <w:p w14:paraId="1CA59251" w14:textId="77777777" w:rsidR="009B0E2D" w:rsidRPr="005E758A" w:rsidRDefault="009B0E2D" w:rsidP="009B0E2D">
      <w:pPr>
        <w:snapToGrid w:val="0"/>
        <w:spacing w:before="100" w:beforeAutospacing="1" w:after="100" w:afterAutospacing="1" w:line="0" w:lineRule="atLeast"/>
        <w:ind w:firstLineChars="200" w:firstLine="560"/>
        <w:jc w:val="both"/>
        <w:rPr>
          <w:sz w:val="28"/>
          <w:szCs w:val="28"/>
        </w:rPr>
      </w:pPr>
      <w:r w:rsidRPr="005E758A">
        <w:rPr>
          <w:sz w:val="28"/>
          <w:szCs w:val="28"/>
        </w:rPr>
        <w:t>本條第</w:t>
      </w:r>
      <w:r w:rsidRPr="005E758A">
        <w:rPr>
          <w:sz w:val="28"/>
          <w:szCs w:val="28"/>
        </w:rPr>
        <w:t>2</w:t>
      </w:r>
      <w:r w:rsidRPr="005E758A">
        <w:rPr>
          <w:sz w:val="28"/>
          <w:szCs w:val="28"/>
        </w:rPr>
        <w:t>款強調僅限於例外之狀況下方得剝奪兒童之自由，且應具備三項要件：即「符合法律規定」、應為「最後手段」且期間必須是「最短之適當時限」，分析如下：</w:t>
      </w:r>
    </w:p>
    <w:p w14:paraId="16EAE2A1" w14:textId="77777777" w:rsidR="009B0E2D" w:rsidRPr="005E758A" w:rsidRDefault="009B0E2D" w:rsidP="009B0E2D">
      <w:pPr>
        <w:snapToGrid w:val="0"/>
        <w:spacing w:before="100" w:beforeAutospacing="1" w:after="100" w:afterAutospacing="1" w:line="0" w:lineRule="atLeast"/>
        <w:ind w:firstLineChars="200" w:firstLine="560"/>
        <w:jc w:val="both"/>
        <w:rPr>
          <w:sz w:val="28"/>
          <w:szCs w:val="28"/>
        </w:rPr>
      </w:pPr>
      <w:r w:rsidRPr="005E758A">
        <w:rPr>
          <w:sz w:val="28"/>
          <w:szCs w:val="28"/>
        </w:rPr>
        <w:t>何謂「剝奪自由」？就此，兒童權利委員會採用與聯合國保護被剝奪自由少年規則相同之定義，亦即「任何司法、行政或其他公權力所採取任何形式之拘留、監禁或其他公共或私人監護機構之安置，致使被拘留、監禁或安置之人無法任意離開該等處所」</w:t>
      </w:r>
      <w:r w:rsidRPr="005E758A">
        <w:rPr>
          <w:rStyle w:val="af3"/>
          <w:sz w:val="28"/>
          <w:szCs w:val="28"/>
        </w:rPr>
        <w:endnoteReference w:id="494"/>
      </w:r>
      <w:r w:rsidRPr="005E758A">
        <w:rPr>
          <w:sz w:val="28"/>
          <w:szCs w:val="28"/>
        </w:rPr>
        <w:t>。</w:t>
      </w:r>
    </w:p>
    <w:p w14:paraId="4C04EC9D" w14:textId="77777777" w:rsidR="009B0E2D" w:rsidRPr="005E758A" w:rsidRDefault="009B0E2D" w:rsidP="009B0E2D">
      <w:pPr>
        <w:snapToGrid w:val="0"/>
        <w:spacing w:before="100" w:beforeAutospacing="1" w:after="100" w:afterAutospacing="1" w:line="0" w:lineRule="atLeast"/>
        <w:ind w:firstLineChars="200" w:firstLine="560"/>
        <w:jc w:val="both"/>
        <w:rPr>
          <w:sz w:val="28"/>
          <w:szCs w:val="28"/>
        </w:rPr>
      </w:pPr>
      <w:r w:rsidRPr="005E758A">
        <w:rPr>
          <w:sz w:val="28"/>
          <w:szCs w:val="28"/>
        </w:rPr>
        <w:t>公民與政治權利國際公約第</w:t>
      </w:r>
      <w:r w:rsidRPr="005E758A">
        <w:rPr>
          <w:sz w:val="28"/>
          <w:szCs w:val="28"/>
        </w:rPr>
        <w:t>9</w:t>
      </w:r>
      <w:r w:rsidRPr="005E758A">
        <w:rPr>
          <w:sz w:val="28"/>
          <w:szCs w:val="28"/>
        </w:rPr>
        <w:t>條第</w:t>
      </w:r>
      <w:r w:rsidRPr="005E758A">
        <w:rPr>
          <w:sz w:val="28"/>
          <w:szCs w:val="28"/>
        </w:rPr>
        <w:t>1</w:t>
      </w:r>
      <w:r w:rsidRPr="005E758A">
        <w:rPr>
          <w:sz w:val="28"/>
          <w:szCs w:val="28"/>
        </w:rPr>
        <w:t>項規定：「人人有權享有身體自由及人身安全」，而依據聯合國人權事務委員會第</w:t>
      </w:r>
      <w:r w:rsidRPr="005E758A">
        <w:rPr>
          <w:sz w:val="28"/>
          <w:szCs w:val="28"/>
        </w:rPr>
        <w:t>8</w:t>
      </w:r>
      <w:r w:rsidRPr="005E758A">
        <w:rPr>
          <w:sz w:val="28"/>
          <w:szCs w:val="28"/>
        </w:rPr>
        <w:t>號一般性意見之說明，該規範適用於「所有人身自由遭剝奪的情況，不論是否涉及刑罰或是其他如精神疾病、遊蕩、毒品成癮、教育目的、移民管制等情況」</w:t>
      </w:r>
      <w:r w:rsidRPr="005E758A">
        <w:rPr>
          <w:rStyle w:val="af3"/>
          <w:sz w:val="28"/>
          <w:szCs w:val="28"/>
        </w:rPr>
        <w:endnoteReference w:id="495"/>
      </w:r>
      <w:r w:rsidRPr="005E758A">
        <w:rPr>
          <w:sz w:val="28"/>
          <w:szCs w:val="28"/>
        </w:rPr>
        <w:t>。</w:t>
      </w:r>
    </w:p>
    <w:p w14:paraId="73F630BA" w14:textId="77777777" w:rsidR="009B0E2D" w:rsidRPr="005E758A" w:rsidRDefault="009B0E2D" w:rsidP="009B0E2D">
      <w:pPr>
        <w:snapToGrid w:val="0"/>
        <w:spacing w:before="100" w:beforeAutospacing="1" w:after="100" w:afterAutospacing="1" w:line="0" w:lineRule="atLeast"/>
        <w:ind w:firstLineChars="200" w:firstLine="560"/>
        <w:jc w:val="both"/>
        <w:rPr>
          <w:sz w:val="28"/>
          <w:szCs w:val="28"/>
        </w:rPr>
      </w:pPr>
      <w:r w:rsidRPr="005E758A">
        <w:rPr>
          <w:sz w:val="28"/>
          <w:szCs w:val="28"/>
        </w:rPr>
        <w:t>有關少年司法案件中逮捕及審判前居留之議題，兒童權利委員會則強調以審判前之拘留作為處罰之手段係違反無罪推定原則，故應透過可代替審判前拘留之有效完整方案落實本條規範，且拘留期間亦應以法律明文規定並須進行定期評估</w:t>
      </w:r>
      <w:r w:rsidRPr="005E758A">
        <w:rPr>
          <w:rStyle w:val="af3"/>
          <w:sz w:val="28"/>
          <w:szCs w:val="28"/>
        </w:rPr>
        <w:endnoteReference w:id="496"/>
      </w:r>
      <w:r w:rsidRPr="005E758A">
        <w:rPr>
          <w:sz w:val="28"/>
          <w:szCs w:val="28"/>
        </w:rPr>
        <w:t>。</w:t>
      </w:r>
    </w:p>
    <w:p w14:paraId="46B84CC7" w14:textId="77777777" w:rsidR="009B0E2D" w:rsidRPr="005E758A" w:rsidRDefault="009B0E2D" w:rsidP="009B0E2D">
      <w:pPr>
        <w:pStyle w:val="3"/>
      </w:pPr>
      <w:r w:rsidRPr="005E758A">
        <w:t xml:space="preserve"> </w:t>
      </w:r>
      <w:r w:rsidRPr="005E758A">
        <w:t>第</w:t>
      </w:r>
      <w:r w:rsidRPr="005E758A">
        <w:t>37</w:t>
      </w:r>
      <w:r w:rsidRPr="005E758A">
        <w:t>條第</w:t>
      </w:r>
      <w:r w:rsidRPr="005E758A">
        <w:t>3</w:t>
      </w:r>
      <w:r w:rsidRPr="005E758A">
        <w:t>款與第</w:t>
      </w:r>
      <w:r w:rsidRPr="005E758A">
        <w:t>4</w:t>
      </w:r>
      <w:r w:rsidRPr="005E758A">
        <w:t>款</w:t>
      </w:r>
    </w:p>
    <w:p w14:paraId="276635DA" w14:textId="77777777" w:rsidR="009B0E2D" w:rsidRPr="005E758A" w:rsidRDefault="009B0E2D" w:rsidP="009B0E2D">
      <w:pPr>
        <w:snapToGrid w:val="0"/>
        <w:spacing w:before="100" w:beforeAutospacing="1" w:after="100" w:afterAutospacing="1" w:line="0" w:lineRule="atLeast"/>
        <w:ind w:firstLineChars="200" w:firstLine="560"/>
        <w:jc w:val="both"/>
        <w:rPr>
          <w:sz w:val="28"/>
          <w:szCs w:val="28"/>
        </w:rPr>
      </w:pPr>
      <w:r w:rsidRPr="005E758A">
        <w:rPr>
          <w:sz w:val="28"/>
          <w:szCs w:val="28"/>
        </w:rPr>
        <w:t>一旦兒童的人身自由遭受剝奪，即應受本條第</w:t>
      </w:r>
      <w:r w:rsidRPr="005E758A">
        <w:rPr>
          <w:sz w:val="28"/>
          <w:szCs w:val="28"/>
        </w:rPr>
        <w:t>3</w:t>
      </w:r>
      <w:r w:rsidRPr="005E758A">
        <w:rPr>
          <w:sz w:val="28"/>
          <w:szCs w:val="28"/>
        </w:rPr>
        <w:t>款及第</w:t>
      </w:r>
      <w:r w:rsidRPr="005E758A">
        <w:rPr>
          <w:sz w:val="28"/>
          <w:szCs w:val="28"/>
        </w:rPr>
        <w:t>4</w:t>
      </w:r>
      <w:r w:rsidRPr="005E758A">
        <w:rPr>
          <w:sz w:val="28"/>
          <w:szCs w:val="28"/>
        </w:rPr>
        <w:t>款之保障，其條文所涵括之權利可略分如下：</w:t>
      </w:r>
    </w:p>
    <w:p w14:paraId="172CB195" w14:textId="77777777" w:rsidR="009B0E2D" w:rsidRPr="005E758A" w:rsidRDefault="009B0E2D" w:rsidP="009B0E2D">
      <w:pPr>
        <w:pStyle w:val="a0"/>
        <w:numPr>
          <w:ilvl w:val="2"/>
          <w:numId w:val="3"/>
        </w:numPr>
        <w:snapToGrid w:val="0"/>
        <w:spacing w:before="100" w:beforeAutospacing="1" w:after="100" w:afterAutospacing="1"/>
        <w:ind w:leftChars="0" w:left="1315" w:hanging="357"/>
        <w:rPr>
          <w:rFonts w:ascii="Times New Roman" w:eastAsia="標楷體" w:hAnsi="Times New Roman"/>
          <w:sz w:val="28"/>
          <w:szCs w:val="28"/>
        </w:rPr>
      </w:pPr>
      <w:r w:rsidRPr="005E758A">
        <w:rPr>
          <w:rFonts w:ascii="Times New Roman" w:eastAsia="標楷體" w:hAnsi="Times New Roman"/>
          <w:sz w:val="28"/>
          <w:szCs w:val="28"/>
        </w:rPr>
        <w:t>獲得人道待遇，其人性尊嚴應受尊重；</w:t>
      </w:r>
    </w:p>
    <w:p w14:paraId="28A55C40" w14:textId="77777777" w:rsidR="009B0E2D" w:rsidRPr="005E758A" w:rsidRDefault="009B0E2D" w:rsidP="009B0E2D">
      <w:pPr>
        <w:pStyle w:val="a0"/>
        <w:numPr>
          <w:ilvl w:val="2"/>
          <w:numId w:val="3"/>
        </w:numPr>
        <w:snapToGrid w:val="0"/>
        <w:spacing w:before="100" w:beforeAutospacing="1" w:after="100" w:afterAutospacing="1"/>
        <w:ind w:leftChars="0" w:left="1315" w:hanging="357"/>
        <w:rPr>
          <w:rFonts w:ascii="Times New Roman" w:eastAsia="標楷體" w:hAnsi="Times New Roman"/>
          <w:sz w:val="28"/>
          <w:szCs w:val="28"/>
        </w:rPr>
      </w:pPr>
      <w:r w:rsidRPr="005E758A">
        <w:rPr>
          <w:rFonts w:ascii="Times New Roman" w:eastAsia="標楷體" w:hAnsi="Times New Roman"/>
          <w:sz w:val="28"/>
          <w:szCs w:val="28"/>
        </w:rPr>
        <w:t>考慮其年齡之需要加以對待；</w:t>
      </w:r>
    </w:p>
    <w:p w14:paraId="6AD0C2C9" w14:textId="77777777" w:rsidR="009B0E2D" w:rsidRPr="005E758A" w:rsidRDefault="009B0E2D" w:rsidP="009B0E2D">
      <w:pPr>
        <w:pStyle w:val="a0"/>
        <w:numPr>
          <w:ilvl w:val="2"/>
          <w:numId w:val="3"/>
        </w:numPr>
        <w:snapToGrid w:val="0"/>
        <w:spacing w:before="100" w:beforeAutospacing="1" w:after="100" w:afterAutospacing="1"/>
        <w:ind w:leftChars="0" w:left="1315" w:hanging="357"/>
        <w:rPr>
          <w:rFonts w:ascii="Times New Roman" w:eastAsia="標楷體" w:hAnsi="Times New Roman"/>
          <w:sz w:val="28"/>
          <w:szCs w:val="28"/>
        </w:rPr>
      </w:pPr>
      <w:r w:rsidRPr="005E758A">
        <w:rPr>
          <w:rFonts w:ascii="Times New Roman" w:eastAsia="標楷體" w:hAnsi="Times New Roman"/>
          <w:sz w:val="28"/>
          <w:szCs w:val="28"/>
        </w:rPr>
        <w:lastRenderedPageBreak/>
        <w:t>應同成人分別隔離，除非係基於兒童最佳利益之考量；</w:t>
      </w:r>
    </w:p>
    <w:p w14:paraId="65CD9A6B" w14:textId="77777777" w:rsidR="009B0E2D" w:rsidRPr="005E758A" w:rsidRDefault="009B0E2D" w:rsidP="009B0E2D">
      <w:pPr>
        <w:pStyle w:val="a0"/>
        <w:numPr>
          <w:ilvl w:val="2"/>
          <w:numId w:val="3"/>
        </w:numPr>
        <w:snapToGrid w:val="0"/>
        <w:spacing w:before="100" w:beforeAutospacing="1" w:after="100" w:afterAutospacing="1"/>
        <w:ind w:leftChars="0" w:left="1315" w:hanging="357"/>
        <w:rPr>
          <w:rFonts w:ascii="Times New Roman" w:eastAsia="標楷體" w:hAnsi="Times New Roman"/>
          <w:sz w:val="28"/>
          <w:szCs w:val="28"/>
        </w:rPr>
      </w:pPr>
      <w:r w:rsidRPr="005E758A">
        <w:rPr>
          <w:rFonts w:ascii="Times New Roman" w:eastAsia="標楷體" w:hAnsi="Times New Roman"/>
          <w:sz w:val="28"/>
          <w:szCs w:val="28"/>
        </w:rPr>
        <w:t>有權與家人保持聯繫，特殊狀況者除外；</w:t>
      </w:r>
    </w:p>
    <w:p w14:paraId="1BA9EF63" w14:textId="77777777" w:rsidR="009B0E2D" w:rsidRPr="005E758A" w:rsidRDefault="009B0E2D" w:rsidP="009B0E2D">
      <w:pPr>
        <w:pStyle w:val="a0"/>
        <w:numPr>
          <w:ilvl w:val="2"/>
          <w:numId w:val="3"/>
        </w:numPr>
        <w:snapToGrid w:val="0"/>
        <w:spacing w:before="100" w:beforeAutospacing="1" w:after="100" w:afterAutospacing="1"/>
        <w:ind w:leftChars="0" w:left="1315" w:hanging="357"/>
        <w:rPr>
          <w:rFonts w:ascii="Times New Roman" w:eastAsia="標楷體" w:hAnsi="Times New Roman"/>
          <w:sz w:val="28"/>
          <w:szCs w:val="28"/>
        </w:rPr>
      </w:pPr>
      <w:r w:rsidRPr="005E758A">
        <w:rPr>
          <w:rFonts w:ascii="Times New Roman" w:eastAsia="標楷體" w:hAnsi="Times New Roman"/>
          <w:sz w:val="28"/>
          <w:szCs w:val="28"/>
        </w:rPr>
        <w:t>迅速獲得法律及其他適當協助；</w:t>
      </w:r>
    </w:p>
    <w:p w14:paraId="61516DBF" w14:textId="77777777" w:rsidR="009B0E2D" w:rsidRPr="005E758A" w:rsidRDefault="009B0E2D" w:rsidP="009B0E2D">
      <w:pPr>
        <w:pStyle w:val="a0"/>
        <w:numPr>
          <w:ilvl w:val="2"/>
          <w:numId w:val="3"/>
        </w:numPr>
        <w:snapToGrid w:val="0"/>
        <w:spacing w:before="100" w:beforeAutospacing="1" w:after="100" w:afterAutospacing="1"/>
        <w:ind w:leftChars="0" w:left="1315" w:hanging="357"/>
        <w:rPr>
          <w:rFonts w:ascii="Times New Roman" w:eastAsia="標楷體" w:hAnsi="Times New Roman"/>
          <w:sz w:val="28"/>
          <w:szCs w:val="28"/>
        </w:rPr>
      </w:pPr>
      <w:r w:rsidRPr="005E758A">
        <w:rPr>
          <w:rFonts w:ascii="Times New Roman" w:eastAsia="標楷體" w:hAnsi="Times New Roman"/>
          <w:sz w:val="28"/>
          <w:szCs w:val="28"/>
        </w:rPr>
        <w:t>有權就其自由被剝奪之合法性，向法院或其他有權、獨立、公正機關提出異議；</w:t>
      </w:r>
    </w:p>
    <w:p w14:paraId="0BEC2EDA" w14:textId="77777777" w:rsidR="009B0E2D" w:rsidRPr="005E758A" w:rsidRDefault="009B0E2D" w:rsidP="009B0E2D">
      <w:pPr>
        <w:pStyle w:val="a0"/>
        <w:numPr>
          <w:ilvl w:val="2"/>
          <w:numId w:val="3"/>
        </w:numPr>
        <w:snapToGrid w:val="0"/>
        <w:spacing w:before="100" w:beforeAutospacing="1" w:after="100" w:afterAutospacing="1"/>
        <w:ind w:leftChars="0" w:left="1315" w:hanging="357"/>
        <w:rPr>
          <w:rFonts w:ascii="Times New Roman" w:eastAsia="標楷體" w:hAnsi="Times New Roman"/>
          <w:sz w:val="28"/>
          <w:szCs w:val="28"/>
        </w:rPr>
      </w:pPr>
      <w:r w:rsidRPr="005E758A">
        <w:rPr>
          <w:rFonts w:ascii="Times New Roman" w:eastAsia="標楷體" w:hAnsi="Times New Roman"/>
          <w:sz w:val="28"/>
          <w:szCs w:val="28"/>
        </w:rPr>
        <w:t>就上開異議要求獲得迅速之決定。</w:t>
      </w:r>
    </w:p>
    <w:p w14:paraId="7ECE1B56" w14:textId="77777777" w:rsidR="009B0E2D" w:rsidRPr="005E758A" w:rsidRDefault="009B0E2D" w:rsidP="009B0E2D">
      <w:pPr>
        <w:snapToGrid w:val="0"/>
        <w:spacing w:before="100" w:beforeAutospacing="1" w:after="100" w:afterAutospacing="1" w:line="0" w:lineRule="atLeast"/>
        <w:ind w:firstLineChars="200" w:firstLine="560"/>
        <w:jc w:val="both"/>
        <w:rPr>
          <w:sz w:val="28"/>
          <w:szCs w:val="28"/>
        </w:rPr>
      </w:pPr>
      <w:r w:rsidRPr="005E758A">
        <w:rPr>
          <w:sz w:val="28"/>
          <w:szCs w:val="28"/>
        </w:rPr>
        <w:t>針對第</w:t>
      </w:r>
      <w:r w:rsidRPr="005E758A">
        <w:rPr>
          <w:sz w:val="28"/>
          <w:szCs w:val="28"/>
        </w:rPr>
        <w:t>3</w:t>
      </w:r>
      <w:r w:rsidRPr="005E758A">
        <w:rPr>
          <w:sz w:val="28"/>
          <w:szCs w:val="28"/>
        </w:rPr>
        <w:t>款兒童「人性尊嚴應受尊重，並應以考慮其年齡之需要加以對待」之規定，兒童權利委員會曾關注的問題包括：該等兒童是否與其他兒童一樣享有受教權、健康權並受到保護、自由遭受剝奪期間是否遭受霸凌、以監禁式獨處作為懲罰手段、高自殺率與欠缺獨立申訴制度等</w:t>
      </w:r>
      <w:r w:rsidRPr="005E758A">
        <w:rPr>
          <w:rStyle w:val="af3"/>
          <w:sz w:val="28"/>
          <w:szCs w:val="28"/>
        </w:rPr>
        <w:endnoteReference w:id="497"/>
      </w:r>
      <w:r w:rsidRPr="005E758A">
        <w:rPr>
          <w:sz w:val="28"/>
          <w:szCs w:val="28"/>
        </w:rPr>
        <w:t>。</w:t>
      </w:r>
    </w:p>
    <w:p w14:paraId="43FBB0A5" w14:textId="77777777" w:rsidR="009B0E2D" w:rsidRPr="005E758A" w:rsidRDefault="009B0E2D" w:rsidP="009B0E2D">
      <w:pPr>
        <w:snapToGrid w:val="0"/>
        <w:spacing w:before="100" w:beforeAutospacing="1" w:after="100" w:afterAutospacing="1" w:line="0" w:lineRule="atLeast"/>
        <w:ind w:firstLineChars="200" w:firstLine="560"/>
        <w:jc w:val="both"/>
        <w:rPr>
          <w:sz w:val="28"/>
          <w:szCs w:val="28"/>
        </w:rPr>
      </w:pPr>
      <w:r w:rsidRPr="005E758A">
        <w:rPr>
          <w:sz w:val="28"/>
          <w:szCs w:val="28"/>
        </w:rPr>
        <w:t>至於本條第</w:t>
      </w:r>
      <w:r w:rsidRPr="005E758A">
        <w:rPr>
          <w:sz w:val="28"/>
          <w:szCs w:val="28"/>
        </w:rPr>
        <w:t>4</w:t>
      </w:r>
      <w:r w:rsidRPr="005E758A">
        <w:rPr>
          <w:sz w:val="28"/>
          <w:szCs w:val="28"/>
        </w:rPr>
        <w:t>款之規定，兒童權利委員會曾提出之擔憂包括：部分國家未建置少年司法體系，包括法官、律師與機構內之社工人員欠缺與此相關之特殊訓練、受處遇兒童未獲得與其基本權利及法律保障有關之資訊等。此外，委員會亦對安置保護之福利服務表示同樣的擔憂，例如兒童在其最佳利益未確實獲得評估前即遭安置於機構，未能對該等處遇提出聲明不服以及嗣後處遇狀況缺乏後續定期評估等</w:t>
      </w:r>
      <w:r w:rsidRPr="005E758A">
        <w:rPr>
          <w:rStyle w:val="af3"/>
          <w:sz w:val="28"/>
          <w:szCs w:val="28"/>
        </w:rPr>
        <w:endnoteReference w:id="498"/>
      </w:r>
      <w:r w:rsidRPr="005E758A">
        <w:rPr>
          <w:sz w:val="28"/>
          <w:szCs w:val="28"/>
        </w:rPr>
        <w:t>。</w:t>
      </w:r>
    </w:p>
    <w:p w14:paraId="29B49444" w14:textId="77777777" w:rsidR="009B0E2D" w:rsidRPr="005E758A" w:rsidRDefault="009B0E2D" w:rsidP="009B0E2D">
      <w:pPr>
        <w:pStyle w:val="2"/>
      </w:pPr>
      <w:r w:rsidRPr="005E758A">
        <w:t>案例介紹</w:t>
      </w:r>
    </w:p>
    <w:p w14:paraId="0FA8C4E1" w14:textId="77777777" w:rsidR="009B0E2D" w:rsidRPr="005E758A" w:rsidRDefault="009B0E2D" w:rsidP="00D2135A">
      <w:pPr>
        <w:pStyle w:val="3"/>
        <w:numPr>
          <w:ilvl w:val="0"/>
          <w:numId w:val="82"/>
        </w:numPr>
      </w:pPr>
      <w:r w:rsidRPr="005E758A">
        <w:t>2005</w:t>
      </w:r>
      <w:r w:rsidRPr="005E758A">
        <w:t>年美國聯邦最高法院少年死刑案：</w:t>
      </w:r>
      <w:r w:rsidRPr="005E758A">
        <w:t>Roper v.</w:t>
      </w:r>
      <w:r w:rsidR="00FC16DD" w:rsidRPr="005E758A">
        <w:t xml:space="preserve"> </w:t>
      </w:r>
      <w:r w:rsidRPr="005E758A">
        <w:t>Simmons</w:t>
      </w:r>
      <w:r w:rsidR="00FF54B9" w:rsidRPr="005E758A">
        <w:rPr>
          <w:rStyle w:val="af3"/>
        </w:rPr>
        <w:endnoteReference w:id="499"/>
      </w:r>
    </w:p>
    <w:p w14:paraId="5895ACDA" w14:textId="77777777" w:rsidR="009B0E2D" w:rsidRPr="005E758A" w:rsidRDefault="009B0E2D" w:rsidP="009B0E2D">
      <w:pPr>
        <w:snapToGrid w:val="0"/>
        <w:spacing w:before="100" w:beforeAutospacing="1" w:after="100" w:afterAutospacing="1" w:line="0" w:lineRule="atLeast"/>
        <w:ind w:firstLineChars="200" w:firstLine="560"/>
        <w:jc w:val="both"/>
        <w:rPr>
          <w:sz w:val="28"/>
          <w:szCs w:val="28"/>
        </w:rPr>
      </w:pPr>
      <w:r w:rsidRPr="005E758A">
        <w:rPr>
          <w:sz w:val="28"/>
          <w:szCs w:val="28"/>
        </w:rPr>
        <w:t>本案被告為</w:t>
      </w:r>
      <w:r w:rsidRPr="005E758A">
        <w:rPr>
          <w:sz w:val="28"/>
          <w:szCs w:val="28"/>
        </w:rPr>
        <w:t>17</w:t>
      </w:r>
      <w:r w:rsidRPr="005E758A">
        <w:rPr>
          <w:sz w:val="28"/>
          <w:szCs w:val="28"/>
        </w:rPr>
        <w:t>歲的</w:t>
      </w:r>
      <w:r w:rsidRPr="005E758A">
        <w:rPr>
          <w:sz w:val="28"/>
          <w:szCs w:val="28"/>
        </w:rPr>
        <w:t>Simmons</w:t>
      </w:r>
      <w:r w:rsidRPr="005E758A">
        <w:rPr>
          <w:sz w:val="28"/>
          <w:szCs w:val="28"/>
        </w:rPr>
        <w:t>，他與伙伴於午夜時侵入被害人</w:t>
      </w:r>
      <w:r w:rsidRPr="005E758A">
        <w:rPr>
          <w:sz w:val="28"/>
          <w:szCs w:val="28"/>
        </w:rPr>
        <w:t>Crook</w:t>
      </w:r>
      <w:r w:rsidRPr="005E758A">
        <w:rPr>
          <w:sz w:val="28"/>
          <w:szCs w:val="28"/>
        </w:rPr>
        <w:t>的住家，將</w:t>
      </w:r>
      <w:r w:rsidRPr="005E758A">
        <w:rPr>
          <w:sz w:val="28"/>
          <w:szCs w:val="28"/>
        </w:rPr>
        <w:t>Crook</w:t>
      </w:r>
      <w:r w:rsidRPr="005E758A">
        <w:rPr>
          <w:sz w:val="28"/>
          <w:szCs w:val="28"/>
        </w:rPr>
        <w:t>綑綁，蒙住眼睛，然後用車子載到州立公園，將他從橋上扔下，造成</w:t>
      </w:r>
      <w:r w:rsidRPr="005E758A">
        <w:rPr>
          <w:sz w:val="28"/>
          <w:szCs w:val="28"/>
        </w:rPr>
        <w:t>Crook</w:t>
      </w:r>
      <w:r w:rsidRPr="005E758A">
        <w:rPr>
          <w:sz w:val="28"/>
          <w:szCs w:val="28"/>
        </w:rPr>
        <w:t>死亡。</w:t>
      </w:r>
      <w:r w:rsidRPr="005E758A">
        <w:rPr>
          <w:sz w:val="28"/>
          <w:szCs w:val="28"/>
        </w:rPr>
        <w:t>Simmons</w:t>
      </w:r>
      <w:r w:rsidRPr="005E758A">
        <w:rPr>
          <w:sz w:val="28"/>
          <w:szCs w:val="28"/>
        </w:rPr>
        <w:t>因此被密蘇里州的法院判處死刑。聯邦最高法院認為對犯罪時未滿</w:t>
      </w:r>
      <w:r w:rsidRPr="005E758A">
        <w:rPr>
          <w:sz w:val="28"/>
          <w:szCs w:val="28"/>
        </w:rPr>
        <w:t>18</w:t>
      </w:r>
      <w:r w:rsidRPr="005E758A">
        <w:rPr>
          <w:sz w:val="28"/>
          <w:szCs w:val="28"/>
        </w:rPr>
        <w:t>歲的犯人執行死刑，構成憲法增修條文第</w:t>
      </w:r>
      <w:r w:rsidRPr="005E758A">
        <w:rPr>
          <w:sz w:val="28"/>
          <w:szCs w:val="28"/>
        </w:rPr>
        <w:t>8</w:t>
      </w:r>
      <w:r w:rsidRPr="005E758A">
        <w:rPr>
          <w:sz w:val="28"/>
          <w:szCs w:val="28"/>
        </w:rPr>
        <w:t>條中的殘酷且異常懲罰條款，為憲法所不允許。其所依據主要理由係來自所謂的「演進中的合宜行為標準」</w:t>
      </w:r>
      <w:r w:rsidRPr="005E758A">
        <w:rPr>
          <w:sz w:val="28"/>
          <w:szCs w:val="28"/>
        </w:rPr>
        <w:t>(evolving standards of decency)</w:t>
      </w:r>
      <w:r w:rsidRPr="005E758A">
        <w:rPr>
          <w:sz w:val="28"/>
          <w:szCs w:val="28"/>
        </w:rPr>
        <w:t>，也就是科學研究指出未滿</w:t>
      </w:r>
      <w:r w:rsidRPr="005E758A">
        <w:rPr>
          <w:sz w:val="28"/>
          <w:szCs w:val="28"/>
        </w:rPr>
        <w:t>18</w:t>
      </w:r>
      <w:r w:rsidR="00F50913">
        <w:rPr>
          <w:sz w:val="28"/>
          <w:szCs w:val="28"/>
        </w:rPr>
        <w:t>歲</w:t>
      </w:r>
      <w:r w:rsidRPr="005E758A">
        <w:rPr>
          <w:sz w:val="28"/>
          <w:szCs w:val="28"/>
        </w:rPr>
        <w:t>的行為是不成熟的，且幾乎所有州都規定未滿</w:t>
      </w:r>
      <w:r w:rsidRPr="005E758A">
        <w:rPr>
          <w:sz w:val="28"/>
          <w:szCs w:val="28"/>
        </w:rPr>
        <w:t>18</w:t>
      </w:r>
      <w:r w:rsidRPr="005E758A">
        <w:rPr>
          <w:sz w:val="28"/>
          <w:szCs w:val="28"/>
        </w:rPr>
        <w:t>歲不得投票、當陪審員，也有越來越多的州及國家不再執行未成年人死刑。聯邦最高法院特別指出兒童權利公約第</w:t>
      </w:r>
      <w:r w:rsidRPr="005E758A">
        <w:rPr>
          <w:sz w:val="28"/>
          <w:szCs w:val="28"/>
        </w:rPr>
        <w:t>37</w:t>
      </w:r>
      <w:r w:rsidRPr="005E758A">
        <w:rPr>
          <w:sz w:val="28"/>
          <w:szCs w:val="28"/>
        </w:rPr>
        <w:t>條禁止對兒童處以死刑，而該公約僅美國及索馬利亞未予批准，且未有任何締約國對法條提出保留。因此，聯邦最高法院必須重視國際社會的此項意見。儘管公約的規定並無拘束本案的效力，但卻確認了法院所作的結論。聯邦最高法院因此認為對未滿</w:t>
      </w:r>
      <w:r w:rsidRPr="005E758A">
        <w:rPr>
          <w:sz w:val="28"/>
          <w:szCs w:val="28"/>
        </w:rPr>
        <w:t>18</w:t>
      </w:r>
      <w:r w:rsidRPr="005E758A">
        <w:rPr>
          <w:sz w:val="28"/>
          <w:szCs w:val="28"/>
        </w:rPr>
        <w:t>歲的犯人執行死刑屬殘酷且異常懲罰，並推翻原先州法院所為的死刑判決。</w:t>
      </w:r>
    </w:p>
    <w:p w14:paraId="0114FB1F" w14:textId="77777777" w:rsidR="009B0E2D" w:rsidRPr="005E758A" w:rsidRDefault="009B0E2D" w:rsidP="00F50913">
      <w:pPr>
        <w:pStyle w:val="3"/>
      </w:pPr>
      <w:r w:rsidRPr="005E758A">
        <w:lastRenderedPageBreak/>
        <w:t>2006</w:t>
      </w:r>
      <w:r w:rsidR="00812B73" w:rsidRPr="005E758A">
        <w:t>年澳洲</w:t>
      </w:r>
      <w:r w:rsidR="00F50913" w:rsidRPr="00F50913">
        <w:rPr>
          <w:rFonts w:hint="eastAsia"/>
        </w:rPr>
        <w:t>新南威爾斯</w:t>
      </w:r>
      <w:r w:rsidR="00F50913">
        <w:rPr>
          <w:rFonts w:hint="eastAsia"/>
        </w:rPr>
        <w:t>州</w:t>
      </w:r>
      <w:r w:rsidR="00F50913" w:rsidRPr="00F50913">
        <w:rPr>
          <w:rFonts w:hint="eastAsia"/>
        </w:rPr>
        <w:t>高法院</w:t>
      </w:r>
      <w:r w:rsidR="00812B73" w:rsidRPr="005E758A">
        <w:t>假釋聲</w:t>
      </w:r>
      <w:r w:rsidRPr="005E758A">
        <w:t>請案：</w:t>
      </w:r>
      <w:r w:rsidRPr="005E758A">
        <w:t>Regina v. Elliott &amp; Blessington</w:t>
      </w:r>
      <w:r w:rsidRPr="005E758A">
        <w:rPr>
          <w:rStyle w:val="af3"/>
          <w:szCs w:val="28"/>
        </w:rPr>
        <w:endnoteReference w:id="500"/>
      </w:r>
    </w:p>
    <w:p w14:paraId="1CF27229" w14:textId="77777777" w:rsidR="009B0E2D" w:rsidRPr="005E758A" w:rsidRDefault="009B0E2D" w:rsidP="009B0E2D">
      <w:pPr>
        <w:snapToGrid w:val="0"/>
        <w:spacing w:before="100" w:beforeAutospacing="1" w:after="100" w:afterAutospacing="1" w:line="0" w:lineRule="atLeast"/>
        <w:ind w:firstLineChars="200" w:firstLine="560"/>
        <w:jc w:val="both"/>
        <w:rPr>
          <w:sz w:val="28"/>
          <w:szCs w:val="28"/>
        </w:rPr>
      </w:pPr>
      <w:r w:rsidRPr="005E758A">
        <w:rPr>
          <w:sz w:val="28"/>
          <w:szCs w:val="28"/>
        </w:rPr>
        <w:t>1990</w:t>
      </w:r>
      <w:r w:rsidRPr="005E758A">
        <w:rPr>
          <w:sz w:val="28"/>
          <w:szCs w:val="28"/>
        </w:rPr>
        <w:t>年時，</w:t>
      </w:r>
      <w:r w:rsidRPr="005E758A">
        <w:rPr>
          <w:sz w:val="28"/>
          <w:szCs w:val="28"/>
        </w:rPr>
        <w:t xml:space="preserve">Matthew </w:t>
      </w:r>
      <w:proofErr w:type="spellStart"/>
      <w:r w:rsidRPr="005E758A">
        <w:rPr>
          <w:sz w:val="28"/>
          <w:szCs w:val="28"/>
        </w:rPr>
        <w:t>JamesElliott</w:t>
      </w:r>
      <w:proofErr w:type="spellEnd"/>
      <w:r w:rsidRPr="005E758A">
        <w:rPr>
          <w:sz w:val="28"/>
          <w:szCs w:val="28"/>
        </w:rPr>
        <w:t>與</w:t>
      </w:r>
      <w:r w:rsidRPr="005E758A">
        <w:rPr>
          <w:sz w:val="28"/>
          <w:szCs w:val="28"/>
        </w:rPr>
        <w:t>Bronson Matthew Blessington</w:t>
      </w:r>
      <w:r w:rsidRPr="005E758A">
        <w:rPr>
          <w:sz w:val="28"/>
          <w:szCs w:val="28"/>
        </w:rPr>
        <w:t>因對一年輕女子犯性侵與謀殺罪遭判處無期徒刑。案發時</w:t>
      </w:r>
      <w:r w:rsidRPr="005E758A">
        <w:rPr>
          <w:sz w:val="28"/>
          <w:szCs w:val="28"/>
        </w:rPr>
        <w:t>Elliott</w:t>
      </w:r>
      <w:r w:rsidRPr="005E758A">
        <w:rPr>
          <w:sz w:val="28"/>
          <w:szCs w:val="28"/>
        </w:rPr>
        <w:t>年齡為</w:t>
      </w:r>
      <w:r w:rsidRPr="005E758A">
        <w:rPr>
          <w:sz w:val="28"/>
          <w:szCs w:val="28"/>
        </w:rPr>
        <w:t>16</w:t>
      </w:r>
      <w:r w:rsidRPr="005E758A">
        <w:rPr>
          <w:sz w:val="28"/>
          <w:szCs w:val="28"/>
        </w:rPr>
        <w:t>歲，</w:t>
      </w:r>
      <w:r w:rsidRPr="005E758A">
        <w:rPr>
          <w:sz w:val="28"/>
          <w:szCs w:val="28"/>
        </w:rPr>
        <w:t>Blessington</w:t>
      </w:r>
      <w:r w:rsidRPr="005E758A">
        <w:rPr>
          <w:sz w:val="28"/>
          <w:szCs w:val="28"/>
        </w:rPr>
        <w:t>年齡為</w:t>
      </w:r>
      <w:r w:rsidRPr="005E758A">
        <w:rPr>
          <w:sz w:val="28"/>
          <w:szCs w:val="28"/>
        </w:rPr>
        <w:t>14</w:t>
      </w:r>
      <w:r w:rsidRPr="005E758A">
        <w:rPr>
          <w:sz w:val="28"/>
          <w:szCs w:val="28"/>
        </w:rPr>
        <w:t>歲。根據判決，法官寫道：「本案如此重大，我建議本案中的被告永不應被釋放」。惟此建議並無法律效果，上訴人未來仍得以聲請假釋。</w:t>
      </w:r>
      <w:r w:rsidRPr="005E758A">
        <w:rPr>
          <w:sz w:val="28"/>
          <w:szCs w:val="28"/>
        </w:rPr>
        <w:t>1992</w:t>
      </w:r>
      <w:r w:rsidRPr="005E758A">
        <w:rPr>
          <w:sz w:val="28"/>
          <w:szCs w:val="28"/>
        </w:rPr>
        <w:t>年，前述上訴人請求廢棄此判決，但上訴法院認為對上訴人所判基於謀殺罪之刑係屬合理範圍，且法院認為前述之建議，因此非屬法院得以審查之標的。</w:t>
      </w:r>
    </w:p>
    <w:p w14:paraId="1C125495" w14:textId="77777777" w:rsidR="009B0E2D" w:rsidRPr="005E758A" w:rsidRDefault="009B0E2D" w:rsidP="009B0E2D">
      <w:pPr>
        <w:snapToGrid w:val="0"/>
        <w:spacing w:before="100" w:beforeAutospacing="1" w:after="100" w:afterAutospacing="1" w:line="0" w:lineRule="atLeast"/>
        <w:ind w:firstLineChars="200" w:firstLine="560"/>
        <w:jc w:val="both"/>
        <w:rPr>
          <w:sz w:val="28"/>
          <w:szCs w:val="28"/>
        </w:rPr>
      </w:pPr>
      <w:r w:rsidRPr="005E758A">
        <w:rPr>
          <w:sz w:val="28"/>
          <w:szCs w:val="28"/>
        </w:rPr>
        <w:t>後來澳洲多次修正其刑事法律，使服刑</w:t>
      </w:r>
      <w:r w:rsidRPr="005E758A">
        <w:rPr>
          <w:sz w:val="28"/>
          <w:szCs w:val="28"/>
        </w:rPr>
        <w:t>30</w:t>
      </w:r>
      <w:r w:rsidRPr="005E758A">
        <w:rPr>
          <w:sz w:val="28"/>
          <w:szCs w:val="28"/>
        </w:rPr>
        <w:t>年之犯人得於假釋管理機關認定聲請人符合</w:t>
      </w:r>
      <w:r w:rsidRPr="005E758A">
        <w:rPr>
          <w:sz w:val="28"/>
          <w:szCs w:val="28"/>
        </w:rPr>
        <w:t>(</w:t>
      </w:r>
      <w:proofErr w:type="spellStart"/>
      <w:r w:rsidRPr="005E758A">
        <w:rPr>
          <w:sz w:val="28"/>
          <w:szCs w:val="28"/>
        </w:rPr>
        <w:t>i</w:t>
      </w:r>
      <w:proofErr w:type="spellEnd"/>
      <w:r w:rsidRPr="005E758A">
        <w:rPr>
          <w:sz w:val="28"/>
          <w:szCs w:val="28"/>
        </w:rPr>
        <w:t>)</w:t>
      </w:r>
      <w:r w:rsidRPr="005E758A">
        <w:rPr>
          <w:sz w:val="28"/>
          <w:szCs w:val="28"/>
        </w:rPr>
        <w:t>於急迫危險或生命垂危之情況，或已無實際能力侵害任何人與</w:t>
      </w:r>
      <w:r w:rsidRPr="005E758A">
        <w:rPr>
          <w:sz w:val="28"/>
          <w:szCs w:val="28"/>
        </w:rPr>
        <w:t>(ii)</w:t>
      </w:r>
      <w:r w:rsidRPr="005E758A">
        <w:rPr>
          <w:sz w:val="28"/>
          <w:szCs w:val="28"/>
        </w:rPr>
        <w:t>證明將對社會不會造成威脅，得向最高法院聲請假釋。而該修正具有溯及效力，使本案上訴人之案件同樣受該修正案之適用，使其假釋之可能性降低，故上訴人上訴至新南威爾斯最高法院，質疑該修正案之合憲性及請求廢棄該「建議」或減輕其刑。</w:t>
      </w:r>
    </w:p>
    <w:p w14:paraId="06439443" w14:textId="77777777" w:rsidR="009B0E2D" w:rsidRPr="005E758A" w:rsidRDefault="009B0E2D" w:rsidP="00812B73">
      <w:pPr>
        <w:snapToGrid w:val="0"/>
        <w:spacing w:before="100" w:beforeAutospacing="1" w:after="100" w:afterAutospacing="1" w:line="0" w:lineRule="atLeast"/>
        <w:ind w:firstLineChars="200" w:firstLine="560"/>
        <w:jc w:val="both"/>
        <w:rPr>
          <w:sz w:val="28"/>
          <w:szCs w:val="28"/>
        </w:rPr>
      </w:pPr>
      <w:r w:rsidRPr="005E758A">
        <w:rPr>
          <w:sz w:val="28"/>
          <w:szCs w:val="28"/>
        </w:rPr>
        <w:t>本案係針對未成年犯罪者得否處以無期徒刑。</w:t>
      </w:r>
      <w:r w:rsidR="00812B73" w:rsidRPr="005E758A">
        <w:rPr>
          <w:sz w:val="28"/>
          <w:szCs w:val="28"/>
        </w:rPr>
        <w:t>爭點在於縱使犯罪人已完全改過向善仍不得聲</w:t>
      </w:r>
      <w:r w:rsidRPr="005E758A">
        <w:rPr>
          <w:sz w:val="28"/>
          <w:szCs w:val="28"/>
        </w:rPr>
        <w:t>請假釋之立法修正案是否合法？</w:t>
      </w:r>
      <w:r w:rsidR="00812B73" w:rsidRPr="005E758A">
        <w:rPr>
          <w:sz w:val="28"/>
          <w:szCs w:val="28"/>
        </w:rPr>
        <w:t>最高法院駁回上訴，認為本案中修正合憲且存</w:t>
      </w:r>
      <w:r w:rsidRPr="005E758A">
        <w:rPr>
          <w:sz w:val="28"/>
          <w:szCs w:val="28"/>
        </w:rPr>
        <w:t>有效立法，因此法院無從審查</w:t>
      </w:r>
      <w:r w:rsidR="00812B73" w:rsidRPr="005E758A">
        <w:rPr>
          <w:sz w:val="28"/>
          <w:szCs w:val="28"/>
        </w:rPr>
        <w:t>。多數意見認為澳洲之憲法系統係由不同面向組成。由於本案之假釋法</w:t>
      </w:r>
      <w:r w:rsidRPr="005E758A">
        <w:rPr>
          <w:sz w:val="28"/>
          <w:szCs w:val="28"/>
        </w:rPr>
        <w:t>修正是基於有效之立法程序，因此非法院所應審查，否則將會阻擾立法者之目的。但</w:t>
      </w:r>
      <w:r w:rsidRPr="005E758A">
        <w:rPr>
          <w:sz w:val="28"/>
          <w:szCs w:val="28"/>
        </w:rPr>
        <w:t>Kirby</w:t>
      </w:r>
      <w:r w:rsidR="00812B73" w:rsidRPr="005E758A">
        <w:rPr>
          <w:sz w:val="28"/>
          <w:szCs w:val="28"/>
        </w:rPr>
        <w:t>法官提出不同意見書，認為法院本應審查假釋法</w:t>
      </w:r>
      <w:r w:rsidRPr="005E758A">
        <w:rPr>
          <w:sz w:val="28"/>
          <w:szCs w:val="28"/>
        </w:rPr>
        <w:t>之修正對於少年犯罪人是否顯然過度，且上訴人並無</w:t>
      </w:r>
      <w:r w:rsidR="00812B73" w:rsidRPr="005E758A">
        <w:rPr>
          <w:sz w:val="28"/>
          <w:szCs w:val="28"/>
        </w:rPr>
        <w:t>機會陳述該「建議」之妥適性，可能造成案件的處理失當，此係法院所漏未</w:t>
      </w:r>
      <w:r w:rsidRPr="005E758A">
        <w:rPr>
          <w:sz w:val="28"/>
          <w:szCs w:val="28"/>
        </w:rPr>
        <w:t>審查之標的。</w:t>
      </w:r>
    </w:p>
    <w:p w14:paraId="699B8C0B" w14:textId="77777777" w:rsidR="009B0E2D" w:rsidRPr="005E758A" w:rsidRDefault="009B0E2D" w:rsidP="009B0E2D">
      <w:pPr>
        <w:pStyle w:val="a0"/>
        <w:numPr>
          <w:ilvl w:val="0"/>
          <w:numId w:val="1"/>
        </w:numPr>
        <w:snapToGrid w:val="0"/>
        <w:spacing w:beforeLines="50" w:before="120" w:afterLines="50" w:after="120"/>
        <w:ind w:leftChars="0"/>
        <w:rPr>
          <w:rFonts w:ascii="Times New Roman" w:eastAsia="標楷體" w:hAnsi="Times New Roman"/>
          <w:b/>
          <w:sz w:val="28"/>
          <w:szCs w:val="28"/>
        </w:rPr>
      </w:pPr>
      <w:r w:rsidRPr="005E758A">
        <w:rPr>
          <w:rFonts w:ascii="Times New Roman" w:eastAsia="標楷體" w:hAnsi="Times New Roman"/>
          <w:b/>
          <w:sz w:val="28"/>
          <w:szCs w:val="28"/>
        </w:rPr>
        <w:t>綜合分析</w:t>
      </w:r>
    </w:p>
    <w:p w14:paraId="0F585EF3" w14:textId="77777777" w:rsidR="009B0E2D" w:rsidRPr="005E758A" w:rsidRDefault="009B0E2D" w:rsidP="009B0E2D">
      <w:pPr>
        <w:snapToGrid w:val="0"/>
        <w:spacing w:before="100" w:beforeAutospacing="1" w:after="100" w:afterAutospacing="1" w:line="0" w:lineRule="atLeast"/>
        <w:ind w:firstLineChars="200" w:firstLine="560"/>
        <w:jc w:val="both"/>
        <w:rPr>
          <w:sz w:val="28"/>
          <w:szCs w:val="28"/>
        </w:rPr>
      </w:pPr>
      <w:r w:rsidRPr="005E758A">
        <w:rPr>
          <w:sz w:val="28"/>
          <w:szCs w:val="28"/>
        </w:rPr>
        <w:t>由於本條規定非常的具體明確，故有部分締約國，如荷蘭，認為其具有直接效力</w:t>
      </w:r>
      <w:r w:rsidRPr="005E758A">
        <w:rPr>
          <w:sz w:val="28"/>
          <w:szCs w:val="28"/>
        </w:rPr>
        <w:t>(direct effect)</w:t>
      </w:r>
      <w:r w:rsidRPr="005E758A">
        <w:rPr>
          <w:sz w:val="28"/>
          <w:szCs w:val="28"/>
        </w:rPr>
        <w:t>，而得不經內國立法，直接由法院適用於個案</w:t>
      </w:r>
      <w:r w:rsidRPr="005E758A">
        <w:rPr>
          <w:rStyle w:val="af3"/>
          <w:sz w:val="28"/>
          <w:szCs w:val="28"/>
        </w:rPr>
        <w:endnoteReference w:id="501"/>
      </w:r>
      <w:r w:rsidRPr="005E758A">
        <w:rPr>
          <w:sz w:val="28"/>
          <w:szCs w:val="28"/>
        </w:rPr>
        <w:t>。本條的</w:t>
      </w:r>
      <w:r w:rsidRPr="005E758A">
        <w:rPr>
          <w:sz w:val="28"/>
          <w:szCs w:val="28"/>
        </w:rPr>
        <w:t>(b)(c)</w:t>
      </w:r>
      <w:r w:rsidRPr="005E758A">
        <w:rPr>
          <w:sz w:val="28"/>
          <w:szCs w:val="28"/>
        </w:rPr>
        <w:t>及</w:t>
      </w:r>
      <w:r w:rsidRPr="005E758A">
        <w:rPr>
          <w:sz w:val="28"/>
          <w:szCs w:val="28"/>
        </w:rPr>
        <w:t>(d)</w:t>
      </w:r>
      <w:r w:rsidRPr="005E758A">
        <w:rPr>
          <w:sz w:val="28"/>
          <w:szCs w:val="28"/>
        </w:rPr>
        <w:t>三款，係經過長時間協商，從無到有的新規範。</w:t>
      </w:r>
      <w:r w:rsidRPr="005E758A">
        <w:rPr>
          <w:sz w:val="28"/>
          <w:szCs w:val="28"/>
        </w:rPr>
        <w:t>(b)</w:t>
      </w:r>
      <w:r w:rsidRPr="005E758A">
        <w:rPr>
          <w:sz w:val="28"/>
          <w:szCs w:val="28"/>
        </w:rPr>
        <w:t>款創設一項國家義務，以尊重及保障兒童的人身自由；</w:t>
      </w:r>
      <w:r w:rsidRPr="005E758A">
        <w:rPr>
          <w:sz w:val="28"/>
          <w:szCs w:val="28"/>
        </w:rPr>
        <w:t>(c)</w:t>
      </w:r>
      <w:r w:rsidRPr="005E758A">
        <w:rPr>
          <w:sz w:val="28"/>
          <w:szCs w:val="28"/>
        </w:rPr>
        <w:t>及</w:t>
      </w:r>
      <w:r w:rsidRPr="005E758A">
        <w:rPr>
          <w:sz w:val="28"/>
          <w:szCs w:val="28"/>
        </w:rPr>
        <w:t>(d)</w:t>
      </w:r>
      <w:r w:rsidRPr="005E758A">
        <w:rPr>
          <w:sz w:val="28"/>
          <w:szCs w:val="28"/>
        </w:rPr>
        <w:t>款則強調國家有義務透過全面性的行動履行公約所定的標準</w:t>
      </w:r>
      <w:r w:rsidRPr="005E758A">
        <w:rPr>
          <w:rStyle w:val="af3"/>
          <w:sz w:val="28"/>
          <w:szCs w:val="28"/>
        </w:rPr>
        <w:endnoteReference w:id="502"/>
      </w:r>
      <w:r w:rsidRPr="005E758A">
        <w:rPr>
          <w:sz w:val="28"/>
          <w:szCs w:val="28"/>
        </w:rPr>
        <w:t>。</w:t>
      </w:r>
      <w:r w:rsidR="003A0C3E" w:rsidRPr="005E758A">
        <w:rPr>
          <w:sz w:val="28"/>
          <w:szCs w:val="28"/>
        </w:rPr>
        <w:t>因此，本條可謂係公約的另一項創舉。</w:t>
      </w:r>
      <w:r w:rsidRPr="005E758A">
        <w:rPr>
          <w:sz w:val="28"/>
          <w:szCs w:val="28"/>
        </w:rPr>
        <w:t>在台灣，我國刑法第</w:t>
      </w:r>
      <w:r w:rsidRPr="005E758A">
        <w:rPr>
          <w:sz w:val="28"/>
          <w:szCs w:val="28"/>
        </w:rPr>
        <w:t>6</w:t>
      </w:r>
      <w:r w:rsidRPr="005E758A">
        <w:rPr>
          <w:sz w:val="28"/>
          <w:szCs w:val="28"/>
        </w:rPr>
        <w:t>條規定「未滿十八歲</w:t>
      </w:r>
      <w:r w:rsidRPr="005E758A">
        <w:rPr>
          <w:sz w:val="28"/>
          <w:szCs w:val="28"/>
        </w:rPr>
        <w:t>…</w:t>
      </w:r>
      <w:r w:rsidRPr="005E758A">
        <w:rPr>
          <w:sz w:val="28"/>
          <w:szCs w:val="28"/>
        </w:rPr>
        <w:t>者，不得處死刑或無期徒刑，本刑為死刑或無期徒刑者者，減輕其刑」。可謂與本條</w:t>
      </w:r>
      <w:r w:rsidRPr="005E758A">
        <w:rPr>
          <w:sz w:val="28"/>
          <w:szCs w:val="28"/>
        </w:rPr>
        <w:t>(a)</w:t>
      </w:r>
      <w:r w:rsidRPr="005E758A">
        <w:rPr>
          <w:sz w:val="28"/>
          <w:szCs w:val="28"/>
        </w:rPr>
        <w:t>款後段吻合。</w:t>
      </w:r>
      <w:r w:rsidR="003A0C3E" w:rsidRPr="005E758A">
        <w:rPr>
          <w:sz w:val="28"/>
          <w:szCs w:val="28"/>
        </w:rPr>
        <w:t>符合公約的規範。</w:t>
      </w:r>
    </w:p>
    <w:p w14:paraId="4C3F3D16" w14:textId="77777777" w:rsidR="009B0E2D" w:rsidRPr="005E758A" w:rsidRDefault="009B0E2D" w:rsidP="009B0E2D">
      <w:pPr>
        <w:pStyle w:val="a0"/>
        <w:numPr>
          <w:ilvl w:val="0"/>
          <w:numId w:val="1"/>
        </w:numPr>
        <w:snapToGrid w:val="0"/>
        <w:spacing w:beforeLines="50" w:before="120" w:afterLines="50" w:after="120"/>
        <w:ind w:leftChars="0"/>
        <w:rPr>
          <w:rFonts w:ascii="Times New Roman" w:eastAsia="標楷體" w:hAnsi="Times New Roman"/>
          <w:b/>
          <w:sz w:val="28"/>
          <w:szCs w:val="28"/>
        </w:rPr>
      </w:pPr>
      <w:r w:rsidRPr="005E758A">
        <w:rPr>
          <w:rFonts w:ascii="Times New Roman" w:eastAsia="標楷體" w:hAnsi="Times New Roman"/>
          <w:b/>
          <w:sz w:val="28"/>
          <w:szCs w:val="28"/>
        </w:rPr>
        <w:lastRenderedPageBreak/>
        <w:t>參考資料</w:t>
      </w:r>
    </w:p>
    <w:p w14:paraId="3117404C" w14:textId="77777777" w:rsidR="009B0E2D" w:rsidRPr="005E758A" w:rsidRDefault="009B0E2D" w:rsidP="00D2135A">
      <w:pPr>
        <w:pStyle w:val="a0"/>
        <w:numPr>
          <w:ilvl w:val="0"/>
          <w:numId w:val="79"/>
        </w:numPr>
        <w:snapToGrid w:val="0"/>
        <w:spacing w:before="100" w:beforeAutospacing="1" w:after="100" w:afterAutospacing="1"/>
        <w:ind w:leftChars="0" w:left="450" w:hanging="450"/>
        <w:jc w:val="both"/>
        <w:rPr>
          <w:rFonts w:ascii="Times New Roman" w:eastAsia="標楷體" w:hAnsi="Times New Roman"/>
          <w:sz w:val="32"/>
          <w:szCs w:val="28"/>
        </w:rPr>
      </w:pPr>
      <w:r w:rsidRPr="005E758A">
        <w:rPr>
          <w:rFonts w:ascii="Times New Roman" w:eastAsia="標楷體" w:hAnsi="Times New Roman"/>
          <w:smallCaps/>
          <w:sz w:val="28"/>
          <w:szCs w:val="24"/>
        </w:rPr>
        <w:t xml:space="preserve">William Schabas &amp; Helmut Sax, A Commentary on the United Nations Convention on the Rights of the Child: </w:t>
      </w:r>
      <w:r w:rsidRPr="005E758A">
        <w:rPr>
          <w:rFonts w:ascii="Times New Roman" w:eastAsia="標楷體" w:hAnsi="Times New Roman"/>
          <w:bCs/>
          <w:smallCaps/>
          <w:sz w:val="28"/>
          <w:szCs w:val="24"/>
        </w:rPr>
        <w:t>Article 37. Prohibition of Torture, Death Penalty, Life Imprisonment and Deprivation of Liberty</w:t>
      </w:r>
      <w:r w:rsidRPr="005E758A">
        <w:rPr>
          <w:rFonts w:ascii="Times New Roman" w:eastAsia="標楷體" w:hAnsi="Times New Roman"/>
          <w:bCs/>
          <w:sz w:val="28"/>
          <w:szCs w:val="24"/>
        </w:rPr>
        <w:t xml:space="preserve"> (2006).</w:t>
      </w:r>
    </w:p>
    <w:p w14:paraId="640A6C23" w14:textId="77777777" w:rsidR="009B0E2D" w:rsidRPr="005E758A" w:rsidRDefault="009B0E2D" w:rsidP="00D2135A">
      <w:pPr>
        <w:pStyle w:val="a0"/>
        <w:numPr>
          <w:ilvl w:val="0"/>
          <w:numId w:val="79"/>
        </w:numPr>
        <w:snapToGrid w:val="0"/>
        <w:spacing w:before="100" w:beforeAutospacing="1" w:after="100" w:afterAutospacing="1"/>
        <w:ind w:leftChars="0" w:left="450" w:hanging="450"/>
        <w:jc w:val="both"/>
        <w:rPr>
          <w:rFonts w:ascii="Times New Roman" w:eastAsia="標楷體" w:hAnsi="Times New Roman"/>
          <w:sz w:val="28"/>
          <w:szCs w:val="28"/>
        </w:rPr>
      </w:pPr>
      <w:r w:rsidRPr="005E758A">
        <w:rPr>
          <w:rFonts w:ascii="Times New Roman" w:eastAsia="標楷體" w:hAnsi="Times New Roman"/>
          <w:smallCaps/>
          <w:sz w:val="28"/>
          <w:szCs w:val="28"/>
        </w:rPr>
        <w:t>UNICEF, Implementation Handbook for the Convention on the Rights of the Child</w:t>
      </w:r>
      <w:r w:rsidRPr="005E758A">
        <w:rPr>
          <w:rFonts w:ascii="Times New Roman" w:eastAsia="標楷體" w:hAnsi="Times New Roman"/>
          <w:sz w:val="28"/>
          <w:szCs w:val="28"/>
        </w:rPr>
        <w:t xml:space="preserve"> (3d ed. 2007)</w:t>
      </w:r>
    </w:p>
    <w:p w14:paraId="7EE37452" w14:textId="77777777" w:rsidR="009B0E2D" w:rsidRPr="005E758A" w:rsidRDefault="009B0E2D" w:rsidP="00D2135A">
      <w:pPr>
        <w:pStyle w:val="a0"/>
        <w:numPr>
          <w:ilvl w:val="0"/>
          <w:numId w:val="79"/>
        </w:numPr>
        <w:snapToGrid w:val="0"/>
        <w:spacing w:before="100" w:beforeAutospacing="1" w:after="100" w:afterAutospacing="1"/>
        <w:ind w:leftChars="0" w:left="450" w:hanging="450"/>
        <w:jc w:val="both"/>
        <w:rPr>
          <w:rFonts w:ascii="Times New Roman" w:eastAsia="標楷體" w:hAnsi="Times New Roman"/>
          <w:sz w:val="28"/>
          <w:szCs w:val="28"/>
        </w:rPr>
      </w:pPr>
      <w:r w:rsidRPr="005E758A">
        <w:rPr>
          <w:rFonts w:ascii="Times New Roman" w:eastAsia="標楷體" w:hAnsi="Times New Roman"/>
          <w:sz w:val="28"/>
          <w:szCs w:val="28"/>
        </w:rPr>
        <w:t>人權事務委員會，第</w:t>
      </w:r>
      <w:r w:rsidRPr="005E758A">
        <w:rPr>
          <w:rFonts w:ascii="Times New Roman" w:eastAsia="標楷體" w:hAnsi="Times New Roman"/>
          <w:sz w:val="28"/>
          <w:szCs w:val="28"/>
        </w:rPr>
        <w:t>8</w:t>
      </w:r>
      <w:r w:rsidRPr="005E758A">
        <w:rPr>
          <w:rFonts w:ascii="Times New Roman" w:eastAsia="標楷體" w:hAnsi="Times New Roman"/>
          <w:sz w:val="28"/>
          <w:szCs w:val="28"/>
        </w:rPr>
        <w:t>號一般性意見「第</w:t>
      </w:r>
      <w:r w:rsidRPr="005E758A">
        <w:rPr>
          <w:rFonts w:ascii="Times New Roman" w:eastAsia="標楷體" w:hAnsi="Times New Roman"/>
          <w:sz w:val="28"/>
          <w:szCs w:val="28"/>
        </w:rPr>
        <w:t>9</w:t>
      </w:r>
      <w:r w:rsidRPr="005E758A">
        <w:rPr>
          <w:rFonts w:ascii="Times New Roman" w:eastAsia="標楷體" w:hAnsi="Times New Roman"/>
          <w:sz w:val="28"/>
          <w:szCs w:val="28"/>
        </w:rPr>
        <w:t>條」。</w:t>
      </w:r>
      <w:r w:rsidRPr="005E758A">
        <w:rPr>
          <w:rFonts w:ascii="Times New Roman" w:eastAsia="標楷體" w:hAnsi="Times New Roman"/>
          <w:sz w:val="28"/>
          <w:szCs w:val="28"/>
        </w:rPr>
        <w:t xml:space="preserve">(Human Rights Committee, General Comment No. 8: </w:t>
      </w:r>
      <w:r w:rsidRPr="005E758A">
        <w:rPr>
          <w:rFonts w:ascii="Times New Roman" w:eastAsia="標楷體" w:hAnsi="Times New Roman"/>
          <w:bCs/>
          <w:kern w:val="0"/>
          <w:sz w:val="28"/>
          <w:szCs w:val="28"/>
        </w:rPr>
        <w:t>Article 9: Right to Liberty and Security of Persons)</w:t>
      </w:r>
      <w:r w:rsidRPr="005E758A">
        <w:rPr>
          <w:rFonts w:ascii="Times New Roman" w:eastAsia="標楷體" w:hAnsi="Times New Roman"/>
          <w:sz w:val="28"/>
          <w:szCs w:val="28"/>
        </w:rPr>
        <w:t xml:space="preserve">, U.N. Doc. HRI/GEN/1/Rev.9 (Vol. I), at </w:t>
      </w:r>
      <w:r w:rsidR="00FC16DD" w:rsidRPr="005E758A">
        <w:rPr>
          <w:rFonts w:ascii="Times New Roman" w:eastAsia="標楷體" w:hAnsi="Times New Roman"/>
          <w:sz w:val="28"/>
          <w:szCs w:val="28"/>
        </w:rPr>
        <w:t xml:space="preserve">179 </w:t>
      </w:r>
      <w:r w:rsidRPr="005E758A">
        <w:rPr>
          <w:rFonts w:ascii="Times New Roman" w:eastAsia="標楷體" w:hAnsi="Times New Roman"/>
          <w:sz w:val="28"/>
          <w:szCs w:val="28"/>
        </w:rPr>
        <w:t>(May 27, 2008).)</w:t>
      </w:r>
    </w:p>
    <w:p w14:paraId="76F2666C" w14:textId="77777777" w:rsidR="009B0E2D" w:rsidRPr="005E758A" w:rsidRDefault="009B0E2D" w:rsidP="00D2135A">
      <w:pPr>
        <w:pStyle w:val="a0"/>
        <w:numPr>
          <w:ilvl w:val="0"/>
          <w:numId w:val="79"/>
        </w:numPr>
        <w:snapToGrid w:val="0"/>
        <w:spacing w:before="100" w:beforeAutospacing="1" w:after="100" w:afterAutospacing="1"/>
        <w:ind w:leftChars="0" w:left="450" w:hanging="450"/>
        <w:jc w:val="both"/>
        <w:rPr>
          <w:rFonts w:ascii="Times New Roman" w:eastAsia="標楷體" w:hAnsi="Times New Roman"/>
          <w:sz w:val="28"/>
          <w:szCs w:val="28"/>
        </w:rPr>
      </w:pPr>
      <w:r w:rsidRPr="005E758A">
        <w:rPr>
          <w:rFonts w:ascii="Times New Roman" w:eastAsia="標楷體" w:hAnsi="Times New Roman"/>
          <w:sz w:val="28"/>
          <w:szCs w:val="28"/>
        </w:rPr>
        <w:t>人權委員會，第</w:t>
      </w:r>
      <w:r w:rsidRPr="005E758A">
        <w:rPr>
          <w:rFonts w:ascii="Times New Roman" w:eastAsia="標楷體" w:hAnsi="Times New Roman"/>
          <w:sz w:val="28"/>
          <w:szCs w:val="28"/>
        </w:rPr>
        <w:t>20</w:t>
      </w:r>
      <w:r w:rsidRPr="005E758A">
        <w:rPr>
          <w:rFonts w:ascii="Times New Roman" w:eastAsia="標楷體" w:hAnsi="Times New Roman"/>
          <w:sz w:val="28"/>
          <w:szCs w:val="28"/>
        </w:rPr>
        <w:t>號一般性意見「第</w:t>
      </w:r>
      <w:r w:rsidRPr="005E758A">
        <w:rPr>
          <w:rFonts w:ascii="Times New Roman" w:eastAsia="標楷體" w:hAnsi="Times New Roman"/>
          <w:sz w:val="28"/>
          <w:szCs w:val="28"/>
        </w:rPr>
        <w:t>7</w:t>
      </w:r>
      <w:r w:rsidRPr="005E758A">
        <w:rPr>
          <w:rFonts w:ascii="Times New Roman" w:eastAsia="標楷體" w:hAnsi="Times New Roman"/>
          <w:sz w:val="28"/>
          <w:szCs w:val="28"/>
        </w:rPr>
        <w:t>條（禁止酷刑或與以殘忍、不人道或侮辱之處遇或懲罰」。</w:t>
      </w:r>
      <w:r w:rsidRPr="005E758A">
        <w:rPr>
          <w:rFonts w:ascii="Times New Roman" w:eastAsia="標楷體" w:hAnsi="Times New Roman"/>
          <w:sz w:val="28"/>
          <w:szCs w:val="28"/>
        </w:rPr>
        <w:t>(Human Right Committee, General Comment No. 20: Article 7: Prohibition of Torture, or Other Cruel, Inhuman or Degrading Treatment or Punishment, U.N. Doc. HRI/GEN/1/Rev.9 (Vol. I), at 200 (May 27, 2008).)</w:t>
      </w:r>
    </w:p>
    <w:p w14:paraId="4C502828" w14:textId="77777777" w:rsidR="009B0E2D" w:rsidRPr="005E758A" w:rsidRDefault="009B0E2D" w:rsidP="00D2135A">
      <w:pPr>
        <w:pStyle w:val="a0"/>
        <w:numPr>
          <w:ilvl w:val="0"/>
          <w:numId w:val="79"/>
        </w:numPr>
        <w:snapToGrid w:val="0"/>
        <w:spacing w:before="100" w:beforeAutospacing="1" w:after="100" w:afterAutospacing="1"/>
        <w:ind w:leftChars="0" w:left="450" w:hanging="450"/>
        <w:jc w:val="both"/>
        <w:rPr>
          <w:rFonts w:ascii="Times New Roman" w:eastAsia="標楷體" w:hAnsi="Times New Roman"/>
          <w:sz w:val="28"/>
          <w:szCs w:val="28"/>
        </w:rPr>
      </w:pPr>
      <w:r w:rsidRPr="005E758A">
        <w:rPr>
          <w:rFonts w:ascii="Times New Roman" w:eastAsia="標楷體" w:hAnsi="Times New Roman"/>
          <w:sz w:val="28"/>
          <w:szCs w:val="28"/>
        </w:rPr>
        <w:t>兒童權利委員會，第</w:t>
      </w:r>
      <w:r w:rsidRPr="005E758A">
        <w:rPr>
          <w:rFonts w:ascii="Times New Roman" w:eastAsia="標楷體" w:hAnsi="Times New Roman"/>
          <w:sz w:val="28"/>
          <w:szCs w:val="28"/>
        </w:rPr>
        <w:t>10</w:t>
      </w:r>
      <w:r w:rsidRPr="005E758A">
        <w:rPr>
          <w:rFonts w:ascii="Times New Roman" w:eastAsia="標楷體" w:hAnsi="Times New Roman"/>
          <w:sz w:val="28"/>
          <w:szCs w:val="28"/>
        </w:rPr>
        <w:t>屆會議報告。</w:t>
      </w:r>
      <w:r w:rsidRPr="005E758A">
        <w:rPr>
          <w:rFonts w:ascii="Times New Roman" w:eastAsia="標楷體" w:hAnsi="Times New Roman"/>
          <w:sz w:val="28"/>
          <w:szCs w:val="28"/>
        </w:rPr>
        <w:t>(Committee on the Rights of the Child, Report on the Tenth Session, U.N. Doc. CRC/C/46 (Dec. 18, 1995).)</w:t>
      </w:r>
    </w:p>
    <w:p w14:paraId="3A21682A" w14:textId="77777777" w:rsidR="009B0E2D" w:rsidRPr="005E758A" w:rsidRDefault="009B0E2D" w:rsidP="00D2135A">
      <w:pPr>
        <w:pStyle w:val="a0"/>
        <w:numPr>
          <w:ilvl w:val="0"/>
          <w:numId w:val="79"/>
        </w:numPr>
        <w:snapToGrid w:val="0"/>
        <w:spacing w:before="100" w:beforeAutospacing="1" w:after="100" w:afterAutospacing="1"/>
        <w:ind w:leftChars="0" w:left="450" w:hanging="450"/>
        <w:jc w:val="both"/>
        <w:rPr>
          <w:rFonts w:ascii="Times New Roman" w:eastAsia="標楷體" w:hAnsi="Times New Roman"/>
          <w:sz w:val="28"/>
          <w:szCs w:val="28"/>
        </w:rPr>
      </w:pPr>
      <w:r w:rsidRPr="005E758A">
        <w:rPr>
          <w:rFonts w:ascii="Times New Roman" w:eastAsia="標楷體" w:hAnsi="Times New Roman"/>
          <w:sz w:val="28"/>
          <w:szCs w:val="28"/>
        </w:rPr>
        <w:t>兒童權利委員會，第</w:t>
      </w:r>
      <w:r w:rsidRPr="005E758A">
        <w:rPr>
          <w:rFonts w:ascii="Times New Roman" w:eastAsia="標楷體" w:hAnsi="Times New Roman"/>
          <w:sz w:val="28"/>
          <w:szCs w:val="28"/>
        </w:rPr>
        <w:t>10</w:t>
      </w:r>
      <w:r w:rsidRPr="005E758A">
        <w:rPr>
          <w:rFonts w:ascii="Times New Roman" w:eastAsia="標楷體" w:hAnsi="Times New Roman"/>
          <w:sz w:val="28"/>
          <w:szCs w:val="28"/>
        </w:rPr>
        <w:t>號一般性意見「少年司法中的兒童權利」。</w:t>
      </w:r>
      <w:r w:rsidRPr="005E758A">
        <w:rPr>
          <w:rFonts w:ascii="Times New Roman" w:eastAsia="標楷體" w:hAnsi="Times New Roman"/>
          <w:sz w:val="28"/>
          <w:szCs w:val="28"/>
        </w:rPr>
        <w:t>(Committee on the Rights of the Child, General Comment No. 10: Children’s Rights in Juvenile Justice, U.N. Doc. CRC/GC/10 (Apr. 25, 2007).)</w:t>
      </w:r>
    </w:p>
    <w:p w14:paraId="2EA5E0BC" w14:textId="77777777" w:rsidR="009B0E2D" w:rsidRPr="005E758A" w:rsidRDefault="009B0E2D" w:rsidP="00043D86">
      <w:pPr>
        <w:pStyle w:val="a0"/>
        <w:numPr>
          <w:ilvl w:val="0"/>
          <w:numId w:val="79"/>
        </w:numPr>
        <w:snapToGrid w:val="0"/>
        <w:spacing w:before="100" w:beforeAutospacing="1" w:after="100" w:afterAutospacing="1"/>
        <w:ind w:leftChars="0" w:left="450" w:hanging="450"/>
        <w:jc w:val="both"/>
        <w:rPr>
          <w:rFonts w:ascii="Times New Roman" w:eastAsia="標楷體" w:hAnsi="Times New Roman"/>
          <w:sz w:val="28"/>
          <w:szCs w:val="28"/>
        </w:rPr>
      </w:pPr>
      <w:r w:rsidRPr="005E758A">
        <w:rPr>
          <w:rFonts w:ascii="Times New Roman" w:eastAsia="標楷體" w:hAnsi="Times New Roman"/>
          <w:sz w:val="28"/>
          <w:szCs w:val="28"/>
        </w:rPr>
        <w:t>兒童權利委員會，第</w:t>
      </w:r>
      <w:r w:rsidRPr="005E758A">
        <w:rPr>
          <w:rFonts w:ascii="Times New Roman" w:eastAsia="標楷體" w:hAnsi="Times New Roman"/>
          <w:sz w:val="28"/>
          <w:szCs w:val="28"/>
        </w:rPr>
        <w:t>13</w:t>
      </w:r>
      <w:r w:rsidRPr="005E758A">
        <w:rPr>
          <w:rFonts w:ascii="Times New Roman" w:eastAsia="標楷體" w:hAnsi="Times New Roman"/>
          <w:sz w:val="28"/>
          <w:szCs w:val="28"/>
        </w:rPr>
        <w:t>號一般性意見「兒童免遭一切形式暴力侵害的權利」。</w:t>
      </w:r>
      <w:r w:rsidRPr="005E758A">
        <w:rPr>
          <w:rFonts w:ascii="Times New Roman" w:eastAsia="標楷體" w:hAnsi="Times New Roman"/>
          <w:sz w:val="28"/>
          <w:szCs w:val="28"/>
        </w:rPr>
        <w:t>(Committee on the Rights of the Child, General Comment No.13: The Right of the Child to Freedom from All Forms of Violence, U.N. Doc. CRC/C/GC/13 (Apr. 18, 2011).)</w:t>
      </w:r>
    </w:p>
    <w:p w14:paraId="2CAB5F18" w14:textId="77777777" w:rsidR="009B0E2D" w:rsidRPr="005E758A" w:rsidRDefault="009B0E2D" w:rsidP="00D2135A">
      <w:pPr>
        <w:pStyle w:val="a0"/>
        <w:numPr>
          <w:ilvl w:val="0"/>
          <w:numId w:val="79"/>
        </w:numPr>
        <w:snapToGrid w:val="0"/>
        <w:spacing w:before="100" w:beforeAutospacing="1" w:after="100" w:afterAutospacing="1"/>
        <w:ind w:leftChars="0" w:left="450" w:hanging="450"/>
        <w:jc w:val="both"/>
        <w:rPr>
          <w:rFonts w:ascii="Times New Roman" w:eastAsia="標楷體" w:hAnsi="Times New Roman"/>
          <w:sz w:val="28"/>
          <w:szCs w:val="28"/>
        </w:rPr>
      </w:pPr>
      <w:r w:rsidRPr="005E758A">
        <w:rPr>
          <w:rFonts w:ascii="Times New Roman" w:eastAsia="標楷體" w:hAnsi="Times New Roman"/>
          <w:sz w:val="28"/>
          <w:szCs w:val="28"/>
        </w:rPr>
        <w:t>兒童權利委員會，關於締約國根據兒童權利公約第</w:t>
      </w:r>
      <w:r w:rsidRPr="005E758A">
        <w:rPr>
          <w:rFonts w:ascii="Times New Roman" w:eastAsia="標楷體" w:hAnsi="Times New Roman"/>
          <w:sz w:val="28"/>
          <w:szCs w:val="28"/>
        </w:rPr>
        <w:t>44</w:t>
      </w:r>
      <w:r w:rsidRPr="005E758A">
        <w:rPr>
          <w:rFonts w:ascii="Times New Roman" w:eastAsia="標楷體" w:hAnsi="Times New Roman"/>
          <w:sz w:val="28"/>
          <w:szCs w:val="28"/>
        </w:rPr>
        <w:t>條第</w:t>
      </w:r>
      <w:r w:rsidRPr="005E758A">
        <w:rPr>
          <w:rFonts w:ascii="Times New Roman" w:eastAsia="標楷體" w:hAnsi="Times New Roman"/>
          <w:sz w:val="28"/>
          <w:szCs w:val="28"/>
        </w:rPr>
        <w:t>1</w:t>
      </w:r>
      <w:r w:rsidRPr="005E758A">
        <w:rPr>
          <w:rFonts w:ascii="Times New Roman" w:eastAsia="標楷體" w:hAnsi="Times New Roman"/>
          <w:sz w:val="28"/>
          <w:szCs w:val="28"/>
        </w:rPr>
        <w:t>款</w:t>
      </w:r>
      <w:r w:rsidRPr="005E758A">
        <w:rPr>
          <w:rFonts w:ascii="Times New Roman" w:eastAsia="標楷體" w:hAnsi="Times New Roman"/>
          <w:sz w:val="28"/>
          <w:szCs w:val="28"/>
        </w:rPr>
        <w:t>(b)</w:t>
      </w:r>
      <w:r w:rsidRPr="005E758A">
        <w:rPr>
          <w:rFonts w:ascii="Times New Roman" w:eastAsia="標楷體" w:hAnsi="Times New Roman"/>
          <w:sz w:val="28"/>
          <w:szCs w:val="28"/>
        </w:rPr>
        <w:t>項提交的定期報告的形式和內容的條約專要準則。</w:t>
      </w:r>
      <w:r w:rsidRPr="005E758A">
        <w:rPr>
          <w:rFonts w:ascii="Times New Roman" w:eastAsia="標楷體" w:hAnsi="Times New Roman"/>
          <w:sz w:val="28"/>
          <w:szCs w:val="28"/>
        </w:rPr>
        <w:t>(Committee on the Rights of the Child, Treaty-Specific Guidelines Regarding the Form and Content of Periodic Reports to Be Submitted by States Parties under Article 44, Paragraph 1 (b), of the Convention on the Rights of the Child, ¶ 138, U.N. Doc. CRC/C/58 (Nov. 20, 1996).)</w:t>
      </w:r>
    </w:p>
    <w:p w14:paraId="456BEA8B" w14:textId="77777777" w:rsidR="009B0E2D" w:rsidRPr="005E758A" w:rsidRDefault="009B0E2D" w:rsidP="00D2135A">
      <w:pPr>
        <w:pStyle w:val="a0"/>
        <w:numPr>
          <w:ilvl w:val="0"/>
          <w:numId w:val="79"/>
        </w:numPr>
        <w:snapToGrid w:val="0"/>
        <w:spacing w:before="100" w:beforeAutospacing="1" w:after="100" w:afterAutospacing="1"/>
        <w:ind w:leftChars="0" w:left="450" w:hanging="450"/>
        <w:jc w:val="both"/>
        <w:rPr>
          <w:rFonts w:ascii="Times New Roman" w:eastAsia="標楷體" w:hAnsi="Times New Roman"/>
          <w:sz w:val="28"/>
          <w:szCs w:val="28"/>
        </w:rPr>
      </w:pPr>
      <w:r w:rsidRPr="005E758A">
        <w:rPr>
          <w:rFonts w:ascii="Times New Roman" w:eastAsia="標楷體" w:hAnsi="Times New Roman"/>
          <w:sz w:val="28"/>
          <w:szCs w:val="28"/>
        </w:rPr>
        <w:t>林沛君，兒少人權向前行，臺北市，台灣展翅協會，</w:t>
      </w:r>
      <w:r w:rsidRPr="005E758A">
        <w:rPr>
          <w:rFonts w:ascii="Times New Roman" w:eastAsia="標楷體" w:hAnsi="Times New Roman"/>
          <w:sz w:val="28"/>
          <w:szCs w:val="28"/>
        </w:rPr>
        <w:t>2015</w:t>
      </w:r>
      <w:r w:rsidRPr="005E758A">
        <w:rPr>
          <w:rFonts w:ascii="Times New Roman" w:eastAsia="標楷體" w:hAnsi="Times New Roman"/>
          <w:sz w:val="28"/>
          <w:szCs w:val="28"/>
        </w:rPr>
        <w:t>年</w:t>
      </w:r>
      <w:r w:rsidRPr="005E758A">
        <w:rPr>
          <w:rFonts w:ascii="Times New Roman" w:eastAsia="標楷體" w:hAnsi="Times New Roman"/>
          <w:sz w:val="28"/>
          <w:szCs w:val="28"/>
        </w:rPr>
        <w:t>4</w:t>
      </w:r>
      <w:r w:rsidRPr="005E758A">
        <w:rPr>
          <w:rFonts w:ascii="Times New Roman" w:eastAsia="標楷體" w:hAnsi="Times New Roman"/>
          <w:sz w:val="28"/>
          <w:szCs w:val="28"/>
        </w:rPr>
        <w:t>月。</w:t>
      </w:r>
    </w:p>
    <w:p w14:paraId="5811B3A1" w14:textId="77777777" w:rsidR="009B0E2D" w:rsidRPr="005E758A" w:rsidRDefault="009B0E2D" w:rsidP="009B0E2D">
      <w:pPr>
        <w:snapToGrid w:val="0"/>
        <w:spacing w:beforeLines="50" w:before="120" w:afterLines="50" w:after="120"/>
        <w:rPr>
          <w:sz w:val="28"/>
          <w:szCs w:val="28"/>
        </w:rPr>
      </w:pPr>
    </w:p>
    <w:p w14:paraId="3A251F39" w14:textId="77777777" w:rsidR="009B0E2D" w:rsidRPr="005E758A" w:rsidRDefault="009B0E2D" w:rsidP="009B0E2D">
      <w:pPr>
        <w:snapToGrid w:val="0"/>
        <w:spacing w:beforeLines="50" w:before="120" w:afterLines="50" w:after="120"/>
        <w:rPr>
          <w:sz w:val="28"/>
          <w:szCs w:val="28"/>
        </w:rPr>
      </w:pPr>
      <w:r w:rsidRPr="005E758A">
        <w:rPr>
          <w:sz w:val="28"/>
          <w:szCs w:val="28"/>
        </w:rPr>
        <w:t>關鍵字：少年司法、酷刑、逮捕、拘留、人身自由</w:t>
      </w:r>
    </w:p>
    <w:p w14:paraId="3D2BB196" w14:textId="77777777" w:rsidR="009B0E2D" w:rsidRPr="005E758A" w:rsidRDefault="009B0E2D" w:rsidP="009B0E2D">
      <w:pPr>
        <w:pStyle w:val="1"/>
        <w:spacing w:line="0" w:lineRule="atLeast"/>
        <w:rPr>
          <w:sz w:val="28"/>
          <w:szCs w:val="28"/>
        </w:rPr>
        <w:sectPr w:rsidR="009B0E2D" w:rsidRPr="005E758A" w:rsidSect="00135FC9">
          <w:footnotePr>
            <w:numRestart w:val="eachSect"/>
          </w:footnotePr>
          <w:endnotePr>
            <w:numFmt w:val="decimal"/>
            <w:numRestart w:val="eachSect"/>
          </w:endnotePr>
          <w:pgSz w:w="11906" w:h="16838"/>
          <w:pgMar w:top="1440" w:right="1797" w:bottom="1440" w:left="1797" w:header="851" w:footer="992" w:gutter="0"/>
          <w:cols w:space="425"/>
          <w:docGrid w:linePitch="360"/>
        </w:sectPr>
      </w:pPr>
    </w:p>
    <w:p w14:paraId="5048A633" w14:textId="77777777" w:rsidR="00F50913" w:rsidRDefault="00F50913" w:rsidP="00F50913">
      <w:pPr>
        <w:pStyle w:val="1"/>
        <w:spacing w:line="0" w:lineRule="atLeast"/>
        <w:rPr>
          <w:sz w:val="28"/>
          <w:szCs w:val="28"/>
        </w:rPr>
      </w:pPr>
      <w:bookmarkStart w:id="104" w:name="_Toc431072754"/>
      <w:bookmarkEnd w:id="96"/>
      <w:r w:rsidRPr="005E758A">
        <w:rPr>
          <w:sz w:val="28"/>
          <w:szCs w:val="28"/>
        </w:rPr>
        <w:lastRenderedPageBreak/>
        <w:t>第</w:t>
      </w:r>
      <w:r w:rsidRPr="005E758A">
        <w:rPr>
          <w:sz w:val="28"/>
          <w:szCs w:val="28"/>
        </w:rPr>
        <w:t>38</w:t>
      </w:r>
      <w:r w:rsidRPr="005E758A">
        <w:rPr>
          <w:sz w:val="28"/>
          <w:szCs w:val="28"/>
        </w:rPr>
        <w:t>條</w:t>
      </w:r>
      <w:r>
        <w:rPr>
          <w:sz w:val="28"/>
          <w:szCs w:val="28"/>
        </w:rPr>
        <w:t xml:space="preserve">　武裝衝突</w:t>
      </w:r>
      <w:bookmarkEnd w:id="104"/>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8221"/>
      </w:tblGrid>
      <w:tr w:rsidR="00F50913" w:rsidRPr="005E758A" w14:paraId="25D0B99E" w14:textId="77777777" w:rsidTr="002B035C">
        <w:trPr>
          <w:jc w:val="center"/>
        </w:trPr>
        <w:tc>
          <w:tcPr>
            <w:tcW w:w="8221" w:type="dxa"/>
          </w:tcPr>
          <w:p w14:paraId="0E1CE326" w14:textId="77777777" w:rsidR="00F50913" w:rsidRPr="005E758A" w:rsidRDefault="00F50913" w:rsidP="002B035C">
            <w:pPr>
              <w:pStyle w:val="a0"/>
              <w:numPr>
                <w:ilvl w:val="4"/>
                <w:numId w:val="1"/>
              </w:numPr>
              <w:snapToGrid w:val="0"/>
              <w:spacing w:before="100" w:beforeAutospacing="1" w:after="100" w:afterAutospacing="1" w:line="0" w:lineRule="atLeast"/>
              <w:ind w:leftChars="0" w:left="357" w:hanging="357"/>
              <w:rPr>
                <w:rFonts w:ascii="Times New Roman" w:eastAsia="標楷體" w:hAnsi="Times New Roman"/>
                <w:sz w:val="28"/>
                <w:szCs w:val="28"/>
              </w:rPr>
            </w:pPr>
            <w:r w:rsidRPr="005E758A">
              <w:rPr>
                <w:rFonts w:ascii="Times New Roman" w:eastAsia="標楷體" w:hAnsi="Times New Roman"/>
                <w:sz w:val="28"/>
                <w:szCs w:val="28"/>
              </w:rPr>
              <w:t>締約國於發生武裝衝突時，應尊重國際人道法中適用於本國兒童之規定，並保證確實遵守此等規定。</w:t>
            </w:r>
          </w:p>
          <w:p w14:paraId="0542DC82" w14:textId="77777777" w:rsidR="00F50913" w:rsidRPr="005E758A" w:rsidRDefault="00F50913" w:rsidP="002B035C">
            <w:pPr>
              <w:pStyle w:val="a0"/>
              <w:numPr>
                <w:ilvl w:val="4"/>
                <w:numId w:val="1"/>
              </w:numPr>
              <w:snapToGrid w:val="0"/>
              <w:spacing w:before="100" w:beforeAutospacing="1" w:after="100" w:afterAutospacing="1" w:line="0" w:lineRule="atLeast"/>
              <w:ind w:leftChars="0" w:left="357" w:hanging="357"/>
              <w:rPr>
                <w:rFonts w:ascii="Times New Roman" w:eastAsia="標楷體" w:hAnsi="Times New Roman"/>
                <w:sz w:val="28"/>
                <w:szCs w:val="28"/>
              </w:rPr>
            </w:pPr>
            <w:r w:rsidRPr="005E758A">
              <w:rPr>
                <w:rFonts w:ascii="Times New Roman" w:eastAsia="標楷體" w:hAnsi="Times New Roman"/>
                <w:sz w:val="28"/>
                <w:szCs w:val="28"/>
              </w:rPr>
              <w:t>締約國應採取所有可行措施，確保未滿十五歲之人不會直接參加戰鬥行為。</w:t>
            </w:r>
          </w:p>
          <w:p w14:paraId="71122770" w14:textId="77777777" w:rsidR="00F50913" w:rsidRPr="005E758A" w:rsidRDefault="00F50913" w:rsidP="002B035C">
            <w:pPr>
              <w:pStyle w:val="a0"/>
              <w:numPr>
                <w:ilvl w:val="4"/>
                <w:numId w:val="1"/>
              </w:numPr>
              <w:snapToGrid w:val="0"/>
              <w:spacing w:before="100" w:beforeAutospacing="1" w:after="100" w:afterAutospacing="1" w:line="0" w:lineRule="atLeast"/>
              <w:ind w:leftChars="0" w:left="357" w:hanging="357"/>
              <w:rPr>
                <w:rFonts w:ascii="Times New Roman" w:eastAsia="標楷體" w:hAnsi="Times New Roman"/>
                <w:sz w:val="28"/>
                <w:szCs w:val="28"/>
              </w:rPr>
            </w:pPr>
            <w:r w:rsidRPr="005E758A">
              <w:rPr>
                <w:rFonts w:ascii="Times New Roman" w:eastAsia="標楷體" w:hAnsi="Times New Roman"/>
                <w:sz w:val="28"/>
                <w:szCs w:val="28"/>
              </w:rPr>
              <w:t>締約國應避免招募任何未滿十五歲之人加入武裝部隊。在招募年滿十五歲但未滿十八歲之人時，應優先考慮年齡最大者。</w:t>
            </w:r>
          </w:p>
          <w:p w14:paraId="607FE713" w14:textId="77777777" w:rsidR="00F50913" w:rsidRPr="005E758A" w:rsidRDefault="00F50913" w:rsidP="002B035C">
            <w:pPr>
              <w:pStyle w:val="a0"/>
              <w:numPr>
                <w:ilvl w:val="4"/>
                <w:numId w:val="1"/>
              </w:numPr>
              <w:snapToGrid w:val="0"/>
              <w:spacing w:before="100" w:beforeAutospacing="1" w:after="100" w:afterAutospacing="1" w:line="0" w:lineRule="atLeast"/>
              <w:ind w:leftChars="0" w:left="357" w:hanging="357"/>
              <w:rPr>
                <w:rFonts w:ascii="Times New Roman" w:eastAsia="標楷體" w:hAnsi="Times New Roman"/>
                <w:sz w:val="28"/>
                <w:szCs w:val="28"/>
              </w:rPr>
            </w:pPr>
            <w:r w:rsidRPr="005E758A">
              <w:rPr>
                <w:rFonts w:ascii="Times New Roman" w:eastAsia="標楷體" w:hAnsi="Times New Roman"/>
                <w:sz w:val="28"/>
                <w:szCs w:val="28"/>
              </w:rPr>
              <w:t>依據國際人道法之規定，締約國於武裝衝突中有義務保護平民，並應採取一切可行之措施，保護及照顧受武裝衝突影響之兒童。</w:t>
            </w:r>
          </w:p>
        </w:tc>
      </w:tr>
    </w:tbl>
    <w:p w14:paraId="536DA396" w14:textId="77777777" w:rsidR="00F50913" w:rsidRPr="00F50913" w:rsidRDefault="00F50913" w:rsidP="00F50913">
      <w:pPr>
        <w:snapToGrid w:val="0"/>
        <w:spacing w:before="100" w:beforeAutospacing="1" w:after="100" w:afterAutospacing="1" w:line="0" w:lineRule="atLeast"/>
        <w:jc w:val="both"/>
        <w:rPr>
          <w:sz w:val="28"/>
          <w:szCs w:val="28"/>
        </w:rPr>
      </w:pPr>
    </w:p>
    <w:p w14:paraId="30298C62" w14:textId="77777777" w:rsidR="000424AB" w:rsidRPr="005E758A" w:rsidRDefault="000424AB" w:rsidP="00490C95">
      <w:pPr>
        <w:pStyle w:val="2"/>
        <w:numPr>
          <w:ilvl w:val="0"/>
          <w:numId w:val="21"/>
        </w:numPr>
        <w:spacing w:line="0" w:lineRule="atLeast"/>
        <w:rPr>
          <w:szCs w:val="28"/>
        </w:rPr>
      </w:pPr>
      <w:r w:rsidRPr="005E758A">
        <w:rPr>
          <w:szCs w:val="28"/>
        </w:rPr>
        <w:t>規範宗旨</w:t>
      </w:r>
    </w:p>
    <w:p w14:paraId="44FB4BBD" w14:textId="77777777" w:rsidR="000424AB" w:rsidRPr="005E758A" w:rsidRDefault="000424AB" w:rsidP="00490C95">
      <w:pPr>
        <w:snapToGrid w:val="0"/>
        <w:spacing w:before="100" w:beforeAutospacing="1" w:after="100" w:afterAutospacing="1" w:line="0" w:lineRule="atLeast"/>
        <w:ind w:firstLineChars="200" w:firstLine="560"/>
        <w:jc w:val="both"/>
        <w:rPr>
          <w:sz w:val="28"/>
          <w:szCs w:val="28"/>
        </w:rPr>
      </w:pPr>
      <w:r w:rsidRPr="005E758A">
        <w:rPr>
          <w:sz w:val="28"/>
          <w:szCs w:val="28"/>
        </w:rPr>
        <w:t>武裝衝突對於各項人權均有重大負面影響，而兒童更是武裝衝突下弱勢的一群</w:t>
      </w:r>
      <w:r w:rsidRPr="005E758A">
        <w:rPr>
          <w:rStyle w:val="af3"/>
          <w:sz w:val="28"/>
          <w:szCs w:val="28"/>
        </w:rPr>
        <w:endnoteReference w:id="503"/>
      </w:r>
      <w:r w:rsidRPr="005E758A">
        <w:rPr>
          <w:sz w:val="28"/>
          <w:szCs w:val="28"/>
        </w:rPr>
        <w:t>。本條屬人權條約中少見綜合國際人權法及國際人道法之規範</w:t>
      </w:r>
      <w:bookmarkStart w:id="105" w:name="_Ref426326635"/>
      <w:r w:rsidRPr="005E758A">
        <w:rPr>
          <w:rStyle w:val="af3"/>
          <w:sz w:val="28"/>
          <w:szCs w:val="28"/>
        </w:rPr>
        <w:endnoteReference w:id="504"/>
      </w:r>
      <w:bookmarkEnd w:id="105"/>
      <w:r w:rsidRPr="005E758A">
        <w:rPr>
          <w:sz w:val="28"/>
          <w:szCs w:val="28"/>
        </w:rPr>
        <w:t>，希望透過兩個領域的規則確保兒</w:t>
      </w:r>
      <w:r w:rsidR="009C0DA2" w:rsidRPr="005E758A">
        <w:rPr>
          <w:sz w:val="28"/>
          <w:szCs w:val="28"/>
        </w:rPr>
        <w:t>童及其權利的保障。</w:t>
      </w:r>
      <w:r w:rsidR="009C0DA2" w:rsidRPr="005E758A">
        <w:rPr>
          <w:sz w:val="28"/>
          <w:szCs w:val="28"/>
        </w:rPr>
        <w:t>2000</w:t>
      </w:r>
      <w:r w:rsidR="00B1345D" w:rsidRPr="005E758A">
        <w:rPr>
          <w:sz w:val="28"/>
          <w:szCs w:val="28"/>
        </w:rPr>
        <w:t>年，聯合國通過</w:t>
      </w:r>
      <w:r w:rsidR="009C0DA2" w:rsidRPr="005E758A">
        <w:rPr>
          <w:sz w:val="28"/>
          <w:szCs w:val="28"/>
        </w:rPr>
        <w:t>關於兒童捲入武裝衝突問題的</w:t>
      </w:r>
      <w:r w:rsidR="00B1345D" w:rsidRPr="005E758A">
        <w:rPr>
          <w:sz w:val="28"/>
          <w:szCs w:val="28"/>
        </w:rPr>
        <w:t>兒童權利公約</w:t>
      </w:r>
      <w:r w:rsidR="009C0DA2" w:rsidRPr="005E758A">
        <w:rPr>
          <w:sz w:val="28"/>
          <w:szCs w:val="28"/>
        </w:rPr>
        <w:t>任擇議定書，除強化本條的規定外，並提高徵兵年齡至</w:t>
      </w:r>
      <w:r w:rsidR="00DA5EA9" w:rsidRPr="005E758A">
        <w:rPr>
          <w:sz w:val="28"/>
          <w:szCs w:val="28"/>
        </w:rPr>
        <w:t>18</w:t>
      </w:r>
      <w:r w:rsidR="00DA5EA9" w:rsidRPr="005E758A">
        <w:rPr>
          <w:sz w:val="28"/>
          <w:szCs w:val="28"/>
        </w:rPr>
        <w:t>歲。</w:t>
      </w:r>
    </w:p>
    <w:p w14:paraId="77957E14" w14:textId="77777777" w:rsidR="000424AB" w:rsidRPr="005E758A" w:rsidRDefault="000424AB" w:rsidP="00490C95">
      <w:pPr>
        <w:pStyle w:val="2"/>
        <w:spacing w:line="0" w:lineRule="atLeast"/>
        <w:rPr>
          <w:szCs w:val="28"/>
        </w:rPr>
      </w:pPr>
      <w:r w:rsidRPr="005E758A">
        <w:rPr>
          <w:szCs w:val="28"/>
        </w:rPr>
        <w:t>條文</w:t>
      </w:r>
      <w:r w:rsidR="00371A18" w:rsidRPr="005E758A">
        <w:rPr>
          <w:szCs w:val="28"/>
        </w:rPr>
        <w:t>要</w:t>
      </w:r>
      <w:r w:rsidRPr="005E758A">
        <w:rPr>
          <w:szCs w:val="28"/>
        </w:rPr>
        <w:t>義</w:t>
      </w:r>
    </w:p>
    <w:p w14:paraId="3D12BF19" w14:textId="77777777" w:rsidR="000424AB" w:rsidRPr="00465951" w:rsidRDefault="00465951" w:rsidP="00465951">
      <w:pPr>
        <w:pStyle w:val="3"/>
        <w:numPr>
          <w:ilvl w:val="0"/>
          <w:numId w:val="22"/>
        </w:numPr>
        <w:spacing w:line="0" w:lineRule="atLeast"/>
        <w:rPr>
          <w:szCs w:val="28"/>
        </w:rPr>
      </w:pPr>
      <w:r w:rsidRPr="00465951">
        <w:rPr>
          <w:rFonts w:hint="eastAsia"/>
          <w:szCs w:val="28"/>
        </w:rPr>
        <w:t>第</w:t>
      </w:r>
      <w:r w:rsidRPr="00465951">
        <w:rPr>
          <w:rFonts w:hint="eastAsia"/>
          <w:szCs w:val="28"/>
        </w:rPr>
        <w:t>38</w:t>
      </w:r>
      <w:r w:rsidRPr="00465951">
        <w:rPr>
          <w:rFonts w:hint="eastAsia"/>
          <w:szCs w:val="28"/>
        </w:rPr>
        <w:t>條</w:t>
      </w:r>
      <w:r w:rsidR="000424AB" w:rsidRPr="00465951">
        <w:rPr>
          <w:szCs w:val="28"/>
        </w:rPr>
        <w:t>第</w:t>
      </w:r>
      <w:r w:rsidR="000424AB" w:rsidRPr="00465951">
        <w:rPr>
          <w:szCs w:val="28"/>
        </w:rPr>
        <w:t>1</w:t>
      </w:r>
      <w:r w:rsidR="000424AB" w:rsidRPr="00465951">
        <w:rPr>
          <w:szCs w:val="28"/>
        </w:rPr>
        <w:t>項</w:t>
      </w:r>
    </w:p>
    <w:p w14:paraId="133A0969" w14:textId="77777777" w:rsidR="000424AB" w:rsidRPr="005E758A" w:rsidRDefault="000424AB" w:rsidP="00490C95">
      <w:pPr>
        <w:snapToGrid w:val="0"/>
        <w:spacing w:before="100" w:beforeAutospacing="1" w:after="100" w:afterAutospacing="1" w:line="0" w:lineRule="atLeast"/>
        <w:ind w:firstLineChars="200" w:firstLine="560"/>
        <w:jc w:val="both"/>
        <w:rPr>
          <w:sz w:val="28"/>
          <w:szCs w:val="28"/>
        </w:rPr>
      </w:pPr>
      <w:r w:rsidRPr="005E758A">
        <w:rPr>
          <w:sz w:val="28"/>
          <w:szCs w:val="28"/>
        </w:rPr>
        <w:t>國際法</w:t>
      </w:r>
      <w:r w:rsidR="00B1557F" w:rsidRPr="005E758A">
        <w:rPr>
          <w:sz w:val="28"/>
          <w:szCs w:val="28"/>
        </w:rPr>
        <w:t>下與戰爭相關的規則發展已久，傳統國際法使用「戰爭」一詞，意味著須</w:t>
      </w:r>
      <w:r w:rsidRPr="005E758A">
        <w:rPr>
          <w:sz w:val="28"/>
          <w:szCs w:val="28"/>
        </w:rPr>
        <w:t>具</w:t>
      </w:r>
      <w:r w:rsidR="00B1557F" w:rsidRPr="005E758A">
        <w:rPr>
          <w:sz w:val="28"/>
          <w:szCs w:val="28"/>
        </w:rPr>
        <w:t>備</w:t>
      </w:r>
      <w:r w:rsidRPr="005E758A">
        <w:rPr>
          <w:sz w:val="28"/>
          <w:szCs w:val="28"/>
        </w:rPr>
        <w:t>「宣戰」的形式要件始構成「戰爭」狀況，而「武裝衝突」乃一事實名詞，雖然國際人道法相關條約均未提供此名詞的定義，一般認為武裝衝突指的是：「國家之間訴諸武裝暴力，或一國政府與有組織的武裝團體之間，或此類武裝團體之間進行持久性的武裝暴力</w:t>
      </w:r>
      <w:r w:rsidRPr="005E758A">
        <w:rPr>
          <w:sz w:val="28"/>
          <w:szCs w:val="28"/>
        </w:rPr>
        <w:t xml:space="preserve">(protracted armed violence between governmental authorities and </w:t>
      </w:r>
      <w:proofErr w:type="spellStart"/>
      <w:r w:rsidRPr="005E758A">
        <w:rPr>
          <w:sz w:val="28"/>
          <w:szCs w:val="28"/>
        </w:rPr>
        <w:t>organised</w:t>
      </w:r>
      <w:proofErr w:type="spellEnd"/>
      <w:r w:rsidRPr="005E758A">
        <w:rPr>
          <w:sz w:val="28"/>
          <w:szCs w:val="28"/>
        </w:rPr>
        <w:t xml:space="preserve"> armed groups or between such groups within a State)</w:t>
      </w:r>
      <w:r w:rsidRPr="005E758A">
        <w:rPr>
          <w:sz w:val="28"/>
          <w:szCs w:val="28"/>
        </w:rPr>
        <w:t>」。</w:t>
      </w:r>
      <w:r w:rsidRPr="005E758A">
        <w:rPr>
          <w:rStyle w:val="af3"/>
          <w:sz w:val="28"/>
          <w:szCs w:val="28"/>
        </w:rPr>
        <w:endnoteReference w:id="505"/>
      </w:r>
      <w:r w:rsidR="00B1557F" w:rsidRPr="005E758A">
        <w:rPr>
          <w:sz w:val="28"/>
          <w:szCs w:val="28"/>
        </w:rPr>
        <w:t>而「國際人道法」的範圍則</w:t>
      </w:r>
      <w:r w:rsidRPr="005E758A">
        <w:rPr>
          <w:sz w:val="28"/>
          <w:szCs w:val="28"/>
        </w:rPr>
        <w:t>包括各締約國簽署的相關條約（例如：</w:t>
      </w:r>
      <w:r w:rsidRPr="005E758A">
        <w:rPr>
          <w:sz w:val="28"/>
          <w:szCs w:val="28"/>
        </w:rPr>
        <w:t>1949</w:t>
      </w:r>
      <w:r w:rsidRPr="005E758A">
        <w:rPr>
          <w:sz w:val="28"/>
          <w:szCs w:val="28"/>
        </w:rPr>
        <w:t>年四個日內瓦公約及其</w:t>
      </w:r>
      <w:r w:rsidRPr="005E758A">
        <w:rPr>
          <w:sz w:val="28"/>
          <w:szCs w:val="28"/>
        </w:rPr>
        <w:t>1977</w:t>
      </w:r>
      <w:r w:rsidRPr="005E758A">
        <w:rPr>
          <w:sz w:val="28"/>
          <w:szCs w:val="28"/>
        </w:rPr>
        <w:t>年的附加議定書、</w:t>
      </w:r>
      <w:r w:rsidRPr="005E758A">
        <w:rPr>
          <w:sz w:val="28"/>
          <w:szCs w:val="28"/>
        </w:rPr>
        <w:t>1907</w:t>
      </w:r>
      <w:r w:rsidRPr="005E758A">
        <w:rPr>
          <w:sz w:val="28"/>
          <w:szCs w:val="28"/>
        </w:rPr>
        <w:t>海牙公約及海牙第四公約附加之海牙交戰規則、</w:t>
      </w:r>
      <w:r w:rsidRPr="005E758A">
        <w:rPr>
          <w:sz w:val="28"/>
          <w:szCs w:val="28"/>
        </w:rPr>
        <w:t>1868</w:t>
      </w:r>
      <w:r w:rsidRPr="005E758A">
        <w:rPr>
          <w:sz w:val="28"/>
          <w:szCs w:val="28"/>
        </w:rPr>
        <w:t>年聖彼得堡宣言、</w:t>
      </w:r>
      <w:r w:rsidRPr="005E758A">
        <w:rPr>
          <w:sz w:val="28"/>
          <w:szCs w:val="28"/>
        </w:rPr>
        <w:t>1899</w:t>
      </w:r>
      <w:r w:rsidRPr="005E758A">
        <w:rPr>
          <w:sz w:val="28"/>
          <w:szCs w:val="28"/>
        </w:rPr>
        <w:t>年海牙宣言等等）以及相關的國際習慣法規則。雖然兒童權利委員會於審查國家報告時較少明確引述特定條約或文件，但有鑑於公約第</w:t>
      </w:r>
      <w:r w:rsidRPr="005E758A">
        <w:rPr>
          <w:sz w:val="28"/>
          <w:szCs w:val="28"/>
        </w:rPr>
        <w:t>41</w:t>
      </w:r>
      <w:r w:rsidRPr="005E758A">
        <w:rPr>
          <w:sz w:val="28"/>
          <w:szCs w:val="28"/>
        </w:rPr>
        <w:t>條</w:t>
      </w:r>
      <w:r w:rsidRPr="005E758A">
        <w:rPr>
          <w:sz w:val="28"/>
          <w:szCs w:val="28"/>
        </w:rPr>
        <w:t>b</w:t>
      </w:r>
      <w:r w:rsidRPr="005E758A">
        <w:rPr>
          <w:sz w:val="28"/>
          <w:szCs w:val="28"/>
        </w:rPr>
        <w:t>款</w:t>
      </w:r>
      <w:r w:rsidRPr="005E758A">
        <w:rPr>
          <w:rStyle w:val="af3"/>
          <w:sz w:val="28"/>
          <w:szCs w:val="28"/>
        </w:rPr>
        <w:endnoteReference w:id="506"/>
      </w:r>
      <w:r w:rsidRPr="005E758A">
        <w:rPr>
          <w:sz w:val="28"/>
          <w:szCs w:val="28"/>
        </w:rPr>
        <w:t>的規定，應認為締約國有義務落實所有相關國際法規範，而第</w:t>
      </w:r>
      <w:r w:rsidRPr="005E758A">
        <w:rPr>
          <w:sz w:val="28"/>
          <w:szCs w:val="28"/>
        </w:rPr>
        <w:t>38</w:t>
      </w:r>
      <w:r w:rsidRPr="005E758A">
        <w:rPr>
          <w:sz w:val="28"/>
          <w:szCs w:val="28"/>
        </w:rPr>
        <w:t>條</w:t>
      </w:r>
      <w:r w:rsidR="00B1557F" w:rsidRPr="005E758A">
        <w:rPr>
          <w:sz w:val="28"/>
          <w:szCs w:val="28"/>
        </w:rPr>
        <w:t>的</w:t>
      </w:r>
      <w:r w:rsidR="00B1557F" w:rsidRPr="005E758A">
        <w:rPr>
          <w:sz w:val="28"/>
          <w:szCs w:val="28"/>
        </w:rPr>
        <w:lastRenderedPageBreak/>
        <w:t>規定應被視為一概括的安全網，可透過本</w:t>
      </w:r>
      <w:r w:rsidRPr="005E758A">
        <w:rPr>
          <w:sz w:val="28"/>
          <w:szCs w:val="28"/>
        </w:rPr>
        <w:t>條引進未明文規範於兒童權利公約的國家義務</w:t>
      </w:r>
      <w:r w:rsidRPr="005E758A">
        <w:rPr>
          <w:rStyle w:val="af3"/>
          <w:sz w:val="28"/>
          <w:szCs w:val="28"/>
        </w:rPr>
        <w:endnoteReference w:id="507"/>
      </w:r>
      <w:r w:rsidRPr="005E758A">
        <w:rPr>
          <w:sz w:val="28"/>
          <w:szCs w:val="28"/>
        </w:rPr>
        <w:t>。</w:t>
      </w:r>
    </w:p>
    <w:p w14:paraId="3487C721" w14:textId="77777777" w:rsidR="000424AB" w:rsidRPr="005E758A" w:rsidRDefault="00B1557F" w:rsidP="00490C95">
      <w:pPr>
        <w:snapToGrid w:val="0"/>
        <w:spacing w:before="100" w:beforeAutospacing="1" w:after="100" w:afterAutospacing="1" w:line="0" w:lineRule="atLeast"/>
        <w:ind w:firstLineChars="200" w:firstLine="560"/>
        <w:jc w:val="both"/>
        <w:rPr>
          <w:sz w:val="28"/>
          <w:szCs w:val="28"/>
        </w:rPr>
      </w:pPr>
      <w:r w:rsidRPr="005E758A">
        <w:rPr>
          <w:sz w:val="28"/>
          <w:szCs w:val="28"/>
        </w:rPr>
        <w:t>為落實上述規範，締約國就本</w:t>
      </w:r>
      <w:r w:rsidR="000424AB" w:rsidRPr="005E758A">
        <w:rPr>
          <w:sz w:val="28"/>
          <w:szCs w:val="28"/>
        </w:rPr>
        <w:t>項的義務包括兩種：應「尊重」以及「保證確實遵守」國際人道法中適用本國兒童之規定。第一種義務指的是締約國應該避免侵犯兒童的權利或違反國際人道法的相關規定，屬消極義務；第二種義務指的則是締約國應積極落實相關規定，例如透過規範非國家行為者</w:t>
      </w:r>
      <w:r w:rsidR="000424AB" w:rsidRPr="005E758A">
        <w:rPr>
          <w:sz w:val="28"/>
          <w:szCs w:val="28"/>
        </w:rPr>
        <w:t>(non-State actors)</w:t>
      </w:r>
      <w:r w:rsidR="000424AB" w:rsidRPr="005E758A">
        <w:rPr>
          <w:sz w:val="28"/>
          <w:szCs w:val="28"/>
        </w:rPr>
        <w:t>。此項義務更意味著締約國即使在和平時期也應採取措施（例如：立法處罰違反國際人道法的行為、散佈國際人道法知識等），確保一旦武裝衝突發生，兒童能受到應有的保護</w:t>
      </w:r>
      <w:r w:rsidR="000424AB" w:rsidRPr="005E758A">
        <w:rPr>
          <w:rStyle w:val="af3"/>
          <w:sz w:val="28"/>
          <w:szCs w:val="28"/>
        </w:rPr>
        <w:endnoteReference w:id="508"/>
      </w:r>
      <w:r w:rsidR="000424AB" w:rsidRPr="005E758A">
        <w:rPr>
          <w:sz w:val="28"/>
          <w:szCs w:val="28"/>
        </w:rPr>
        <w:t>。另外，此項所指「適用本國兒童之規定」應包括適用於戰鬥員兒童以及平民兒童的規定。</w:t>
      </w:r>
    </w:p>
    <w:p w14:paraId="57EF097D" w14:textId="77777777" w:rsidR="000424AB" w:rsidRPr="005E758A" w:rsidRDefault="00465951" w:rsidP="00465951">
      <w:pPr>
        <w:pStyle w:val="3"/>
        <w:rPr>
          <w:szCs w:val="28"/>
        </w:rPr>
      </w:pPr>
      <w:r w:rsidRPr="00465951">
        <w:rPr>
          <w:rFonts w:hint="eastAsia"/>
          <w:szCs w:val="28"/>
        </w:rPr>
        <w:t>第</w:t>
      </w:r>
      <w:r w:rsidRPr="00465951">
        <w:rPr>
          <w:rFonts w:hint="eastAsia"/>
          <w:szCs w:val="28"/>
        </w:rPr>
        <w:t>38</w:t>
      </w:r>
      <w:r w:rsidRPr="00465951">
        <w:rPr>
          <w:rFonts w:hint="eastAsia"/>
          <w:szCs w:val="28"/>
        </w:rPr>
        <w:t>條</w:t>
      </w:r>
      <w:r w:rsidR="000424AB" w:rsidRPr="005E758A">
        <w:rPr>
          <w:szCs w:val="28"/>
        </w:rPr>
        <w:t>第</w:t>
      </w:r>
      <w:r w:rsidR="000424AB" w:rsidRPr="005E758A">
        <w:rPr>
          <w:szCs w:val="28"/>
        </w:rPr>
        <w:t>2</w:t>
      </w:r>
      <w:r w:rsidR="000424AB" w:rsidRPr="005E758A">
        <w:rPr>
          <w:szCs w:val="28"/>
        </w:rPr>
        <w:t>項</w:t>
      </w:r>
    </w:p>
    <w:p w14:paraId="084BEBB6" w14:textId="77777777" w:rsidR="000424AB" w:rsidRPr="005E758A" w:rsidRDefault="000424AB" w:rsidP="00490C95">
      <w:pPr>
        <w:snapToGrid w:val="0"/>
        <w:spacing w:before="100" w:beforeAutospacing="1" w:after="100" w:afterAutospacing="1" w:line="0" w:lineRule="atLeast"/>
        <w:ind w:firstLineChars="200" w:firstLine="560"/>
        <w:jc w:val="both"/>
        <w:rPr>
          <w:sz w:val="28"/>
          <w:szCs w:val="28"/>
        </w:rPr>
      </w:pPr>
      <w:r w:rsidRPr="005E758A">
        <w:rPr>
          <w:sz w:val="28"/>
          <w:szCs w:val="28"/>
        </w:rPr>
        <w:t>根據本條第</w:t>
      </w:r>
      <w:r w:rsidRPr="005E758A">
        <w:rPr>
          <w:sz w:val="28"/>
          <w:szCs w:val="28"/>
        </w:rPr>
        <w:t>2</w:t>
      </w:r>
      <w:r w:rsidRPr="005E758A">
        <w:rPr>
          <w:sz w:val="28"/>
          <w:szCs w:val="28"/>
        </w:rPr>
        <w:t>項，締約國有義務採取所有可行措施，避免未滿</w:t>
      </w:r>
      <w:r w:rsidRPr="005E758A">
        <w:rPr>
          <w:sz w:val="28"/>
          <w:szCs w:val="28"/>
        </w:rPr>
        <w:t>15</w:t>
      </w:r>
      <w:r w:rsidRPr="005E758A">
        <w:rPr>
          <w:sz w:val="28"/>
          <w:szCs w:val="28"/>
        </w:rPr>
        <w:t>歲之兒童直接參與戰鬥行為。「採取所有可行措施」的</w:t>
      </w:r>
      <w:r w:rsidR="00B1557F" w:rsidRPr="005E758A">
        <w:rPr>
          <w:sz w:val="28"/>
          <w:szCs w:val="28"/>
        </w:rPr>
        <w:t>用語似乎意味著其義務強度不及要求國家「採取所有必要措施」之規定。適用此規定時應考量實際情況下何種措施</w:t>
      </w:r>
      <w:r w:rsidRPr="005E758A">
        <w:rPr>
          <w:sz w:val="28"/>
          <w:szCs w:val="28"/>
        </w:rPr>
        <w:t>確實可以</w:t>
      </w:r>
      <w:r w:rsidR="00B1557F" w:rsidRPr="005E758A">
        <w:rPr>
          <w:sz w:val="28"/>
          <w:szCs w:val="28"/>
        </w:rPr>
        <w:t>落實</w:t>
      </w:r>
      <w:r w:rsidRPr="005E758A">
        <w:rPr>
          <w:sz w:val="28"/>
          <w:szCs w:val="28"/>
        </w:rPr>
        <w:t>。「戰鬥行為」指的是「從性質或目的判斷，屬有意特定攻擊敵方人員或設備之行為</w:t>
      </w:r>
      <w:r w:rsidRPr="005E758A">
        <w:rPr>
          <w:sz w:val="28"/>
          <w:szCs w:val="28"/>
        </w:rPr>
        <w:t xml:space="preserve">(acts of war which are intended by their nature or their purpose to hit specifically the personnel and the </w:t>
      </w:r>
      <w:r w:rsidRPr="005E758A">
        <w:rPr>
          <w:i/>
          <w:sz w:val="28"/>
          <w:szCs w:val="28"/>
        </w:rPr>
        <w:t>matériel</w:t>
      </w:r>
      <w:r w:rsidRPr="005E758A">
        <w:rPr>
          <w:sz w:val="28"/>
          <w:szCs w:val="28"/>
        </w:rPr>
        <w:t xml:space="preserve"> of the armed forces of the adverse Party)</w:t>
      </w:r>
      <w:r w:rsidRPr="005E758A">
        <w:rPr>
          <w:sz w:val="28"/>
          <w:szCs w:val="28"/>
        </w:rPr>
        <w:t>」</w:t>
      </w:r>
      <w:r w:rsidRPr="005E758A">
        <w:rPr>
          <w:rStyle w:val="af3"/>
          <w:sz w:val="28"/>
          <w:szCs w:val="28"/>
        </w:rPr>
        <w:endnoteReference w:id="509"/>
      </w:r>
      <w:r w:rsidR="00B1557F" w:rsidRPr="005E758A">
        <w:rPr>
          <w:sz w:val="28"/>
          <w:szCs w:val="28"/>
        </w:rPr>
        <w:t>。另外，</w:t>
      </w:r>
      <w:r w:rsidRPr="005E758A">
        <w:rPr>
          <w:sz w:val="28"/>
          <w:szCs w:val="28"/>
        </w:rPr>
        <w:t>何謂「直接參與戰鬥行為」</w:t>
      </w:r>
      <w:r w:rsidR="00B1557F" w:rsidRPr="005E758A">
        <w:rPr>
          <w:sz w:val="28"/>
          <w:szCs w:val="28"/>
        </w:rPr>
        <w:t>，亦有</w:t>
      </w:r>
      <w:r w:rsidRPr="005E758A">
        <w:rPr>
          <w:sz w:val="28"/>
          <w:szCs w:val="28"/>
        </w:rPr>
        <w:t>爭議，一般認為應從行為的性質或目的客觀判斷是否欲造成實際傷害</w:t>
      </w:r>
      <w:r w:rsidRPr="005E758A">
        <w:rPr>
          <w:rStyle w:val="af3"/>
          <w:sz w:val="28"/>
          <w:szCs w:val="28"/>
        </w:rPr>
        <w:endnoteReference w:id="510"/>
      </w:r>
      <w:r w:rsidRPr="005E758A">
        <w:rPr>
          <w:sz w:val="28"/>
          <w:szCs w:val="28"/>
        </w:rPr>
        <w:t>，不論兒童是否主觀上有意願造成此等傷害</w:t>
      </w:r>
      <w:r w:rsidRPr="005E758A">
        <w:rPr>
          <w:rStyle w:val="af3"/>
          <w:sz w:val="28"/>
          <w:szCs w:val="28"/>
        </w:rPr>
        <w:endnoteReference w:id="511"/>
      </w:r>
      <w:r w:rsidRPr="005E758A">
        <w:rPr>
          <w:sz w:val="28"/>
          <w:szCs w:val="28"/>
        </w:rPr>
        <w:t>。雖然本項僅禁止未滿</w:t>
      </w:r>
      <w:r w:rsidRPr="005E758A">
        <w:rPr>
          <w:sz w:val="28"/>
          <w:szCs w:val="28"/>
        </w:rPr>
        <w:t>15</w:t>
      </w:r>
      <w:r w:rsidRPr="005E758A">
        <w:rPr>
          <w:sz w:val="28"/>
          <w:szCs w:val="28"/>
        </w:rPr>
        <w:t>歲之兒童「直接」參與戰鬥行為，但兒童權利委員會審查國家報告時，多呼籲締約國採取措施確保兒童不以任何形式參與戰鬥行為</w:t>
      </w:r>
      <w:r w:rsidRPr="005E758A">
        <w:rPr>
          <w:rStyle w:val="af3"/>
          <w:sz w:val="28"/>
          <w:szCs w:val="28"/>
        </w:rPr>
        <w:endnoteReference w:id="512"/>
      </w:r>
      <w:r w:rsidRPr="005E758A">
        <w:rPr>
          <w:sz w:val="28"/>
          <w:szCs w:val="28"/>
        </w:rPr>
        <w:t>。</w:t>
      </w:r>
    </w:p>
    <w:p w14:paraId="639E5CC9" w14:textId="77777777" w:rsidR="000424AB" w:rsidRPr="005E758A" w:rsidRDefault="00465951" w:rsidP="00465951">
      <w:pPr>
        <w:pStyle w:val="3"/>
        <w:rPr>
          <w:szCs w:val="28"/>
        </w:rPr>
      </w:pPr>
      <w:r w:rsidRPr="00465951">
        <w:rPr>
          <w:rFonts w:hint="eastAsia"/>
          <w:szCs w:val="28"/>
        </w:rPr>
        <w:t>第</w:t>
      </w:r>
      <w:r w:rsidRPr="00465951">
        <w:rPr>
          <w:rFonts w:hint="eastAsia"/>
          <w:szCs w:val="28"/>
        </w:rPr>
        <w:t>38</w:t>
      </w:r>
      <w:r w:rsidRPr="00465951">
        <w:rPr>
          <w:rFonts w:hint="eastAsia"/>
          <w:szCs w:val="28"/>
        </w:rPr>
        <w:t>條</w:t>
      </w:r>
      <w:r w:rsidR="000424AB" w:rsidRPr="005E758A">
        <w:rPr>
          <w:szCs w:val="28"/>
        </w:rPr>
        <w:t>第</w:t>
      </w:r>
      <w:r w:rsidR="000424AB" w:rsidRPr="005E758A">
        <w:rPr>
          <w:szCs w:val="28"/>
        </w:rPr>
        <w:t>3</w:t>
      </w:r>
      <w:r w:rsidR="000424AB" w:rsidRPr="005E758A">
        <w:rPr>
          <w:szCs w:val="28"/>
        </w:rPr>
        <w:t>項</w:t>
      </w:r>
    </w:p>
    <w:p w14:paraId="4D5A89A6" w14:textId="77777777" w:rsidR="000424AB" w:rsidRPr="005E758A" w:rsidRDefault="000424AB" w:rsidP="00490C95">
      <w:pPr>
        <w:snapToGrid w:val="0"/>
        <w:spacing w:before="100" w:beforeAutospacing="1" w:after="100" w:afterAutospacing="1" w:line="0" w:lineRule="atLeast"/>
        <w:ind w:firstLineChars="200" w:firstLine="560"/>
        <w:jc w:val="both"/>
        <w:rPr>
          <w:sz w:val="28"/>
          <w:szCs w:val="28"/>
        </w:rPr>
      </w:pPr>
      <w:r w:rsidRPr="005E758A">
        <w:rPr>
          <w:sz w:val="28"/>
          <w:szCs w:val="28"/>
        </w:rPr>
        <w:t>本條第三項將最低招募年齡定為</w:t>
      </w:r>
      <w:r w:rsidRPr="005E758A">
        <w:rPr>
          <w:sz w:val="28"/>
          <w:szCs w:val="28"/>
        </w:rPr>
        <w:t>15</w:t>
      </w:r>
      <w:r w:rsidRPr="005E758A">
        <w:rPr>
          <w:sz w:val="28"/>
          <w:szCs w:val="28"/>
        </w:rPr>
        <w:t>歲，學界對於「招募</w:t>
      </w:r>
      <w:r w:rsidRPr="005E758A">
        <w:rPr>
          <w:sz w:val="28"/>
          <w:szCs w:val="28"/>
        </w:rPr>
        <w:t>(recruitment)</w:t>
      </w:r>
      <w:r w:rsidRPr="005E758A">
        <w:rPr>
          <w:sz w:val="28"/>
          <w:szCs w:val="28"/>
        </w:rPr>
        <w:t>」的定義未有共識，相關國際條約及文件</w:t>
      </w:r>
      <w:r w:rsidR="00B1557F" w:rsidRPr="005E758A">
        <w:rPr>
          <w:sz w:val="28"/>
          <w:szCs w:val="28"/>
        </w:rPr>
        <w:t>不但經常使用「招募」一詞，而且還</w:t>
      </w:r>
      <w:r w:rsidRPr="005E758A">
        <w:rPr>
          <w:sz w:val="28"/>
          <w:szCs w:val="28"/>
        </w:rPr>
        <w:t>加上「自願</w:t>
      </w:r>
      <w:r w:rsidRPr="005E758A">
        <w:rPr>
          <w:sz w:val="28"/>
          <w:szCs w:val="28"/>
        </w:rPr>
        <w:t>(voluntary)</w:t>
      </w:r>
      <w:r w:rsidRPr="005E758A">
        <w:rPr>
          <w:sz w:val="28"/>
          <w:szCs w:val="28"/>
        </w:rPr>
        <w:t>」或「強迫</w:t>
      </w:r>
      <w:r w:rsidRPr="005E758A">
        <w:rPr>
          <w:sz w:val="28"/>
          <w:szCs w:val="28"/>
        </w:rPr>
        <w:t>(compulsory; forced)</w:t>
      </w:r>
      <w:r w:rsidR="00B1557F" w:rsidRPr="005E758A">
        <w:rPr>
          <w:sz w:val="28"/>
          <w:szCs w:val="28"/>
        </w:rPr>
        <w:t>」等用語定位「招募」的性質。</w:t>
      </w:r>
      <w:r w:rsidR="00931DDB" w:rsidRPr="005E758A">
        <w:rPr>
          <w:sz w:val="28"/>
          <w:szCs w:val="28"/>
        </w:rPr>
        <w:t>國際刑事法院條約則是選擇使用徵召</w:t>
      </w:r>
      <w:r w:rsidRPr="005E758A">
        <w:rPr>
          <w:sz w:val="28"/>
          <w:szCs w:val="28"/>
        </w:rPr>
        <w:t>(conscription)</w:t>
      </w:r>
      <w:r w:rsidRPr="005E758A">
        <w:rPr>
          <w:sz w:val="28"/>
          <w:szCs w:val="28"/>
        </w:rPr>
        <w:t>及自願入伍</w:t>
      </w:r>
      <w:r w:rsidRPr="005E758A">
        <w:rPr>
          <w:sz w:val="28"/>
          <w:szCs w:val="28"/>
        </w:rPr>
        <w:t>(enlistment)</w:t>
      </w:r>
      <w:r w:rsidRPr="005E758A">
        <w:rPr>
          <w:sz w:val="28"/>
          <w:szCs w:val="28"/>
        </w:rPr>
        <w:t>的用語，兒童權利委員會也經常交互使用不同的用語</w:t>
      </w:r>
      <w:r w:rsidRPr="005E758A">
        <w:rPr>
          <w:rStyle w:val="af3"/>
          <w:sz w:val="28"/>
          <w:szCs w:val="28"/>
        </w:rPr>
        <w:endnoteReference w:id="513"/>
      </w:r>
      <w:r w:rsidRPr="005E758A">
        <w:rPr>
          <w:sz w:val="28"/>
          <w:szCs w:val="28"/>
        </w:rPr>
        <w:t>。</w:t>
      </w:r>
      <w:r w:rsidR="00931DDB" w:rsidRPr="005E758A">
        <w:rPr>
          <w:sz w:val="28"/>
          <w:szCs w:val="28"/>
        </w:rPr>
        <w:t>而本項的「招募」一詞意義究為何？雖過去有論者認為本項未規範「徵召</w:t>
      </w:r>
      <w:r w:rsidRPr="005E758A">
        <w:rPr>
          <w:sz w:val="28"/>
          <w:szCs w:val="28"/>
        </w:rPr>
        <w:t>」，應回歸各國國內法範疇</w:t>
      </w:r>
      <w:r w:rsidRPr="005E758A">
        <w:rPr>
          <w:rStyle w:val="af3"/>
          <w:sz w:val="28"/>
          <w:szCs w:val="28"/>
        </w:rPr>
        <w:endnoteReference w:id="514"/>
      </w:r>
      <w:r w:rsidR="00B1557F" w:rsidRPr="005E758A">
        <w:rPr>
          <w:sz w:val="28"/>
          <w:szCs w:val="28"/>
        </w:rPr>
        <w:t>，但後來</w:t>
      </w:r>
      <w:r w:rsidR="00931DDB" w:rsidRPr="005E758A">
        <w:rPr>
          <w:sz w:val="28"/>
          <w:szCs w:val="28"/>
        </w:rPr>
        <w:t>已修改意見，認為兒童權利委員會解釋本條適用範圍包括徵召</w:t>
      </w:r>
      <w:r w:rsidRPr="005E758A">
        <w:rPr>
          <w:sz w:val="28"/>
          <w:szCs w:val="28"/>
        </w:rPr>
        <w:t>及自願入伍</w:t>
      </w:r>
      <w:r w:rsidRPr="005E758A">
        <w:rPr>
          <w:rStyle w:val="af3"/>
          <w:sz w:val="28"/>
          <w:szCs w:val="28"/>
        </w:rPr>
        <w:endnoteReference w:id="515"/>
      </w:r>
      <w:r w:rsidRPr="005E758A">
        <w:rPr>
          <w:sz w:val="28"/>
          <w:szCs w:val="28"/>
        </w:rPr>
        <w:t>。而在本項下，締約國有義務「避免」招募未滿</w:t>
      </w:r>
      <w:r w:rsidRPr="005E758A">
        <w:rPr>
          <w:sz w:val="28"/>
          <w:szCs w:val="28"/>
        </w:rPr>
        <w:t>15</w:t>
      </w:r>
      <w:r w:rsidRPr="005E758A">
        <w:rPr>
          <w:sz w:val="28"/>
          <w:szCs w:val="28"/>
        </w:rPr>
        <w:t>歲的兒</w:t>
      </w:r>
      <w:r w:rsidR="00B1557F" w:rsidRPr="005E758A">
        <w:rPr>
          <w:sz w:val="28"/>
          <w:szCs w:val="28"/>
        </w:rPr>
        <w:lastRenderedPageBreak/>
        <w:t>童，換</w:t>
      </w:r>
      <w:r w:rsidRPr="005E758A">
        <w:rPr>
          <w:sz w:val="28"/>
          <w:szCs w:val="28"/>
        </w:rPr>
        <w:t>言之，締約國負有絕對的負面義務</w:t>
      </w:r>
      <w:r w:rsidRPr="005E758A">
        <w:rPr>
          <w:sz w:val="28"/>
          <w:szCs w:val="28"/>
        </w:rPr>
        <w:t>(a negative duty not to do)</w:t>
      </w:r>
      <w:r w:rsidRPr="005E758A">
        <w:rPr>
          <w:sz w:val="28"/>
          <w:szCs w:val="28"/>
        </w:rPr>
        <w:t>。</w:t>
      </w:r>
    </w:p>
    <w:p w14:paraId="255F7E19" w14:textId="77777777" w:rsidR="000424AB" w:rsidRPr="005E758A" w:rsidRDefault="000424AB" w:rsidP="00490C95">
      <w:pPr>
        <w:snapToGrid w:val="0"/>
        <w:spacing w:before="100" w:beforeAutospacing="1" w:after="100" w:afterAutospacing="1" w:line="0" w:lineRule="atLeast"/>
        <w:ind w:firstLineChars="200" w:firstLine="560"/>
        <w:jc w:val="both"/>
        <w:rPr>
          <w:sz w:val="28"/>
          <w:szCs w:val="28"/>
        </w:rPr>
      </w:pPr>
      <w:r w:rsidRPr="005E758A">
        <w:rPr>
          <w:sz w:val="28"/>
          <w:szCs w:val="28"/>
        </w:rPr>
        <w:t>本項對於滿</w:t>
      </w:r>
      <w:r w:rsidRPr="005E758A">
        <w:rPr>
          <w:sz w:val="28"/>
          <w:szCs w:val="28"/>
        </w:rPr>
        <w:t>15</w:t>
      </w:r>
      <w:r w:rsidRPr="005E758A">
        <w:rPr>
          <w:sz w:val="28"/>
          <w:szCs w:val="28"/>
        </w:rPr>
        <w:t>歲但未滿</w:t>
      </w:r>
      <w:r w:rsidRPr="005E758A">
        <w:rPr>
          <w:sz w:val="28"/>
          <w:szCs w:val="28"/>
        </w:rPr>
        <w:t>18</w:t>
      </w:r>
      <w:r w:rsidRPr="005E758A">
        <w:rPr>
          <w:sz w:val="28"/>
          <w:szCs w:val="28"/>
        </w:rPr>
        <w:t>歲的兒童之規定，乃是各國對於最低招募年齡無法達成共識下的妥協規範，締約國若需招募</w:t>
      </w:r>
      <w:r w:rsidRPr="005E758A">
        <w:rPr>
          <w:sz w:val="28"/>
          <w:szCs w:val="28"/>
        </w:rPr>
        <w:t>15</w:t>
      </w:r>
      <w:r w:rsidRPr="005E758A">
        <w:rPr>
          <w:sz w:val="28"/>
          <w:szCs w:val="28"/>
        </w:rPr>
        <w:t>歲以上兒童，則應盡量優先考量年紀較大的兒童，且兒童權利委員會常建議締約國將最低招募年齡訂為</w:t>
      </w:r>
      <w:r w:rsidRPr="005E758A">
        <w:rPr>
          <w:sz w:val="28"/>
          <w:szCs w:val="28"/>
        </w:rPr>
        <w:t>18</w:t>
      </w:r>
      <w:r w:rsidRPr="005E758A">
        <w:rPr>
          <w:sz w:val="28"/>
          <w:szCs w:val="28"/>
        </w:rPr>
        <w:t>歲</w:t>
      </w:r>
      <w:r w:rsidRPr="005E758A">
        <w:rPr>
          <w:rStyle w:val="af3"/>
          <w:sz w:val="28"/>
          <w:szCs w:val="28"/>
        </w:rPr>
        <w:endnoteReference w:id="516"/>
      </w:r>
      <w:r w:rsidRPr="005E758A">
        <w:rPr>
          <w:sz w:val="28"/>
          <w:szCs w:val="28"/>
        </w:rPr>
        <w:t>，並鼓勵締約國批准或加入採取</w:t>
      </w:r>
      <w:r w:rsidRPr="005E758A">
        <w:rPr>
          <w:sz w:val="28"/>
          <w:szCs w:val="28"/>
        </w:rPr>
        <w:t>18</w:t>
      </w:r>
      <w:r w:rsidRPr="005E758A">
        <w:rPr>
          <w:sz w:val="28"/>
          <w:szCs w:val="28"/>
        </w:rPr>
        <w:t>歲為標準之關於兒童捲入武裝衝突問題之兒童權利公約任擇議定書</w:t>
      </w:r>
      <w:r w:rsidRPr="005E758A">
        <w:rPr>
          <w:rStyle w:val="af3"/>
          <w:sz w:val="28"/>
          <w:szCs w:val="28"/>
        </w:rPr>
        <w:endnoteReference w:id="517"/>
      </w:r>
      <w:r w:rsidRPr="005E758A">
        <w:rPr>
          <w:sz w:val="28"/>
          <w:szCs w:val="28"/>
        </w:rPr>
        <w:t>。此部分公約原文用語「盡力</w:t>
      </w:r>
      <w:r w:rsidRPr="005E758A">
        <w:rPr>
          <w:sz w:val="28"/>
          <w:szCs w:val="28"/>
        </w:rPr>
        <w:t>(</w:t>
      </w:r>
      <w:proofErr w:type="spellStart"/>
      <w:r w:rsidRPr="005E758A">
        <w:rPr>
          <w:sz w:val="28"/>
          <w:szCs w:val="28"/>
        </w:rPr>
        <w:t>endeavour</w:t>
      </w:r>
      <w:proofErr w:type="spellEnd"/>
      <w:r w:rsidRPr="005E758A">
        <w:rPr>
          <w:sz w:val="28"/>
          <w:szCs w:val="28"/>
        </w:rPr>
        <w:t>)</w:t>
      </w:r>
      <w:r w:rsidRPr="005E758A">
        <w:rPr>
          <w:sz w:val="28"/>
          <w:szCs w:val="28"/>
        </w:rPr>
        <w:t>」並非允許締約國便宜行事，而是要求締約國應努力達成優先招募年齡較大兒童的目標，締約國應該建立體制，例如透過訓練人員在招募前確實查證年齡，以確保達成此一目標</w:t>
      </w:r>
      <w:r w:rsidRPr="005E758A">
        <w:rPr>
          <w:rStyle w:val="af3"/>
          <w:sz w:val="28"/>
          <w:szCs w:val="28"/>
        </w:rPr>
        <w:endnoteReference w:id="518"/>
      </w:r>
      <w:r w:rsidRPr="005E758A">
        <w:rPr>
          <w:sz w:val="28"/>
          <w:szCs w:val="28"/>
        </w:rPr>
        <w:t>。</w:t>
      </w:r>
    </w:p>
    <w:p w14:paraId="5B7541EC" w14:textId="77777777" w:rsidR="000424AB" w:rsidRPr="005E758A" w:rsidRDefault="00465951" w:rsidP="00465951">
      <w:pPr>
        <w:pStyle w:val="3"/>
        <w:rPr>
          <w:szCs w:val="28"/>
        </w:rPr>
      </w:pPr>
      <w:r w:rsidRPr="00465951">
        <w:rPr>
          <w:rFonts w:hint="eastAsia"/>
          <w:szCs w:val="28"/>
        </w:rPr>
        <w:t>第</w:t>
      </w:r>
      <w:r w:rsidRPr="00465951">
        <w:rPr>
          <w:rFonts w:hint="eastAsia"/>
          <w:szCs w:val="28"/>
        </w:rPr>
        <w:t>38</w:t>
      </w:r>
      <w:r w:rsidRPr="00465951">
        <w:rPr>
          <w:rFonts w:hint="eastAsia"/>
          <w:szCs w:val="28"/>
        </w:rPr>
        <w:t>條</w:t>
      </w:r>
      <w:r w:rsidR="000424AB" w:rsidRPr="005E758A">
        <w:rPr>
          <w:szCs w:val="28"/>
        </w:rPr>
        <w:t>第</w:t>
      </w:r>
      <w:r w:rsidR="000424AB" w:rsidRPr="005E758A">
        <w:rPr>
          <w:szCs w:val="28"/>
        </w:rPr>
        <w:t>4</w:t>
      </w:r>
      <w:r w:rsidR="000424AB" w:rsidRPr="005E758A">
        <w:rPr>
          <w:szCs w:val="28"/>
        </w:rPr>
        <w:t>項</w:t>
      </w:r>
    </w:p>
    <w:p w14:paraId="3C6EE775" w14:textId="77777777" w:rsidR="000424AB" w:rsidRPr="005E758A" w:rsidRDefault="000424AB" w:rsidP="00490C95">
      <w:pPr>
        <w:snapToGrid w:val="0"/>
        <w:spacing w:before="100" w:beforeAutospacing="1" w:after="100" w:afterAutospacing="1" w:line="0" w:lineRule="atLeast"/>
        <w:ind w:firstLineChars="200" w:firstLine="560"/>
        <w:jc w:val="both"/>
        <w:rPr>
          <w:sz w:val="28"/>
          <w:szCs w:val="28"/>
        </w:rPr>
      </w:pPr>
      <w:r w:rsidRPr="005E758A">
        <w:rPr>
          <w:sz w:val="28"/>
          <w:szCs w:val="28"/>
        </w:rPr>
        <w:t>本項規範武裝衝突下平民的保護以及相關規定對兒童之適用，從條文句意分析，本項僅涉及平民兒童，並未規範戰鬥員兒童的保護。國際人道法下對</w:t>
      </w:r>
      <w:r w:rsidR="00B1557F" w:rsidRPr="005E758A">
        <w:rPr>
          <w:sz w:val="28"/>
          <w:szCs w:val="28"/>
        </w:rPr>
        <w:t>平民保護的規範</w:t>
      </w:r>
      <w:r w:rsidRPr="005E758A">
        <w:rPr>
          <w:sz w:val="28"/>
          <w:szCs w:val="28"/>
        </w:rPr>
        <w:t>散見於許多不同的文件，其中又以</w:t>
      </w:r>
      <w:r w:rsidRPr="005E758A">
        <w:rPr>
          <w:sz w:val="28"/>
          <w:szCs w:val="28"/>
        </w:rPr>
        <w:t>1949</w:t>
      </w:r>
      <w:r w:rsidRPr="005E758A">
        <w:rPr>
          <w:sz w:val="28"/>
          <w:szCs w:val="28"/>
        </w:rPr>
        <w:t>年日內瓦第四公約規範最為詳盡，許多人道法下的保障其實與兒童權利公約規定有所重疊，例如：受教權</w:t>
      </w:r>
      <w:r w:rsidRPr="005E758A">
        <w:rPr>
          <w:rStyle w:val="af3"/>
          <w:sz w:val="28"/>
          <w:szCs w:val="28"/>
        </w:rPr>
        <w:endnoteReference w:id="519"/>
      </w:r>
      <w:r w:rsidRPr="005E758A">
        <w:rPr>
          <w:sz w:val="28"/>
          <w:szCs w:val="28"/>
        </w:rPr>
        <w:t>、國籍權</w:t>
      </w:r>
      <w:r w:rsidRPr="005E758A">
        <w:rPr>
          <w:rStyle w:val="af3"/>
          <w:sz w:val="28"/>
          <w:szCs w:val="28"/>
        </w:rPr>
        <w:endnoteReference w:id="520"/>
      </w:r>
      <w:r w:rsidRPr="005E758A">
        <w:rPr>
          <w:sz w:val="28"/>
          <w:szCs w:val="28"/>
        </w:rPr>
        <w:t>、禁止處以死刑</w:t>
      </w:r>
      <w:r w:rsidRPr="005E758A">
        <w:rPr>
          <w:rStyle w:val="af3"/>
          <w:sz w:val="28"/>
          <w:szCs w:val="28"/>
        </w:rPr>
        <w:endnoteReference w:id="521"/>
      </w:r>
      <w:r w:rsidRPr="005E758A">
        <w:rPr>
          <w:sz w:val="28"/>
          <w:szCs w:val="28"/>
        </w:rPr>
        <w:t>等，而兒童權利委員會審查締約國報告時若認為有違反兒童權利情事，通常傾向將其定位為違反公約條文而非人道法規範</w:t>
      </w:r>
      <w:r w:rsidRPr="005E758A">
        <w:rPr>
          <w:rStyle w:val="af3"/>
          <w:sz w:val="28"/>
          <w:szCs w:val="28"/>
        </w:rPr>
        <w:endnoteReference w:id="522"/>
      </w:r>
      <w:r w:rsidRPr="005E758A">
        <w:rPr>
          <w:sz w:val="28"/>
          <w:szCs w:val="28"/>
        </w:rPr>
        <w:t>。這也證明公約權利是不得減免的</w:t>
      </w:r>
      <w:r w:rsidRPr="005E758A">
        <w:rPr>
          <w:sz w:val="28"/>
          <w:szCs w:val="28"/>
        </w:rPr>
        <w:t>(non-</w:t>
      </w:r>
      <w:proofErr w:type="spellStart"/>
      <w:r w:rsidRPr="005E758A">
        <w:rPr>
          <w:sz w:val="28"/>
          <w:szCs w:val="28"/>
        </w:rPr>
        <w:t>derogable</w:t>
      </w:r>
      <w:proofErr w:type="spellEnd"/>
      <w:r w:rsidRPr="005E758A">
        <w:rPr>
          <w:sz w:val="28"/>
          <w:szCs w:val="28"/>
        </w:rPr>
        <w:t>)</w:t>
      </w:r>
      <w:r w:rsidRPr="005E758A">
        <w:rPr>
          <w:sz w:val="28"/>
          <w:szCs w:val="28"/>
        </w:rPr>
        <w:t>，即使在武裝衝突等緊急狀況下，締約國仍需落實公約權利。</w:t>
      </w:r>
      <w:r w:rsidRPr="005E758A">
        <w:rPr>
          <w:rStyle w:val="af3"/>
          <w:sz w:val="28"/>
          <w:szCs w:val="28"/>
        </w:rPr>
        <w:endnoteReference w:id="523"/>
      </w:r>
    </w:p>
    <w:p w14:paraId="05B23C7D" w14:textId="77777777" w:rsidR="000424AB" w:rsidRPr="005E758A" w:rsidRDefault="000424AB" w:rsidP="00490C95">
      <w:pPr>
        <w:snapToGrid w:val="0"/>
        <w:spacing w:before="100" w:beforeAutospacing="1" w:after="100" w:afterAutospacing="1" w:line="0" w:lineRule="atLeast"/>
        <w:ind w:firstLineChars="200" w:firstLine="560"/>
        <w:jc w:val="both"/>
        <w:rPr>
          <w:sz w:val="28"/>
          <w:szCs w:val="28"/>
        </w:rPr>
      </w:pPr>
      <w:r w:rsidRPr="005E758A">
        <w:rPr>
          <w:sz w:val="28"/>
          <w:szCs w:val="28"/>
        </w:rPr>
        <w:t>本項要求締約國「採取一切可行之措施」保護及照顧受武裝衝突影響之兒童，一般認為此項義務程度較低，但兒童權利委員會審查國家報告時，仍時常呼籲締約國「採取所有適當措施」</w:t>
      </w:r>
      <w:r w:rsidRPr="005E758A">
        <w:rPr>
          <w:rStyle w:val="af3"/>
          <w:sz w:val="28"/>
          <w:szCs w:val="28"/>
        </w:rPr>
        <w:endnoteReference w:id="524"/>
      </w:r>
      <w:r w:rsidRPr="005E758A">
        <w:rPr>
          <w:sz w:val="28"/>
          <w:szCs w:val="28"/>
        </w:rPr>
        <w:t>或「盡全力確保」兒童在武裝衝突中受到應有的保護</w:t>
      </w:r>
      <w:r w:rsidRPr="005E758A">
        <w:rPr>
          <w:rStyle w:val="af3"/>
          <w:sz w:val="28"/>
          <w:szCs w:val="28"/>
        </w:rPr>
        <w:endnoteReference w:id="525"/>
      </w:r>
      <w:r w:rsidRPr="005E758A">
        <w:rPr>
          <w:sz w:val="28"/>
          <w:szCs w:val="28"/>
        </w:rPr>
        <w:t>，或建議締約國任何時刻均確保尊重保護及照顧武裝衝突中兒童的人權及人道法規範</w:t>
      </w:r>
      <w:r w:rsidRPr="005E758A">
        <w:rPr>
          <w:rStyle w:val="af3"/>
          <w:sz w:val="28"/>
          <w:szCs w:val="28"/>
        </w:rPr>
        <w:endnoteReference w:id="526"/>
      </w:r>
      <w:r w:rsidRPr="005E758A">
        <w:rPr>
          <w:sz w:val="28"/>
          <w:szCs w:val="28"/>
        </w:rPr>
        <w:t>。</w:t>
      </w:r>
    </w:p>
    <w:p w14:paraId="21C737BE" w14:textId="77777777" w:rsidR="000424AB" w:rsidRPr="005E758A" w:rsidRDefault="000424AB" w:rsidP="00490C95">
      <w:pPr>
        <w:pStyle w:val="2"/>
        <w:spacing w:line="0" w:lineRule="atLeast"/>
        <w:rPr>
          <w:szCs w:val="28"/>
        </w:rPr>
      </w:pPr>
      <w:r w:rsidRPr="005E758A">
        <w:rPr>
          <w:szCs w:val="28"/>
        </w:rPr>
        <w:t>案例介紹</w:t>
      </w:r>
    </w:p>
    <w:p w14:paraId="72B22D91" w14:textId="77777777" w:rsidR="000424AB" w:rsidRPr="005E758A" w:rsidRDefault="00500FF9" w:rsidP="00490C95">
      <w:pPr>
        <w:pStyle w:val="3"/>
        <w:numPr>
          <w:ilvl w:val="0"/>
          <w:numId w:val="23"/>
        </w:numPr>
        <w:spacing w:line="0" w:lineRule="atLeast"/>
        <w:rPr>
          <w:szCs w:val="28"/>
        </w:rPr>
      </w:pPr>
      <w:r w:rsidRPr="005E758A">
        <w:rPr>
          <w:szCs w:val="28"/>
        </w:rPr>
        <w:t>2005</w:t>
      </w:r>
      <w:r w:rsidRPr="005E758A">
        <w:rPr>
          <w:szCs w:val="28"/>
        </w:rPr>
        <w:t>年</w:t>
      </w:r>
      <w:r w:rsidR="000424AB" w:rsidRPr="005E758A">
        <w:rPr>
          <w:szCs w:val="28"/>
        </w:rPr>
        <w:t>國際法院</w:t>
      </w:r>
      <w:r w:rsidR="00F50913">
        <w:rPr>
          <w:rFonts w:hint="eastAsia"/>
          <w:szCs w:val="28"/>
        </w:rPr>
        <w:t>(International Court of Justice)</w:t>
      </w:r>
      <w:r w:rsidR="000424AB" w:rsidRPr="005E758A">
        <w:rPr>
          <w:szCs w:val="28"/>
        </w:rPr>
        <w:t>剛果領土內武裝活動案：</w:t>
      </w:r>
      <w:r w:rsidR="000424AB" w:rsidRPr="005E758A">
        <w:rPr>
          <w:szCs w:val="28"/>
        </w:rPr>
        <w:t>Armed Activities on the Territory of the Congo</w:t>
      </w:r>
      <w:r w:rsidR="000424AB" w:rsidRPr="005E758A">
        <w:rPr>
          <w:rStyle w:val="af3"/>
          <w:szCs w:val="28"/>
        </w:rPr>
        <w:endnoteReference w:id="527"/>
      </w:r>
    </w:p>
    <w:p w14:paraId="388B00B2" w14:textId="77777777" w:rsidR="000424AB" w:rsidRPr="005E758A" w:rsidRDefault="000424AB" w:rsidP="00490C95">
      <w:pPr>
        <w:snapToGrid w:val="0"/>
        <w:spacing w:before="100" w:beforeAutospacing="1" w:after="100" w:afterAutospacing="1" w:line="0" w:lineRule="atLeast"/>
        <w:ind w:firstLineChars="200" w:firstLine="560"/>
        <w:jc w:val="both"/>
        <w:rPr>
          <w:sz w:val="28"/>
          <w:szCs w:val="28"/>
        </w:rPr>
      </w:pPr>
      <w:r w:rsidRPr="005E758A">
        <w:rPr>
          <w:sz w:val="28"/>
          <w:szCs w:val="28"/>
        </w:rPr>
        <w:t>1997</w:t>
      </w:r>
      <w:r w:rsidR="00B1557F" w:rsidRPr="005E758A">
        <w:rPr>
          <w:sz w:val="28"/>
          <w:szCs w:val="28"/>
        </w:rPr>
        <w:t>年，</w:t>
      </w:r>
      <w:r w:rsidRPr="005E758A">
        <w:rPr>
          <w:sz w:val="28"/>
          <w:szCs w:val="28"/>
        </w:rPr>
        <w:t>Laurent-</w:t>
      </w:r>
      <w:proofErr w:type="spellStart"/>
      <w:r w:rsidRPr="005E758A">
        <w:rPr>
          <w:sz w:val="28"/>
          <w:szCs w:val="28"/>
        </w:rPr>
        <w:t>Désiré</w:t>
      </w:r>
      <w:proofErr w:type="spellEnd"/>
      <w:r w:rsidRPr="005E758A">
        <w:rPr>
          <w:sz w:val="28"/>
          <w:szCs w:val="28"/>
        </w:rPr>
        <w:t xml:space="preserve"> Kabila</w:t>
      </w:r>
      <w:r w:rsidR="00B1557F" w:rsidRPr="005E758A">
        <w:rPr>
          <w:sz w:val="28"/>
          <w:szCs w:val="28"/>
        </w:rPr>
        <w:t>帶領剛果民主共和國境內反叛軍，成功推翻當時的政府。</w:t>
      </w:r>
      <w:r w:rsidRPr="005E758A">
        <w:rPr>
          <w:sz w:val="28"/>
          <w:szCs w:val="28"/>
        </w:rPr>
        <w:t>烏干達及盧安達在過程中支持反叛軍，並在反叛軍成功後於剛果境內獲取許多軍事及經</w:t>
      </w:r>
      <w:r w:rsidR="00B1557F" w:rsidRPr="005E758A">
        <w:rPr>
          <w:sz w:val="28"/>
          <w:szCs w:val="28"/>
        </w:rPr>
        <w:t>濟方面的利益。</w:t>
      </w:r>
      <w:r w:rsidRPr="005E758A">
        <w:rPr>
          <w:sz w:val="28"/>
          <w:szCs w:val="28"/>
        </w:rPr>
        <w:t>雖然隔年</w:t>
      </w:r>
      <w:r w:rsidRPr="005E758A">
        <w:rPr>
          <w:sz w:val="28"/>
          <w:szCs w:val="28"/>
        </w:rPr>
        <w:t>Kabila</w:t>
      </w:r>
      <w:r w:rsidRPr="005E758A">
        <w:rPr>
          <w:sz w:val="28"/>
          <w:szCs w:val="28"/>
        </w:rPr>
        <w:t>開始呼籲所有外國軍隊（包括烏干達軍）撤離剛果，但烏干達</w:t>
      </w:r>
      <w:r w:rsidRPr="005E758A">
        <w:rPr>
          <w:sz w:val="28"/>
          <w:szCs w:val="28"/>
        </w:rPr>
        <w:lastRenderedPageBreak/>
        <w:t>並未撤軍，並在剛果境內數</w:t>
      </w:r>
      <w:r w:rsidR="00B1557F" w:rsidRPr="005E758A">
        <w:rPr>
          <w:sz w:val="28"/>
          <w:szCs w:val="28"/>
        </w:rPr>
        <w:t>個區域進行軍事活動。</w:t>
      </w:r>
      <w:r w:rsidRPr="005E758A">
        <w:rPr>
          <w:sz w:val="28"/>
          <w:szCs w:val="28"/>
        </w:rPr>
        <w:t>剛果民主共和國於</w:t>
      </w:r>
      <w:r w:rsidRPr="005E758A">
        <w:rPr>
          <w:sz w:val="28"/>
          <w:szCs w:val="28"/>
        </w:rPr>
        <w:t>1999</w:t>
      </w:r>
      <w:r w:rsidRPr="005E758A">
        <w:rPr>
          <w:sz w:val="28"/>
          <w:szCs w:val="28"/>
        </w:rPr>
        <w:t>年</w:t>
      </w:r>
      <w:r w:rsidRPr="005E758A">
        <w:rPr>
          <w:sz w:val="28"/>
          <w:szCs w:val="28"/>
        </w:rPr>
        <w:t>6</w:t>
      </w:r>
      <w:r w:rsidR="00B1557F" w:rsidRPr="005E758A">
        <w:rPr>
          <w:sz w:val="28"/>
          <w:szCs w:val="28"/>
        </w:rPr>
        <w:t>月向國際法院提起告訴，主張烏干達犯下侵略</w:t>
      </w:r>
      <w:r w:rsidRPr="005E758A">
        <w:rPr>
          <w:sz w:val="28"/>
          <w:szCs w:val="28"/>
        </w:rPr>
        <w:t>罪，並嚴重違反國際人權法及國際人道法，其中一項指控即為烏干達人民防衛軍</w:t>
      </w:r>
      <w:r w:rsidRPr="005E758A">
        <w:rPr>
          <w:sz w:val="28"/>
          <w:szCs w:val="28"/>
        </w:rPr>
        <w:t xml:space="preserve">(Uganda Peoples’ </w:t>
      </w:r>
      <w:proofErr w:type="spellStart"/>
      <w:r w:rsidRPr="005E758A">
        <w:rPr>
          <w:sz w:val="28"/>
          <w:szCs w:val="28"/>
        </w:rPr>
        <w:t>Defence</w:t>
      </w:r>
      <w:proofErr w:type="spellEnd"/>
      <w:r w:rsidRPr="005E758A">
        <w:rPr>
          <w:sz w:val="28"/>
          <w:szCs w:val="28"/>
        </w:rPr>
        <w:t xml:space="preserve"> Forces, UPDF)</w:t>
      </w:r>
      <w:r w:rsidRPr="005E758A">
        <w:rPr>
          <w:sz w:val="28"/>
          <w:szCs w:val="28"/>
        </w:rPr>
        <w:t>招募大量剛果兒童從軍。</w:t>
      </w:r>
    </w:p>
    <w:p w14:paraId="47A69198" w14:textId="77777777" w:rsidR="000424AB" w:rsidRPr="005E758A" w:rsidRDefault="00B1557F" w:rsidP="00490C95">
      <w:pPr>
        <w:snapToGrid w:val="0"/>
        <w:spacing w:before="100" w:beforeAutospacing="1" w:after="100" w:afterAutospacing="1" w:line="0" w:lineRule="atLeast"/>
        <w:ind w:firstLineChars="200" w:firstLine="560"/>
        <w:jc w:val="both"/>
        <w:rPr>
          <w:sz w:val="28"/>
          <w:szCs w:val="28"/>
        </w:rPr>
      </w:pPr>
      <w:r w:rsidRPr="005E758A">
        <w:rPr>
          <w:sz w:val="28"/>
          <w:szCs w:val="28"/>
        </w:rPr>
        <w:t>法院認為本案中有充分證據顯示烏干達軍隊在剛果境內犯</w:t>
      </w:r>
      <w:r w:rsidR="000424AB" w:rsidRPr="005E758A">
        <w:rPr>
          <w:sz w:val="28"/>
          <w:szCs w:val="28"/>
        </w:rPr>
        <w:t>下包括酷刑、殺害平民、轟炸及摧毀平民目標等違反國際法的行為。另有證據顯示烏干達人民防衛軍在其佔領區域招募兒童從事武裝行為，甚至設置了童軍訓練營。法院認為烏干達軍</w:t>
      </w:r>
      <w:r w:rsidRPr="005E758A">
        <w:rPr>
          <w:sz w:val="28"/>
          <w:szCs w:val="28"/>
        </w:rPr>
        <w:t>隊並未</w:t>
      </w:r>
      <w:r w:rsidR="000424AB" w:rsidRPr="005E758A">
        <w:rPr>
          <w:sz w:val="28"/>
          <w:szCs w:val="28"/>
        </w:rPr>
        <w:t>避免招募或再招募</w:t>
      </w:r>
      <w:r w:rsidR="000424AB" w:rsidRPr="005E758A">
        <w:rPr>
          <w:sz w:val="28"/>
          <w:szCs w:val="28"/>
        </w:rPr>
        <w:t>(re-recruitment)</w:t>
      </w:r>
      <w:r w:rsidR="000424AB" w:rsidRPr="005E758A">
        <w:rPr>
          <w:sz w:val="28"/>
          <w:szCs w:val="28"/>
        </w:rPr>
        <w:t>兒童，違反了其於國際人權法及人道法下的義務，包括兒童權利公約第</w:t>
      </w:r>
      <w:r w:rsidR="000424AB" w:rsidRPr="005E758A">
        <w:rPr>
          <w:sz w:val="28"/>
          <w:szCs w:val="28"/>
        </w:rPr>
        <w:t>38</w:t>
      </w:r>
      <w:r w:rsidR="000424AB" w:rsidRPr="005E758A">
        <w:rPr>
          <w:sz w:val="28"/>
          <w:szCs w:val="28"/>
        </w:rPr>
        <w:t>條第</w:t>
      </w:r>
      <w:r w:rsidR="000424AB" w:rsidRPr="005E758A">
        <w:rPr>
          <w:sz w:val="28"/>
          <w:szCs w:val="28"/>
        </w:rPr>
        <w:t>2</w:t>
      </w:r>
      <w:r w:rsidRPr="005E758A">
        <w:rPr>
          <w:sz w:val="28"/>
          <w:szCs w:val="28"/>
        </w:rPr>
        <w:t>項</w:t>
      </w:r>
      <w:r w:rsidR="000424AB" w:rsidRPr="005E758A">
        <w:rPr>
          <w:sz w:val="28"/>
          <w:szCs w:val="28"/>
        </w:rPr>
        <w:t>及</w:t>
      </w:r>
      <w:r w:rsidRPr="005E758A">
        <w:rPr>
          <w:sz w:val="28"/>
          <w:szCs w:val="28"/>
        </w:rPr>
        <w:t>第</w:t>
      </w:r>
      <w:r w:rsidR="000424AB" w:rsidRPr="005E758A">
        <w:rPr>
          <w:sz w:val="28"/>
          <w:szCs w:val="28"/>
        </w:rPr>
        <w:t>3</w:t>
      </w:r>
      <w:r w:rsidR="000424AB" w:rsidRPr="005E758A">
        <w:rPr>
          <w:sz w:val="28"/>
          <w:szCs w:val="28"/>
        </w:rPr>
        <w:t>項。</w:t>
      </w:r>
    </w:p>
    <w:p w14:paraId="5C2C4165" w14:textId="77777777" w:rsidR="000424AB" w:rsidRPr="005E758A" w:rsidRDefault="00500FF9" w:rsidP="00490C95">
      <w:pPr>
        <w:pStyle w:val="3"/>
        <w:spacing w:line="0" w:lineRule="atLeast"/>
        <w:rPr>
          <w:szCs w:val="28"/>
        </w:rPr>
      </w:pPr>
      <w:r w:rsidRPr="005E758A">
        <w:rPr>
          <w:szCs w:val="28"/>
        </w:rPr>
        <w:t>2006</w:t>
      </w:r>
      <w:r w:rsidRPr="005E758A">
        <w:rPr>
          <w:szCs w:val="28"/>
        </w:rPr>
        <w:t>年</w:t>
      </w:r>
      <w:r w:rsidR="000424AB" w:rsidRPr="005E758A">
        <w:rPr>
          <w:szCs w:val="28"/>
        </w:rPr>
        <w:t>美洲</w:t>
      </w:r>
      <w:r w:rsidR="00FF1E75" w:rsidRPr="005E758A">
        <w:rPr>
          <w:szCs w:val="28"/>
        </w:rPr>
        <w:t>國家</w:t>
      </w:r>
      <w:r w:rsidR="000424AB" w:rsidRPr="005E758A">
        <w:rPr>
          <w:szCs w:val="28"/>
        </w:rPr>
        <w:t>間人權法院逃亡童兵案：</w:t>
      </w:r>
      <w:r w:rsidR="000424AB" w:rsidRPr="005E758A">
        <w:rPr>
          <w:szCs w:val="28"/>
        </w:rPr>
        <w:t xml:space="preserve">Vargas </w:t>
      </w:r>
      <w:proofErr w:type="spellStart"/>
      <w:r w:rsidR="000424AB" w:rsidRPr="005E758A">
        <w:rPr>
          <w:szCs w:val="28"/>
        </w:rPr>
        <w:t>Areco</w:t>
      </w:r>
      <w:proofErr w:type="spellEnd"/>
      <w:r w:rsidR="000424AB" w:rsidRPr="005E758A">
        <w:rPr>
          <w:szCs w:val="28"/>
        </w:rPr>
        <w:t xml:space="preserve"> v. Paraguay</w:t>
      </w:r>
      <w:r w:rsidR="000424AB" w:rsidRPr="005E758A">
        <w:rPr>
          <w:rStyle w:val="af3"/>
          <w:szCs w:val="28"/>
        </w:rPr>
        <w:endnoteReference w:id="528"/>
      </w:r>
    </w:p>
    <w:p w14:paraId="28D59CFB" w14:textId="77777777" w:rsidR="00862789" w:rsidRPr="005E758A" w:rsidRDefault="00862789" w:rsidP="00490C95">
      <w:pPr>
        <w:snapToGrid w:val="0"/>
        <w:spacing w:before="100" w:beforeAutospacing="1" w:after="100" w:afterAutospacing="1" w:line="0" w:lineRule="atLeast"/>
        <w:ind w:firstLineChars="200" w:firstLine="560"/>
        <w:jc w:val="both"/>
        <w:rPr>
          <w:sz w:val="28"/>
          <w:szCs w:val="28"/>
        </w:rPr>
      </w:pPr>
      <w:r w:rsidRPr="005E758A">
        <w:rPr>
          <w:sz w:val="28"/>
          <w:szCs w:val="28"/>
        </w:rPr>
        <w:t>1989</w:t>
      </w:r>
      <w:r w:rsidRPr="005E758A">
        <w:rPr>
          <w:sz w:val="28"/>
          <w:szCs w:val="28"/>
        </w:rPr>
        <w:t>年</w:t>
      </w:r>
      <w:r w:rsidRPr="005E758A">
        <w:rPr>
          <w:sz w:val="28"/>
          <w:szCs w:val="28"/>
        </w:rPr>
        <w:t>1</w:t>
      </w:r>
      <w:r w:rsidRPr="005E758A">
        <w:rPr>
          <w:sz w:val="28"/>
          <w:szCs w:val="28"/>
        </w:rPr>
        <w:t>月，</w:t>
      </w:r>
      <w:r w:rsidRPr="005E758A">
        <w:rPr>
          <w:sz w:val="28"/>
          <w:szCs w:val="28"/>
        </w:rPr>
        <w:t>15</w:t>
      </w:r>
      <w:r w:rsidRPr="005E758A">
        <w:rPr>
          <w:sz w:val="28"/>
          <w:szCs w:val="28"/>
        </w:rPr>
        <w:t>歲的</w:t>
      </w:r>
      <w:r w:rsidRPr="005E758A">
        <w:rPr>
          <w:sz w:val="28"/>
          <w:szCs w:val="28"/>
        </w:rPr>
        <w:t xml:space="preserve">Gerardo Vargas </w:t>
      </w:r>
      <w:proofErr w:type="spellStart"/>
      <w:r w:rsidRPr="005E758A">
        <w:rPr>
          <w:sz w:val="28"/>
          <w:szCs w:val="28"/>
        </w:rPr>
        <w:t>Areco</w:t>
      </w:r>
      <w:proofErr w:type="spellEnd"/>
      <w:r w:rsidRPr="005E758A">
        <w:rPr>
          <w:sz w:val="28"/>
          <w:szCs w:val="28"/>
        </w:rPr>
        <w:t>被招募進巴拉圭國軍，當年</w:t>
      </w:r>
      <w:r w:rsidRPr="005E758A">
        <w:rPr>
          <w:sz w:val="28"/>
          <w:szCs w:val="28"/>
        </w:rPr>
        <w:t>12</w:t>
      </w:r>
      <w:r w:rsidRPr="005E758A">
        <w:rPr>
          <w:sz w:val="28"/>
          <w:szCs w:val="28"/>
        </w:rPr>
        <w:t>月，</w:t>
      </w:r>
      <w:r w:rsidRPr="005E758A">
        <w:rPr>
          <w:sz w:val="28"/>
          <w:szCs w:val="28"/>
        </w:rPr>
        <w:t xml:space="preserve">Vargas </w:t>
      </w:r>
      <w:proofErr w:type="spellStart"/>
      <w:r w:rsidRPr="005E758A">
        <w:rPr>
          <w:sz w:val="28"/>
          <w:szCs w:val="28"/>
        </w:rPr>
        <w:t>Areco</w:t>
      </w:r>
      <w:proofErr w:type="spellEnd"/>
      <w:r w:rsidRPr="005E758A">
        <w:rPr>
          <w:sz w:val="28"/>
          <w:szCs w:val="28"/>
        </w:rPr>
        <w:t>在拜訪家人的假期後未回部隊並遭逮捕，當天</w:t>
      </w:r>
      <w:r w:rsidRPr="005E758A">
        <w:rPr>
          <w:sz w:val="28"/>
          <w:szCs w:val="28"/>
        </w:rPr>
        <w:t xml:space="preserve">Vargas </w:t>
      </w:r>
      <w:proofErr w:type="spellStart"/>
      <w:r w:rsidRPr="005E758A">
        <w:rPr>
          <w:sz w:val="28"/>
          <w:szCs w:val="28"/>
        </w:rPr>
        <w:t>Areco</w:t>
      </w:r>
      <w:proofErr w:type="spellEnd"/>
      <w:r w:rsidRPr="005E758A">
        <w:rPr>
          <w:sz w:val="28"/>
          <w:szCs w:val="28"/>
        </w:rPr>
        <w:t>至醫院接受治療，其後趁機步行逃離軍營，在逃亡過程中遭到一名軍官射擊死亡。</w:t>
      </w:r>
    </w:p>
    <w:p w14:paraId="25F40222" w14:textId="77777777" w:rsidR="00631895" w:rsidRPr="005E758A" w:rsidRDefault="00862789" w:rsidP="00490C95">
      <w:pPr>
        <w:snapToGrid w:val="0"/>
        <w:spacing w:before="100" w:beforeAutospacing="1" w:after="100" w:afterAutospacing="1" w:line="0" w:lineRule="atLeast"/>
        <w:ind w:firstLineChars="200" w:firstLine="560"/>
        <w:jc w:val="both"/>
        <w:rPr>
          <w:sz w:val="28"/>
          <w:szCs w:val="28"/>
        </w:rPr>
      </w:pPr>
      <w:r w:rsidRPr="005E758A">
        <w:rPr>
          <w:sz w:val="28"/>
          <w:szCs w:val="28"/>
        </w:rPr>
        <w:t>法院認為巴拉圭的行為違反了</w:t>
      </w:r>
      <w:r w:rsidRPr="005E758A">
        <w:rPr>
          <w:sz w:val="28"/>
          <w:szCs w:val="28"/>
        </w:rPr>
        <w:t xml:space="preserve">Vargas </w:t>
      </w:r>
      <w:proofErr w:type="spellStart"/>
      <w:r w:rsidRPr="005E758A">
        <w:rPr>
          <w:sz w:val="28"/>
          <w:szCs w:val="28"/>
        </w:rPr>
        <w:t>Areco</w:t>
      </w:r>
      <w:proofErr w:type="spellEnd"/>
      <w:r w:rsidRPr="005E758A">
        <w:rPr>
          <w:sz w:val="28"/>
          <w:szCs w:val="28"/>
        </w:rPr>
        <w:t>的數項權利，包括接受人道待遇的權利、公平審判權、司法保護權以及生命權。雖然法院沒有管轄權審查巴拉圭政府系統性招募兒童之制度的合法性，但法院重申了巴拉圭在兒童權利公約以及</w:t>
      </w:r>
      <w:r w:rsidR="00AF6F8E" w:rsidRPr="005E758A">
        <w:rPr>
          <w:sz w:val="28"/>
          <w:szCs w:val="28"/>
        </w:rPr>
        <w:t>關於兒童捲入武裝衝突問題之兒童權利公約任擇議定書</w:t>
      </w:r>
      <w:r w:rsidRPr="005E758A">
        <w:rPr>
          <w:sz w:val="28"/>
          <w:szCs w:val="28"/>
        </w:rPr>
        <w:t>下的義務，應該停止招募兒童加入武裝部隊。法院同時考量了烏拉圭在國際勞工組織第</w:t>
      </w:r>
      <w:r w:rsidRPr="005E758A">
        <w:rPr>
          <w:sz w:val="28"/>
          <w:szCs w:val="28"/>
        </w:rPr>
        <w:t>182</w:t>
      </w:r>
      <w:r w:rsidRPr="005E758A">
        <w:rPr>
          <w:sz w:val="28"/>
          <w:szCs w:val="28"/>
        </w:rPr>
        <w:t>號</w:t>
      </w:r>
      <w:r w:rsidR="00AF6F8E" w:rsidRPr="005E758A">
        <w:rPr>
          <w:sz w:val="28"/>
          <w:szCs w:val="28"/>
        </w:rPr>
        <w:t>公</w:t>
      </w:r>
      <w:r w:rsidRPr="005E758A">
        <w:rPr>
          <w:sz w:val="28"/>
          <w:szCs w:val="28"/>
        </w:rPr>
        <w:t>約下的義務，認為強</w:t>
      </w:r>
      <w:r w:rsidR="000424AB" w:rsidRPr="005E758A">
        <w:rPr>
          <w:sz w:val="28"/>
          <w:szCs w:val="28"/>
        </w:rPr>
        <w:t>迫或自願招募兒童參與武裝衝突應被視為使其為奴隸的行為，應被禁止</w:t>
      </w:r>
      <w:r w:rsidR="008D0C6C" w:rsidRPr="005E758A">
        <w:rPr>
          <w:sz w:val="28"/>
          <w:szCs w:val="28"/>
        </w:rPr>
        <w:t>。</w:t>
      </w:r>
    </w:p>
    <w:p w14:paraId="1D0287A1" w14:textId="77777777" w:rsidR="008D0C6C" w:rsidRPr="005E758A" w:rsidRDefault="008D0C6C" w:rsidP="00490C95">
      <w:pPr>
        <w:pStyle w:val="2"/>
        <w:spacing w:line="0" w:lineRule="atLeast"/>
        <w:rPr>
          <w:szCs w:val="28"/>
        </w:rPr>
      </w:pPr>
      <w:r w:rsidRPr="005E758A">
        <w:rPr>
          <w:szCs w:val="28"/>
        </w:rPr>
        <w:t>綜合分析</w:t>
      </w:r>
    </w:p>
    <w:p w14:paraId="0519E496" w14:textId="77777777" w:rsidR="008D0C6C" w:rsidRPr="005E758A" w:rsidRDefault="008D0C6C" w:rsidP="00490C95">
      <w:pPr>
        <w:snapToGrid w:val="0"/>
        <w:spacing w:before="100" w:beforeAutospacing="1" w:after="100" w:afterAutospacing="1" w:line="0" w:lineRule="atLeast"/>
        <w:ind w:firstLineChars="200" w:firstLine="560"/>
        <w:jc w:val="both"/>
        <w:rPr>
          <w:sz w:val="28"/>
          <w:szCs w:val="28"/>
        </w:rPr>
      </w:pPr>
      <w:r w:rsidRPr="005E758A">
        <w:rPr>
          <w:sz w:val="28"/>
          <w:szCs w:val="28"/>
        </w:rPr>
        <w:t>公約起草過程中，各國對於最低招募年齡有不同的意見，雖然最後訂立了第</w:t>
      </w:r>
      <w:r w:rsidRPr="005E758A">
        <w:rPr>
          <w:sz w:val="28"/>
          <w:szCs w:val="28"/>
        </w:rPr>
        <w:t>38</w:t>
      </w:r>
      <w:r w:rsidRPr="005E758A">
        <w:rPr>
          <w:sz w:val="28"/>
          <w:szCs w:val="28"/>
        </w:rPr>
        <w:t>條，仍有許多聲音希望能提高最低招募年齡，兒童權利委員會成立後，即於第一會期時決定下一會期要討論兒童與武裝衝突的議題，並於第二會期時建議訂立一任</w:t>
      </w:r>
      <w:r w:rsidR="00985C6A" w:rsidRPr="005E758A">
        <w:rPr>
          <w:sz w:val="28"/>
          <w:szCs w:val="28"/>
        </w:rPr>
        <w:t>擇</w:t>
      </w:r>
      <w:r w:rsidRPr="005E758A">
        <w:rPr>
          <w:sz w:val="28"/>
          <w:szCs w:val="28"/>
        </w:rPr>
        <w:t>議定書，將最低招募年齡提至</w:t>
      </w:r>
      <w:r w:rsidRPr="005E758A">
        <w:rPr>
          <w:sz w:val="28"/>
          <w:szCs w:val="28"/>
        </w:rPr>
        <w:t>18</w:t>
      </w:r>
      <w:r w:rsidRPr="005E758A">
        <w:rPr>
          <w:sz w:val="28"/>
          <w:szCs w:val="28"/>
        </w:rPr>
        <w:t>歲</w:t>
      </w:r>
      <w:r w:rsidRPr="005E758A">
        <w:rPr>
          <w:rStyle w:val="af3"/>
          <w:sz w:val="28"/>
          <w:szCs w:val="28"/>
        </w:rPr>
        <w:endnoteReference w:id="529"/>
      </w:r>
      <w:r w:rsidRPr="005E758A">
        <w:rPr>
          <w:sz w:val="28"/>
          <w:szCs w:val="28"/>
        </w:rPr>
        <w:t>。關於兒童捲入武裝衝突問題之兒童權利公約任擇議定書於</w:t>
      </w:r>
      <w:r w:rsidRPr="005E758A">
        <w:rPr>
          <w:sz w:val="28"/>
          <w:szCs w:val="28"/>
        </w:rPr>
        <w:t>2000</w:t>
      </w:r>
      <w:r w:rsidRPr="005E758A">
        <w:rPr>
          <w:sz w:val="28"/>
          <w:szCs w:val="28"/>
        </w:rPr>
        <w:t>年通過，並於</w:t>
      </w:r>
      <w:r w:rsidRPr="005E758A">
        <w:rPr>
          <w:sz w:val="28"/>
          <w:szCs w:val="28"/>
        </w:rPr>
        <w:t>2002</w:t>
      </w:r>
      <w:r w:rsidRPr="005E758A">
        <w:rPr>
          <w:sz w:val="28"/>
          <w:szCs w:val="28"/>
        </w:rPr>
        <w:t>年生效，至</w:t>
      </w:r>
      <w:r w:rsidRPr="005E758A">
        <w:rPr>
          <w:sz w:val="28"/>
          <w:szCs w:val="28"/>
        </w:rPr>
        <w:t>2015</w:t>
      </w:r>
      <w:r w:rsidRPr="005E758A">
        <w:rPr>
          <w:sz w:val="28"/>
          <w:szCs w:val="28"/>
        </w:rPr>
        <w:t>年</w:t>
      </w:r>
      <w:r w:rsidRPr="005E758A">
        <w:rPr>
          <w:sz w:val="28"/>
          <w:szCs w:val="28"/>
        </w:rPr>
        <w:t>7</w:t>
      </w:r>
      <w:r w:rsidRPr="005E758A">
        <w:rPr>
          <w:sz w:val="28"/>
          <w:szCs w:val="28"/>
        </w:rPr>
        <w:t>月底共有</w:t>
      </w:r>
      <w:r w:rsidRPr="005E758A">
        <w:rPr>
          <w:sz w:val="28"/>
          <w:szCs w:val="28"/>
        </w:rPr>
        <w:t>159</w:t>
      </w:r>
      <w:r w:rsidRPr="005E758A">
        <w:rPr>
          <w:sz w:val="28"/>
          <w:szCs w:val="28"/>
        </w:rPr>
        <w:t>個締約國</w:t>
      </w:r>
      <w:r w:rsidRPr="005E758A">
        <w:rPr>
          <w:rStyle w:val="af3"/>
          <w:sz w:val="28"/>
          <w:szCs w:val="28"/>
        </w:rPr>
        <w:endnoteReference w:id="530"/>
      </w:r>
      <w:r w:rsidRPr="005E758A">
        <w:rPr>
          <w:sz w:val="28"/>
          <w:szCs w:val="28"/>
        </w:rPr>
        <w:t>，議定書的內容即延伸了公約第</w:t>
      </w:r>
      <w:r w:rsidRPr="005E758A">
        <w:rPr>
          <w:sz w:val="28"/>
          <w:szCs w:val="28"/>
        </w:rPr>
        <w:t>38</w:t>
      </w:r>
      <w:r w:rsidR="00985C6A" w:rsidRPr="005E758A">
        <w:rPr>
          <w:sz w:val="28"/>
          <w:szCs w:val="28"/>
        </w:rPr>
        <w:t>條</w:t>
      </w:r>
      <w:r w:rsidRPr="005E758A">
        <w:rPr>
          <w:sz w:val="28"/>
          <w:szCs w:val="28"/>
        </w:rPr>
        <w:t>及</w:t>
      </w:r>
      <w:r w:rsidR="00985C6A" w:rsidRPr="005E758A">
        <w:rPr>
          <w:sz w:val="28"/>
          <w:szCs w:val="28"/>
        </w:rPr>
        <w:t>第</w:t>
      </w:r>
      <w:r w:rsidRPr="005E758A">
        <w:rPr>
          <w:sz w:val="28"/>
          <w:szCs w:val="28"/>
        </w:rPr>
        <w:t>39</w:t>
      </w:r>
      <w:r w:rsidRPr="005E758A">
        <w:rPr>
          <w:sz w:val="28"/>
          <w:szCs w:val="28"/>
        </w:rPr>
        <w:t>條的規定</w:t>
      </w:r>
      <w:r w:rsidRPr="005E758A">
        <w:rPr>
          <w:rStyle w:val="af3"/>
          <w:sz w:val="28"/>
          <w:szCs w:val="28"/>
        </w:rPr>
        <w:endnoteReference w:id="531"/>
      </w:r>
      <w:r w:rsidRPr="005E758A">
        <w:rPr>
          <w:sz w:val="28"/>
          <w:szCs w:val="28"/>
        </w:rPr>
        <w:t>。</w:t>
      </w:r>
    </w:p>
    <w:p w14:paraId="4D6311B4" w14:textId="77777777" w:rsidR="00C661A1" w:rsidRPr="005E758A" w:rsidRDefault="00C661A1" w:rsidP="00C661A1">
      <w:pPr>
        <w:pStyle w:val="2"/>
      </w:pPr>
      <w:r w:rsidRPr="005E758A">
        <w:t>參考資料</w:t>
      </w:r>
    </w:p>
    <w:p w14:paraId="6CAAFD9B" w14:textId="77777777" w:rsidR="00C661A1" w:rsidRPr="005E758A" w:rsidRDefault="00C661A1" w:rsidP="00D2135A">
      <w:pPr>
        <w:pStyle w:val="a0"/>
        <w:numPr>
          <w:ilvl w:val="0"/>
          <w:numId w:val="77"/>
        </w:numPr>
        <w:snapToGrid w:val="0"/>
        <w:spacing w:before="100" w:beforeAutospacing="1" w:after="100" w:afterAutospacing="1"/>
        <w:ind w:leftChars="0"/>
        <w:jc w:val="both"/>
        <w:rPr>
          <w:rFonts w:ascii="Times New Roman" w:eastAsia="標楷體" w:hAnsi="Times New Roman"/>
          <w:sz w:val="28"/>
          <w:szCs w:val="28"/>
        </w:rPr>
      </w:pPr>
      <w:r w:rsidRPr="005E758A">
        <w:rPr>
          <w:rFonts w:ascii="Times New Roman" w:eastAsia="標楷體" w:hAnsi="Times New Roman"/>
          <w:sz w:val="28"/>
          <w:szCs w:val="28"/>
        </w:rPr>
        <w:lastRenderedPageBreak/>
        <w:t>ECPAT International, World Congress against the Commercial Sexual Exploitation of Children, http://www.ecpat.net/world-congress-against-commercial-sexual-exploitation-children.</w:t>
      </w:r>
    </w:p>
    <w:p w14:paraId="76D00DA1" w14:textId="77777777" w:rsidR="00C661A1" w:rsidRPr="005E758A" w:rsidRDefault="00C661A1" w:rsidP="00D2135A">
      <w:pPr>
        <w:pStyle w:val="a0"/>
        <w:numPr>
          <w:ilvl w:val="0"/>
          <w:numId w:val="77"/>
        </w:numPr>
        <w:snapToGrid w:val="0"/>
        <w:spacing w:before="100" w:beforeAutospacing="1" w:after="100" w:afterAutospacing="1"/>
        <w:ind w:leftChars="0"/>
        <w:jc w:val="both"/>
        <w:rPr>
          <w:rFonts w:ascii="Times New Roman" w:eastAsia="標楷體" w:hAnsi="Times New Roman"/>
          <w:sz w:val="28"/>
          <w:szCs w:val="28"/>
        </w:rPr>
      </w:pPr>
      <w:r w:rsidRPr="005E758A">
        <w:rPr>
          <w:rFonts w:ascii="Times New Roman" w:eastAsia="標楷體" w:hAnsi="Times New Roman"/>
          <w:smallCaps/>
          <w:sz w:val="28"/>
          <w:szCs w:val="28"/>
        </w:rPr>
        <w:t>Fiona Ang, A Commentary on the United Nations Convention on the Rights of the Child: Article 38. Children in Armed Conflicts</w:t>
      </w:r>
      <w:r w:rsidRPr="005E758A">
        <w:rPr>
          <w:rFonts w:ascii="Times New Roman" w:eastAsia="標楷體" w:hAnsi="Times New Roman"/>
          <w:sz w:val="28"/>
          <w:szCs w:val="28"/>
        </w:rPr>
        <w:t xml:space="preserve"> (André Alen et al. eds., 2005).</w:t>
      </w:r>
    </w:p>
    <w:p w14:paraId="26A7D01A" w14:textId="77777777" w:rsidR="00C661A1" w:rsidRPr="005E758A" w:rsidRDefault="00C661A1" w:rsidP="00D2135A">
      <w:pPr>
        <w:pStyle w:val="a0"/>
        <w:numPr>
          <w:ilvl w:val="0"/>
          <w:numId w:val="77"/>
        </w:numPr>
        <w:snapToGrid w:val="0"/>
        <w:spacing w:before="100" w:beforeAutospacing="1" w:after="100" w:afterAutospacing="1"/>
        <w:ind w:leftChars="0"/>
        <w:jc w:val="both"/>
        <w:rPr>
          <w:rFonts w:ascii="Times New Roman" w:eastAsia="標楷體" w:hAnsi="Times New Roman"/>
          <w:sz w:val="28"/>
          <w:szCs w:val="28"/>
        </w:rPr>
      </w:pPr>
      <w:r w:rsidRPr="005E758A">
        <w:rPr>
          <w:rFonts w:ascii="Times New Roman" w:eastAsia="標楷體" w:hAnsi="Times New Roman"/>
          <w:sz w:val="28"/>
          <w:szCs w:val="28"/>
        </w:rPr>
        <w:t xml:space="preserve">Jean de </w:t>
      </w:r>
      <w:proofErr w:type="spellStart"/>
      <w:r w:rsidRPr="005E758A">
        <w:rPr>
          <w:rFonts w:ascii="Times New Roman" w:eastAsia="標楷體" w:hAnsi="Times New Roman"/>
          <w:sz w:val="28"/>
          <w:szCs w:val="28"/>
        </w:rPr>
        <w:t>Preux</w:t>
      </w:r>
      <w:proofErr w:type="spellEnd"/>
      <w:r w:rsidRPr="005E758A">
        <w:rPr>
          <w:rFonts w:ascii="Times New Roman" w:eastAsia="標楷體" w:hAnsi="Times New Roman"/>
          <w:sz w:val="28"/>
          <w:szCs w:val="28"/>
        </w:rPr>
        <w:t xml:space="preserve">, </w:t>
      </w:r>
      <w:r w:rsidRPr="005E758A">
        <w:rPr>
          <w:rFonts w:ascii="Times New Roman" w:eastAsia="標楷體" w:hAnsi="Times New Roman"/>
          <w:i/>
          <w:sz w:val="28"/>
          <w:szCs w:val="28"/>
        </w:rPr>
        <w:t>Article 43: Armed Forces</w:t>
      </w:r>
      <w:r w:rsidRPr="005E758A">
        <w:rPr>
          <w:rFonts w:ascii="Times New Roman" w:eastAsia="標楷體" w:hAnsi="Times New Roman"/>
          <w:sz w:val="28"/>
          <w:szCs w:val="28"/>
        </w:rPr>
        <w:t xml:space="preserve">, </w:t>
      </w:r>
      <w:r w:rsidRPr="005E758A">
        <w:rPr>
          <w:rFonts w:ascii="Times New Roman" w:eastAsia="標楷體" w:hAnsi="Times New Roman"/>
          <w:i/>
          <w:sz w:val="28"/>
          <w:szCs w:val="28"/>
        </w:rPr>
        <w:t>in</w:t>
      </w:r>
      <w:r w:rsidRPr="005E758A">
        <w:rPr>
          <w:rFonts w:ascii="Times New Roman" w:eastAsia="標楷體" w:hAnsi="Times New Roman"/>
          <w:sz w:val="28"/>
          <w:szCs w:val="28"/>
        </w:rPr>
        <w:t xml:space="preserve"> </w:t>
      </w:r>
      <w:r w:rsidRPr="005E758A">
        <w:rPr>
          <w:rFonts w:ascii="Times New Roman" w:eastAsia="標楷體" w:hAnsi="Times New Roman"/>
          <w:smallCaps/>
          <w:sz w:val="28"/>
          <w:szCs w:val="28"/>
        </w:rPr>
        <w:t xml:space="preserve">Commentary on the Additional Protocols of 8 June 1977 to the Geneva Conventions of 12 August 1949, </w:t>
      </w:r>
      <w:r w:rsidRPr="005E758A">
        <w:rPr>
          <w:rFonts w:ascii="Times New Roman" w:eastAsia="標楷體" w:hAnsi="Times New Roman"/>
          <w:sz w:val="28"/>
          <w:szCs w:val="28"/>
        </w:rPr>
        <w:t xml:space="preserve">at 505 (Yves Sandoz, Christophe </w:t>
      </w:r>
      <w:proofErr w:type="spellStart"/>
      <w:r w:rsidRPr="005E758A">
        <w:rPr>
          <w:rFonts w:ascii="Times New Roman" w:eastAsia="標楷體" w:hAnsi="Times New Roman"/>
          <w:sz w:val="28"/>
          <w:szCs w:val="28"/>
        </w:rPr>
        <w:t>Swinarski</w:t>
      </w:r>
      <w:proofErr w:type="spellEnd"/>
      <w:r w:rsidRPr="005E758A">
        <w:rPr>
          <w:rFonts w:ascii="Times New Roman" w:eastAsia="標楷體" w:hAnsi="Times New Roman"/>
          <w:sz w:val="28"/>
          <w:szCs w:val="28"/>
        </w:rPr>
        <w:t xml:space="preserve"> &amp; Bruno Zimmermann eds, 1987).</w:t>
      </w:r>
    </w:p>
    <w:p w14:paraId="0EE73D9B" w14:textId="77777777" w:rsidR="00C661A1" w:rsidRPr="005E758A" w:rsidRDefault="00C661A1" w:rsidP="00D2135A">
      <w:pPr>
        <w:pStyle w:val="a0"/>
        <w:numPr>
          <w:ilvl w:val="0"/>
          <w:numId w:val="77"/>
        </w:numPr>
        <w:snapToGrid w:val="0"/>
        <w:spacing w:before="100" w:beforeAutospacing="1" w:after="100" w:afterAutospacing="1"/>
        <w:ind w:leftChars="0"/>
        <w:jc w:val="both"/>
        <w:rPr>
          <w:rFonts w:ascii="Times New Roman" w:eastAsia="標楷體" w:hAnsi="Times New Roman"/>
          <w:sz w:val="28"/>
          <w:szCs w:val="28"/>
        </w:rPr>
      </w:pPr>
      <w:r w:rsidRPr="005E758A">
        <w:rPr>
          <w:rFonts w:ascii="Times New Roman" w:eastAsia="標楷體" w:hAnsi="Times New Roman"/>
          <w:smallCaps/>
          <w:sz w:val="28"/>
          <w:szCs w:val="28"/>
        </w:rPr>
        <w:t xml:space="preserve">Tiny </w:t>
      </w:r>
      <w:proofErr w:type="spellStart"/>
      <w:r w:rsidRPr="005E758A">
        <w:rPr>
          <w:rFonts w:ascii="Times New Roman" w:eastAsia="標楷體" w:hAnsi="Times New Roman"/>
          <w:smallCaps/>
          <w:sz w:val="28"/>
          <w:szCs w:val="28"/>
        </w:rPr>
        <w:t>Vandewiele</w:t>
      </w:r>
      <w:proofErr w:type="spellEnd"/>
      <w:r w:rsidRPr="005E758A">
        <w:rPr>
          <w:rFonts w:ascii="Times New Roman" w:eastAsia="標楷體" w:hAnsi="Times New Roman"/>
          <w:smallCaps/>
          <w:sz w:val="28"/>
          <w:szCs w:val="28"/>
        </w:rPr>
        <w:t xml:space="preserve">, A Commentary on the United Nations Convention on the Rights of the Child: Optional Protocol. The Involvement of Children in Armed Conflicts </w:t>
      </w:r>
      <w:r w:rsidRPr="005E758A">
        <w:rPr>
          <w:rFonts w:ascii="Times New Roman" w:eastAsia="標楷體" w:hAnsi="Times New Roman"/>
          <w:sz w:val="28"/>
          <w:szCs w:val="28"/>
        </w:rPr>
        <w:t>(André Alen et al. eds., 2006).</w:t>
      </w:r>
    </w:p>
    <w:p w14:paraId="583313B6" w14:textId="77777777" w:rsidR="00C661A1" w:rsidRPr="005E758A" w:rsidRDefault="00C661A1" w:rsidP="00D2135A">
      <w:pPr>
        <w:pStyle w:val="a0"/>
        <w:numPr>
          <w:ilvl w:val="0"/>
          <w:numId w:val="77"/>
        </w:numPr>
        <w:snapToGrid w:val="0"/>
        <w:spacing w:before="100" w:beforeAutospacing="1" w:after="100" w:afterAutospacing="1"/>
        <w:ind w:leftChars="0"/>
        <w:jc w:val="both"/>
        <w:rPr>
          <w:rFonts w:ascii="Times New Roman" w:eastAsia="標楷體" w:hAnsi="Times New Roman"/>
          <w:sz w:val="28"/>
          <w:szCs w:val="28"/>
        </w:rPr>
      </w:pPr>
      <w:r w:rsidRPr="005E758A">
        <w:rPr>
          <w:rFonts w:ascii="Times New Roman" w:eastAsia="標楷體" w:hAnsi="Times New Roman"/>
          <w:sz w:val="28"/>
          <w:szCs w:val="28"/>
        </w:rPr>
        <w:t>1949</w:t>
      </w:r>
      <w:r w:rsidRPr="005E758A">
        <w:rPr>
          <w:rFonts w:ascii="Times New Roman" w:eastAsia="標楷體" w:hAnsi="Times New Roman"/>
          <w:sz w:val="28"/>
          <w:szCs w:val="28"/>
        </w:rPr>
        <w:t>年關於戰時保護平民之日內瓦公約</w:t>
      </w:r>
      <w:r w:rsidRPr="005E758A">
        <w:rPr>
          <w:rFonts w:ascii="Times New Roman" w:eastAsia="標楷體" w:hAnsi="Times New Roman"/>
          <w:sz w:val="28"/>
          <w:szCs w:val="28"/>
        </w:rPr>
        <w:t xml:space="preserve"> (Geneva Convention Relative to the Protection of Civilian Persons in Time of War, Aug. 12, 1949, 75 U.N.T.S. 287.)</w:t>
      </w:r>
    </w:p>
    <w:p w14:paraId="3A8813FF" w14:textId="77777777" w:rsidR="00C661A1" w:rsidRPr="005E758A" w:rsidRDefault="00C661A1" w:rsidP="00D2135A">
      <w:pPr>
        <w:pStyle w:val="a0"/>
        <w:numPr>
          <w:ilvl w:val="0"/>
          <w:numId w:val="77"/>
        </w:numPr>
        <w:snapToGrid w:val="0"/>
        <w:spacing w:before="100" w:beforeAutospacing="1" w:after="100" w:afterAutospacing="1"/>
        <w:ind w:leftChars="0"/>
        <w:jc w:val="both"/>
        <w:rPr>
          <w:rFonts w:ascii="Times New Roman" w:eastAsia="標楷體" w:hAnsi="Times New Roman"/>
          <w:sz w:val="28"/>
          <w:szCs w:val="28"/>
        </w:rPr>
      </w:pPr>
      <w:r w:rsidRPr="005E758A">
        <w:rPr>
          <w:rFonts w:ascii="Times New Roman" w:eastAsia="標楷體" w:hAnsi="Times New Roman"/>
          <w:sz w:val="28"/>
          <w:szCs w:val="28"/>
        </w:rPr>
        <w:t>聯合國秘書長的專家</w:t>
      </w:r>
      <w:r w:rsidRPr="005E758A">
        <w:rPr>
          <w:rFonts w:ascii="Times New Roman" w:eastAsia="標楷體" w:hAnsi="Times New Roman"/>
          <w:sz w:val="28"/>
          <w:szCs w:val="28"/>
        </w:rPr>
        <w:t xml:space="preserve">Ms. </w:t>
      </w:r>
      <w:proofErr w:type="spellStart"/>
      <w:r w:rsidRPr="005E758A">
        <w:rPr>
          <w:rFonts w:ascii="Times New Roman" w:eastAsia="標楷體" w:hAnsi="Times New Roman"/>
          <w:sz w:val="28"/>
          <w:szCs w:val="28"/>
        </w:rPr>
        <w:t>Grac’a</w:t>
      </w:r>
      <w:proofErr w:type="spellEnd"/>
      <w:r w:rsidRPr="005E758A">
        <w:rPr>
          <w:rFonts w:ascii="Times New Roman" w:eastAsia="標楷體" w:hAnsi="Times New Roman"/>
          <w:sz w:val="28"/>
          <w:szCs w:val="28"/>
        </w:rPr>
        <w:t xml:space="preserve"> Machel</w:t>
      </w:r>
      <w:r w:rsidRPr="005E758A">
        <w:rPr>
          <w:rFonts w:ascii="Times New Roman" w:eastAsia="標楷體" w:hAnsi="Times New Roman"/>
          <w:sz w:val="28"/>
          <w:szCs w:val="28"/>
        </w:rPr>
        <w:t>女士遵照大會第</w:t>
      </w:r>
      <w:r w:rsidRPr="005E758A">
        <w:rPr>
          <w:rFonts w:ascii="Times New Roman" w:eastAsia="標楷體" w:hAnsi="Times New Roman"/>
          <w:sz w:val="28"/>
          <w:szCs w:val="28"/>
        </w:rPr>
        <w:t>48/157</w:t>
      </w:r>
      <w:r w:rsidR="00F50913" w:rsidRPr="005E758A">
        <w:rPr>
          <w:rFonts w:ascii="Times New Roman" w:eastAsia="標楷體" w:hAnsi="Times New Roman"/>
          <w:sz w:val="28"/>
          <w:szCs w:val="28"/>
        </w:rPr>
        <w:t>號</w:t>
      </w:r>
      <w:r w:rsidRPr="005E758A">
        <w:rPr>
          <w:rFonts w:ascii="Times New Roman" w:eastAsia="標楷體" w:hAnsi="Times New Roman"/>
          <w:sz w:val="28"/>
          <w:szCs w:val="28"/>
        </w:rPr>
        <w:t>決議提交的報告：武裝衝突對兒童的影響。</w:t>
      </w:r>
      <w:r w:rsidRPr="005E758A">
        <w:rPr>
          <w:rFonts w:ascii="Times New Roman" w:eastAsia="標楷體" w:hAnsi="Times New Roman"/>
          <w:sz w:val="28"/>
          <w:szCs w:val="28"/>
        </w:rPr>
        <w:t>(</w:t>
      </w:r>
      <w:r w:rsidRPr="005E758A">
        <w:rPr>
          <w:rFonts w:ascii="Times New Roman" w:eastAsia="標楷體" w:hAnsi="Times New Roman"/>
          <w:i/>
          <w:sz w:val="28"/>
          <w:szCs w:val="28"/>
        </w:rPr>
        <w:t xml:space="preserve">Report of the Expert of the Secretary-General, Ms. </w:t>
      </w:r>
      <w:proofErr w:type="spellStart"/>
      <w:r w:rsidRPr="005E758A">
        <w:rPr>
          <w:rFonts w:ascii="Times New Roman" w:eastAsia="標楷體" w:hAnsi="Times New Roman"/>
          <w:i/>
          <w:sz w:val="28"/>
          <w:szCs w:val="28"/>
        </w:rPr>
        <w:t>Grac’a</w:t>
      </w:r>
      <w:proofErr w:type="spellEnd"/>
      <w:r w:rsidRPr="005E758A">
        <w:rPr>
          <w:rFonts w:ascii="Times New Roman" w:eastAsia="標楷體" w:hAnsi="Times New Roman"/>
          <w:i/>
          <w:sz w:val="28"/>
          <w:szCs w:val="28"/>
        </w:rPr>
        <w:t xml:space="preserve"> Machel, Submitted Pursuant to General Assembly Resolution 48/157</w:t>
      </w:r>
      <w:r w:rsidRPr="005E758A">
        <w:rPr>
          <w:rFonts w:ascii="Times New Roman" w:eastAsia="標楷體" w:hAnsi="Times New Roman"/>
          <w:sz w:val="28"/>
          <w:szCs w:val="28"/>
        </w:rPr>
        <w:t>, U.N. Doc. A/51/306 (Aug. 26, 1996).)</w:t>
      </w:r>
    </w:p>
    <w:p w14:paraId="1173E02D" w14:textId="77777777" w:rsidR="00344CCB" w:rsidRPr="005E758A" w:rsidRDefault="00344CCB" w:rsidP="00C661A1">
      <w:pPr>
        <w:snapToGrid w:val="0"/>
        <w:spacing w:before="100" w:beforeAutospacing="1" w:after="100" w:afterAutospacing="1"/>
        <w:jc w:val="both"/>
        <w:rPr>
          <w:sz w:val="28"/>
          <w:szCs w:val="28"/>
        </w:rPr>
      </w:pPr>
    </w:p>
    <w:p w14:paraId="256BDD37" w14:textId="77777777" w:rsidR="00C661A1" w:rsidRPr="005E758A" w:rsidRDefault="00C661A1" w:rsidP="00C661A1">
      <w:pPr>
        <w:snapToGrid w:val="0"/>
        <w:spacing w:before="100" w:beforeAutospacing="1" w:after="100" w:afterAutospacing="1"/>
        <w:jc w:val="both"/>
        <w:rPr>
          <w:sz w:val="28"/>
          <w:szCs w:val="28"/>
        </w:rPr>
        <w:sectPr w:rsidR="00C661A1" w:rsidRPr="005E758A" w:rsidSect="00135FC9">
          <w:footnotePr>
            <w:numRestart w:val="eachSect"/>
          </w:footnotePr>
          <w:endnotePr>
            <w:numFmt w:val="decimal"/>
            <w:numRestart w:val="eachSect"/>
          </w:endnotePr>
          <w:pgSz w:w="11906" w:h="16838"/>
          <w:pgMar w:top="1440" w:right="1797" w:bottom="1440" w:left="1797" w:header="851" w:footer="992" w:gutter="0"/>
          <w:cols w:space="425"/>
          <w:docGrid w:linePitch="360"/>
        </w:sectPr>
      </w:pPr>
      <w:r w:rsidRPr="005E758A">
        <w:rPr>
          <w:sz w:val="28"/>
          <w:szCs w:val="28"/>
        </w:rPr>
        <w:t>關鍵詞：武裝衝突、國際人道法、最低招募年齡、童兵、平民保護</w:t>
      </w:r>
    </w:p>
    <w:p w14:paraId="361249AB" w14:textId="77777777" w:rsidR="00F50913" w:rsidRPr="00F50913" w:rsidRDefault="00F50913" w:rsidP="00F50913">
      <w:pPr>
        <w:pStyle w:val="1"/>
      </w:pPr>
      <w:bookmarkStart w:id="106" w:name="_Toc431072755"/>
      <w:r w:rsidRPr="005E758A">
        <w:lastRenderedPageBreak/>
        <w:t>第</w:t>
      </w:r>
      <w:r w:rsidRPr="005E758A">
        <w:t>39</w:t>
      </w:r>
      <w:r w:rsidRPr="005E758A">
        <w:t>條</w:t>
      </w:r>
      <w:r>
        <w:rPr>
          <w:rFonts w:hint="eastAsia"/>
        </w:rPr>
        <w:t xml:space="preserve">　</w:t>
      </w:r>
      <w:r w:rsidRPr="00F50913">
        <w:rPr>
          <w:rFonts w:hint="eastAsia"/>
        </w:rPr>
        <w:t>被害兒童之康復與重返社會</w:t>
      </w:r>
      <w:bookmarkEnd w:id="106"/>
    </w:p>
    <w:tbl>
      <w:tblPr>
        <w:tblW w:w="82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8220"/>
      </w:tblGrid>
      <w:tr w:rsidR="00F50913" w:rsidRPr="005E758A" w14:paraId="176DCB8B" w14:textId="77777777" w:rsidTr="002B035C">
        <w:trPr>
          <w:jc w:val="center"/>
        </w:trPr>
        <w:tc>
          <w:tcPr>
            <w:tcW w:w="8220" w:type="dxa"/>
          </w:tcPr>
          <w:p w14:paraId="76A0F1EB" w14:textId="77777777" w:rsidR="00F50913" w:rsidRPr="005E758A" w:rsidRDefault="00F50913" w:rsidP="002B035C">
            <w:pPr>
              <w:snapToGrid w:val="0"/>
              <w:spacing w:before="100" w:beforeAutospacing="1" w:after="100" w:afterAutospacing="1"/>
              <w:ind w:left="75"/>
              <w:jc w:val="both"/>
              <w:rPr>
                <w:sz w:val="28"/>
                <w:szCs w:val="28"/>
              </w:rPr>
            </w:pPr>
            <w:r w:rsidRPr="005E758A">
              <w:rPr>
                <w:sz w:val="28"/>
                <w:szCs w:val="28"/>
              </w:rPr>
              <w:t>締約國應採取</w:t>
            </w:r>
            <w:r w:rsidRPr="005E758A">
              <w:rPr>
                <w:kern w:val="0"/>
                <w:sz w:val="28"/>
                <w:szCs w:val="28"/>
              </w:rPr>
              <w:t>所有</w:t>
            </w:r>
            <w:r w:rsidRPr="005E758A">
              <w:rPr>
                <w:sz w:val="28"/>
                <w:szCs w:val="28"/>
              </w:rPr>
              <w:t>適當措施，使遭受下述情況之兒童身心得以康復並重返社會：任何形式之疏忽、剝削或虐待；酷刑或任何其他殘忍、不人道或有辱人格之待遇或處罰方式；或遭遇武裝衝突之兒童。此種康復與重返社會，應於能促進兒</w:t>
            </w:r>
            <w:r w:rsidRPr="005E758A">
              <w:rPr>
                <w:kern w:val="0"/>
                <w:sz w:val="28"/>
                <w:szCs w:val="28"/>
              </w:rPr>
              <w:t>童健康、自尊及尊嚴之環境中進行。</w:t>
            </w:r>
          </w:p>
        </w:tc>
      </w:tr>
    </w:tbl>
    <w:p w14:paraId="6A26610B" w14:textId="77777777" w:rsidR="00F50913" w:rsidRPr="00F50913" w:rsidRDefault="00F50913" w:rsidP="00F50913">
      <w:pPr>
        <w:snapToGrid w:val="0"/>
        <w:spacing w:before="100" w:beforeAutospacing="1" w:after="100" w:afterAutospacing="1"/>
        <w:jc w:val="both"/>
        <w:rPr>
          <w:sz w:val="28"/>
        </w:rPr>
      </w:pPr>
    </w:p>
    <w:p w14:paraId="5D65E31F" w14:textId="77777777" w:rsidR="0095798C" w:rsidRPr="005E758A" w:rsidRDefault="0095798C" w:rsidP="007119F4">
      <w:pPr>
        <w:pStyle w:val="2"/>
        <w:numPr>
          <w:ilvl w:val="0"/>
          <w:numId w:val="68"/>
        </w:numPr>
      </w:pPr>
      <w:r w:rsidRPr="005E758A">
        <w:t>規範宗旨</w:t>
      </w:r>
    </w:p>
    <w:p w14:paraId="28C70D55" w14:textId="77777777" w:rsidR="0095798C" w:rsidRPr="005E758A" w:rsidRDefault="0095798C" w:rsidP="0095798C">
      <w:pPr>
        <w:pStyle w:val="a0"/>
        <w:snapToGrid w:val="0"/>
        <w:spacing w:before="100" w:beforeAutospacing="1" w:after="100" w:afterAutospacing="1"/>
        <w:ind w:leftChars="0" w:left="0" w:firstLineChars="200" w:firstLine="560"/>
        <w:jc w:val="both"/>
        <w:rPr>
          <w:rFonts w:ascii="Times New Roman" w:eastAsia="標楷體" w:hAnsi="Times New Roman"/>
          <w:sz w:val="28"/>
          <w:szCs w:val="28"/>
        </w:rPr>
      </w:pPr>
      <w:r w:rsidRPr="005E758A">
        <w:rPr>
          <w:rFonts w:ascii="Times New Roman" w:eastAsia="標楷體" w:hAnsi="Times New Roman"/>
          <w:sz w:val="28"/>
          <w:szCs w:val="28"/>
        </w:rPr>
        <w:t>本條要求國家就遭忽略、剝削、虐待、酷刑、殘忍、不人道或有辱人格之待遇或處罰及遭遇武裝衝突的兒童，受採取適當措施，協助其身心回復並重返社會，此種措施，係在對兒童友善的環境中進行。</w:t>
      </w:r>
    </w:p>
    <w:p w14:paraId="77572D06" w14:textId="77777777" w:rsidR="0095798C" w:rsidRPr="005E758A" w:rsidRDefault="0095798C" w:rsidP="0095798C">
      <w:pPr>
        <w:pStyle w:val="2"/>
      </w:pPr>
      <w:r w:rsidRPr="005E758A">
        <w:t>條文要義</w:t>
      </w:r>
    </w:p>
    <w:p w14:paraId="66673364" w14:textId="77777777" w:rsidR="0095798C" w:rsidRPr="005E758A" w:rsidRDefault="0095798C" w:rsidP="0095798C">
      <w:pPr>
        <w:pStyle w:val="a0"/>
        <w:snapToGrid w:val="0"/>
        <w:spacing w:before="100" w:beforeAutospacing="1" w:after="100" w:afterAutospacing="1"/>
        <w:ind w:leftChars="0" w:left="0" w:firstLineChars="200" w:firstLine="560"/>
        <w:jc w:val="both"/>
        <w:rPr>
          <w:rFonts w:ascii="Times New Roman" w:eastAsia="標楷體" w:hAnsi="Times New Roman"/>
          <w:sz w:val="28"/>
          <w:szCs w:val="28"/>
        </w:rPr>
      </w:pPr>
      <w:r w:rsidRPr="005E758A">
        <w:rPr>
          <w:rFonts w:ascii="Times New Roman" w:eastAsia="標楷體" w:hAnsi="Times New Roman"/>
          <w:sz w:val="28"/>
          <w:szCs w:val="28"/>
        </w:rPr>
        <w:t>參考聯合國兒童基金會之說明，以下依據不同類型之兒童被害人，進一步說明對其提供「身心回復」與「重返社會」協助時應注意之事項</w:t>
      </w:r>
      <w:bookmarkStart w:id="107" w:name="_Ref429373526"/>
      <w:r w:rsidRPr="005E758A">
        <w:rPr>
          <w:rStyle w:val="af3"/>
          <w:rFonts w:ascii="Times New Roman" w:eastAsia="標楷體" w:hAnsi="Times New Roman"/>
        </w:rPr>
        <w:endnoteReference w:id="532"/>
      </w:r>
      <w:bookmarkEnd w:id="107"/>
      <w:r w:rsidRPr="005E758A">
        <w:rPr>
          <w:rFonts w:ascii="Times New Roman" w:eastAsia="標楷體" w:hAnsi="Times New Roman"/>
          <w:sz w:val="28"/>
          <w:szCs w:val="28"/>
        </w:rPr>
        <w:t>：</w:t>
      </w:r>
    </w:p>
    <w:p w14:paraId="202B790B" w14:textId="77777777" w:rsidR="0095798C" w:rsidRPr="005E758A" w:rsidRDefault="0095798C" w:rsidP="007119F4">
      <w:pPr>
        <w:pStyle w:val="3"/>
        <w:numPr>
          <w:ilvl w:val="0"/>
          <w:numId w:val="69"/>
        </w:numPr>
      </w:pPr>
      <w:r w:rsidRPr="005E758A">
        <w:t>遭受忽略、剝削或虐待兒童之兒童被害人</w:t>
      </w:r>
    </w:p>
    <w:p w14:paraId="3ECF5C2F" w14:textId="77777777" w:rsidR="0095798C" w:rsidRPr="005E758A" w:rsidRDefault="0095798C" w:rsidP="0095798C">
      <w:pPr>
        <w:pStyle w:val="a0"/>
        <w:snapToGrid w:val="0"/>
        <w:spacing w:before="100" w:beforeAutospacing="1" w:after="100" w:afterAutospacing="1"/>
        <w:ind w:leftChars="0" w:left="0" w:firstLineChars="200" w:firstLine="560"/>
        <w:jc w:val="both"/>
        <w:rPr>
          <w:rFonts w:ascii="Times New Roman" w:eastAsia="標楷體" w:hAnsi="Times New Roman"/>
          <w:sz w:val="28"/>
          <w:szCs w:val="28"/>
        </w:rPr>
      </w:pPr>
      <w:r w:rsidRPr="005E758A">
        <w:rPr>
          <w:rFonts w:ascii="Times New Roman" w:eastAsia="標楷體" w:hAnsi="Times New Roman"/>
          <w:sz w:val="28"/>
          <w:szCs w:val="28"/>
        </w:rPr>
        <w:t>關於販運兒童、兒童從娼及兒童色情任擇議定書</w:t>
      </w:r>
      <w:r w:rsidRPr="005E758A">
        <w:rPr>
          <w:rFonts w:ascii="Times New Roman" w:eastAsia="標楷體" w:hAnsi="Times New Roman"/>
          <w:sz w:val="28"/>
          <w:szCs w:val="28"/>
        </w:rPr>
        <w:t>(Optional Protocol on the Sale of Children, Child Prostitution and Child Pornography)</w:t>
      </w:r>
      <w:r w:rsidRPr="005E758A">
        <w:rPr>
          <w:rFonts w:ascii="Times New Roman" w:eastAsia="標楷體" w:hAnsi="Times New Roman"/>
          <w:sz w:val="28"/>
          <w:szCs w:val="28"/>
        </w:rPr>
        <w:t>第</w:t>
      </w:r>
      <w:r w:rsidRPr="005E758A">
        <w:rPr>
          <w:rFonts w:ascii="Times New Roman" w:eastAsia="標楷體" w:hAnsi="Times New Roman"/>
          <w:sz w:val="28"/>
          <w:szCs w:val="28"/>
        </w:rPr>
        <w:t>8</w:t>
      </w:r>
      <w:r w:rsidRPr="005E758A">
        <w:rPr>
          <w:rFonts w:ascii="Times New Roman" w:eastAsia="標楷體" w:hAnsi="Times New Roman"/>
          <w:sz w:val="28"/>
          <w:szCs w:val="28"/>
        </w:rPr>
        <w:t>條要求國家應「採取適當措施，在刑事司法程序之各階段保護受本議定書所禁止的行為所迫害之兒童的權益」。受害兒童應被告知其權利、角色以及程序之範圍、時間與進度，並於司法程序中獲得適當之支持服務及隱私保護。</w:t>
      </w:r>
    </w:p>
    <w:p w14:paraId="341051F7" w14:textId="77777777" w:rsidR="0095798C" w:rsidRPr="005E758A" w:rsidRDefault="0095798C" w:rsidP="0095798C">
      <w:pPr>
        <w:pStyle w:val="a0"/>
        <w:snapToGrid w:val="0"/>
        <w:spacing w:before="100" w:beforeAutospacing="1" w:after="100" w:afterAutospacing="1"/>
        <w:ind w:leftChars="0" w:left="0" w:firstLineChars="200" w:firstLine="560"/>
        <w:jc w:val="both"/>
        <w:rPr>
          <w:rFonts w:ascii="Times New Roman" w:eastAsia="標楷體" w:hAnsi="Times New Roman"/>
          <w:sz w:val="28"/>
          <w:szCs w:val="28"/>
        </w:rPr>
      </w:pPr>
      <w:r w:rsidRPr="005E758A">
        <w:rPr>
          <w:rFonts w:ascii="Times New Roman" w:eastAsia="標楷體" w:hAnsi="Times New Roman"/>
          <w:sz w:val="28"/>
          <w:szCs w:val="28"/>
        </w:rPr>
        <w:t>聯合國</w:t>
      </w:r>
      <w:r w:rsidRPr="005E758A">
        <w:rPr>
          <w:rFonts w:ascii="Times New Roman" w:eastAsia="標楷體" w:hAnsi="Times New Roman"/>
          <w:sz w:val="28"/>
          <w:szCs w:val="28"/>
        </w:rPr>
        <w:t>2000</w:t>
      </w:r>
      <w:r w:rsidRPr="005E758A">
        <w:rPr>
          <w:rFonts w:ascii="Times New Roman" w:eastAsia="標楷體" w:hAnsi="Times New Roman"/>
          <w:sz w:val="28"/>
          <w:szCs w:val="28"/>
        </w:rPr>
        <w:t>年，預防、壓制及懲治販運人口（特別是婦女及兒童）議定書</w:t>
      </w:r>
      <w:r w:rsidRPr="005E758A">
        <w:rPr>
          <w:rFonts w:ascii="Times New Roman" w:eastAsia="標楷體" w:hAnsi="Times New Roman"/>
          <w:sz w:val="28"/>
          <w:szCs w:val="28"/>
        </w:rPr>
        <w:t>(The Protocol to Prevent, Suppress and Punish Trafficking in Persons,</w:t>
      </w:r>
      <w:r w:rsidR="002657AF" w:rsidRPr="005E758A">
        <w:rPr>
          <w:rFonts w:ascii="Times New Roman" w:eastAsia="標楷體" w:hAnsi="Times New Roman"/>
          <w:sz w:val="28"/>
          <w:szCs w:val="28"/>
        </w:rPr>
        <w:t xml:space="preserve"> </w:t>
      </w:r>
      <w:r w:rsidRPr="005E758A">
        <w:rPr>
          <w:rFonts w:ascii="Times New Roman" w:eastAsia="標楷體" w:hAnsi="Times New Roman"/>
          <w:sz w:val="28"/>
          <w:szCs w:val="28"/>
        </w:rPr>
        <w:t>especially Women and Children)</w:t>
      </w:r>
      <w:r w:rsidRPr="005E758A">
        <w:rPr>
          <w:rFonts w:ascii="Times New Roman" w:eastAsia="標楷體" w:hAnsi="Times New Roman"/>
          <w:sz w:val="28"/>
          <w:szCs w:val="28"/>
        </w:rPr>
        <w:t>要求政府協助人口販運被害人，使其意見能確實於案件之審理過程中獲得反映（第</w:t>
      </w:r>
      <w:r w:rsidRPr="005E758A">
        <w:rPr>
          <w:rFonts w:ascii="Times New Roman" w:eastAsia="標楷體" w:hAnsi="Times New Roman"/>
          <w:sz w:val="28"/>
          <w:szCs w:val="28"/>
        </w:rPr>
        <w:t>6</w:t>
      </w:r>
      <w:r w:rsidRPr="005E758A">
        <w:rPr>
          <w:rFonts w:ascii="Times New Roman" w:eastAsia="標楷體" w:hAnsi="Times New Roman"/>
          <w:sz w:val="28"/>
          <w:szCs w:val="28"/>
        </w:rPr>
        <w:t>條</w:t>
      </w:r>
      <w:r w:rsidRPr="005E758A">
        <w:rPr>
          <w:rFonts w:ascii="Times New Roman" w:eastAsia="標楷體" w:hAnsi="Times New Roman"/>
          <w:sz w:val="28"/>
          <w:szCs w:val="28"/>
        </w:rPr>
        <w:t>2(b)</w:t>
      </w:r>
      <w:r w:rsidRPr="005E758A">
        <w:rPr>
          <w:rFonts w:ascii="Times New Roman" w:eastAsia="標楷體" w:hAnsi="Times New Roman"/>
          <w:sz w:val="28"/>
          <w:szCs w:val="28"/>
        </w:rPr>
        <w:t>款）。</w:t>
      </w:r>
    </w:p>
    <w:p w14:paraId="712530DE" w14:textId="77777777" w:rsidR="0095798C" w:rsidRPr="005E758A" w:rsidRDefault="0095798C" w:rsidP="0095798C">
      <w:pPr>
        <w:pStyle w:val="a0"/>
        <w:snapToGrid w:val="0"/>
        <w:spacing w:before="100" w:beforeAutospacing="1" w:after="100" w:afterAutospacing="1"/>
        <w:ind w:leftChars="0" w:left="0" w:firstLineChars="200" w:firstLine="560"/>
        <w:jc w:val="both"/>
        <w:rPr>
          <w:rFonts w:ascii="Times New Roman" w:eastAsia="標楷體" w:hAnsi="Times New Roman"/>
          <w:sz w:val="28"/>
          <w:szCs w:val="28"/>
        </w:rPr>
      </w:pPr>
      <w:r w:rsidRPr="005E758A">
        <w:rPr>
          <w:rFonts w:ascii="Times New Roman" w:eastAsia="標楷體" w:hAnsi="Times New Roman"/>
          <w:sz w:val="28"/>
          <w:szCs w:val="28"/>
        </w:rPr>
        <w:t>另反兒童商業性剝削世界大會宣言</w:t>
      </w:r>
      <w:r w:rsidRPr="005E758A">
        <w:rPr>
          <w:rFonts w:ascii="Times New Roman" w:eastAsia="標楷體" w:hAnsi="Times New Roman"/>
          <w:sz w:val="28"/>
          <w:szCs w:val="28"/>
        </w:rPr>
        <w:t>(World Congress against Commercial Sexual Exploitation of Children)</w:t>
      </w:r>
      <w:r w:rsidRPr="005E758A">
        <w:rPr>
          <w:rFonts w:ascii="Times New Roman" w:eastAsia="標楷體" w:hAnsi="Times New Roman"/>
          <w:sz w:val="28"/>
          <w:szCs w:val="28"/>
        </w:rPr>
        <w:t>則強調被害兒童之「身心回復與重新融入」</w:t>
      </w:r>
      <w:r w:rsidRPr="005E758A">
        <w:rPr>
          <w:rFonts w:ascii="Times New Roman" w:eastAsia="標楷體" w:hAnsi="Times New Roman"/>
          <w:sz w:val="28"/>
          <w:szCs w:val="28"/>
        </w:rPr>
        <w:t>(recovery and reintegration)</w:t>
      </w:r>
      <w:r w:rsidRPr="005E758A">
        <w:rPr>
          <w:rFonts w:ascii="Times New Roman" w:eastAsia="標楷體" w:hAnsi="Times New Roman"/>
          <w:sz w:val="28"/>
          <w:szCs w:val="28"/>
        </w:rPr>
        <w:t>，並以「非懲罰性」</w:t>
      </w:r>
      <w:r w:rsidRPr="005E758A">
        <w:rPr>
          <w:rFonts w:ascii="Times New Roman" w:eastAsia="標楷體" w:hAnsi="Times New Roman"/>
          <w:sz w:val="28"/>
          <w:szCs w:val="28"/>
        </w:rPr>
        <w:t>(non-punitive)</w:t>
      </w:r>
      <w:r w:rsidRPr="005E758A">
        <w:rPr>
          <w:rFonts w:ascii="Times New Roman" w:eastAsia="標楷體" w:hAnsi="Times New Roman"/>
          <w:sz w:val="28"/>
          <w:szCs w:val="28"/>
        </w:rPr>
        <w:t>之處遇對待該兒童，包括提供被害兒童及其家人醫療、精神</w:t>
      </w:r>
      <w:r w:rsidRPr="005E758A">
        <w:rPr>
          <w:rFonts w:ascii="Times New Roman" w:eastAsia="標楷體" w:hAnsi="Times New Roman"/>
          <w:sz w:val="28"/>
          <w:szCs w:val="28"/>
        </w:rPr>
        <w:lastRenderedPageBreak/>
        <w:t>與社會協助、避免被害兒童遭受汙名化、提供家庭與兒童培養謀生能力之協助以避免重蹈覆轍、相關專業人員（如醫療人員、社工與非政府組織等）應接受特殊之教育訓練</w:t>
      </w:r>
      <w:bookmarkStart w:id="108" w:name="_Ref428803659"/>
      <w:r w:rsidRPr="005E758A">
        <w:rPr>
          <w:rFonts w:ascii="Times New Roman" w:eastAsia="標楷體" w:hAnsi="Times New Roman"/>
          <w:sz w:val="28"/>
          <w:szCs w:val="28"/>
        </w:rPr>
        <w:t>等</w:t>
      </w:r>
      <w:r w:rsidRPr="005E758A">
        <w:rPr>
          <w:rStyle w:val="af3"/>
          <w:rFonts w:ascii="Times New Roman" w:eastAsia="標楷體" w:hAnsi="Times New Roman"/>
        </w:rPr>
        <w:endnoteReference w:id="533"/>
      </w:r>
      <w:bookmarkEnd w:id="108"/>
      <w:r w:rsidRPr="005E758A">
        <w:rPr>
          <w:rFonts w:ascii="Times New Roman" w:eastAsia="標楷體" w:hAnsi="Times New Roman"/>
          <w:sz w:val="28"/>
          <w:szCs w:val="28"/>
        </w:rPr>
        <w:t>。</w:t>
      </w:r>
    </w:p>
    <w:p w14:paraId="3AD0A112" w14:textId="77777777" w:rsidR="0095798C" w:rsidRPr="005E758A" w:rsidRDefault="0095798C" w:rsidP="007119F4">
      <w:pPr>
        <w:pStyle w:val="3"/>
        <w:numPr>
          <w:ilvl w:val="0"/>
          <w:numId w:val="69"/>
        </w:numPr>
      </w:pPr>
      <w:r w:rsidRPr="005E758A">
        <w:t>涉入</w:t>
      </w:r>
      <w:r w:rsidR="00B1345D" w:rsidRPr="005E758A">
        <w:t>刑事</w:t>
      </w:r>
      <w:r w:rsidRPr="005E758A">
        <w:t>司法之兒童</w:t>
      </w:r>
    </w:p>
    <w:p w14:paraId="70C00315" w14:textId="77777777" w:rsidR="0095798C" w:rsidRPr="005E758A" w:rsidRDefault="0095798C" w:rsidP="0095798C">
      <w:pPr>
        <w:pStyle w:val="a0"/>
        <w:snapToGrid w:val="0"/>
        <w:spacing w:before="100" w:beforeAutospacing="1" w:after="100" w:afterAutospacing="1"/>
        <w:ind w:leftChars="0" w:left="0" w:firstLineChars="200" w:firstLine="560"/>
        <w:jc w:val="both"/>
        <w:rPr>
          <w:rFonts w:ascii="Times New Roman" w:eastAsia="標楷體" w:hAnsi="Times New Roman"/>
          <w:sz w:val="28"/>
          <w:szCs w:val="28"/>
        </w:rPr>
      </w:pPr>
      <w:r w:rsidRPr="005E758A">
        <w:rPr>
          <w:rFonts w:ascii="Times New Roman" w:eastAsia="標楷體" w:hAnsi="Times New Roman"/>
          <w:sz w:val="28"/>
          <w:szCs w:val="28"/>
        </w:rPr>
        <w:t>依據</w:t>
      </w:r>
      <w:r w:rsidRPr="005E758A">
        <w:rPr>
          <w:rFonts w:ascii="Times New Roman" w:eastAsia="標楷體" w:hAnsi="Times New Roman"/>
          <w:sz w:val="28"/>
          <w:szCs w:val="28"/>
        </w:rPr>
        <w:t>1990</w:t>
      </w:r>
      <w:r w:rsidRPr="005E758A">
        <w:rPr>
          <w:rFonts w:ascii="Times New Roman" w:eastAsia="標楷體" w:hAnsi="Times New Roman"/>
          <w:sz w:val="28"/>
          <w:szCs w:val="28"/>
        </w:rPr>
        <w:t>年聯合國預防少年犯罪準則</w:t>
      </w:r>
      <w:r w:rsidRPr="005E758A">
        <w:rPr>
          <w:rFonts w:ascii="Times New Roman" w:eastAsia="標楷體" w:hAnsi="Times New Roman"/>
          <w:sz w:val="28"/>
          <w:szCs w:val="28"/>
        </w:rPr>
        <w:t>(The Riyadh Guidelines)</w:t>
      </w:r>
      <w:r w:rsidRPr="005E758A">
        <w:rPr>
          <w:rFonts w:ascii="Times New Roman" w:eastAsia="標楷體" w:hAnsi="Times New Roman"/>
          <w:sz w:val="28"/>
          <w:szCs w:val="28"/>
        </w:rPr>
        <w:t>，各國應制定完整之兒童被害人計畫，其中應包括被害人陪同與協助方案，並由兒童參與規畫。</w:t>
      </w:r>
    </w:p>
    <w:p w14:paraId="11432AC7" w14:textId="77777777" w:rsidR="0095798C" w:rsidRPr="005E758A" w:rsidRDefault="0095798C" w:rsidP="0095798C">
      <w:pPr>
        <w:pStyle w:val="a0"/>
        <w:snapToGrid w:val="0"/>
        <w:spacing w:before="100" w:beforeAutospacing="1" w:after="100" w:afterAutospacing="1"/>
        <w:ind w:leftChars="0" w:left="0" w:firstLineChars="200" w:firstLine="560"/>
        <w:jc w:val="both"/>
        <w:rPr>
          <w:rFonts w:ascii="Times New Roman" w:eastAsia="標楷體" w:hAnsi="Times New Roman"/>
          <w:sz w:val="28"/>
          <w:szCs w:val="28"/>
        </w:rPr>
      </w:pPr>
      <w:r w:rsidRPr="005E758A">
        <w:rPr>
          <w:rFonts w:ascii="Times New Roman" w:eastAsia="標楷體" w:hAnsi="Times New Roman"/>
          <w:sz w:val="28"/>
          <w:szCs w:val="28"/>
        </w:rPr>
        <w:t>另外，</w:t>
      </w:r>
      <w:r w:rsidRPr="005E758A">
        <w:rPr>
          <w:rFonts w:ascii="Times New Roman" w:eastAsia="標楷體" w:hAnsi="Times New Roman"/>
          <w:sz w:val="28"/>
          <w:szCs w:val="28"/>
        </w:rPr>
        <w:t>1990</w:t>
      </w:r>
      <w:r w:rsidRPr="005E758A">
        <w:rPr>
          <w:rFonts w:ascii="Times New Roman" w:eastAsia="標楷體" w:hAnsi="Times New Roman"/>
          <w:sz w:val="28"/>
          <w:szCs w:val="28"/>
        </w:rPr>
        <w:t>年聯合國保護被剝奪自由少年規則</w:t>
      </w:r>
      <w:r w:rsidRPr="005E758A">
        <w:rPr>
          <w:rFonts w:ascii="Times New Roman" w:eastAsia="標楷體" w:hAnsi="Times New Roman"/>
          <w:sz w:val="28"/>
          <w:szCs w:val="28"/>
        </w:rPr>
        <w:t>(United Nations Rules for the Protection of Juveniles Deprived of their Liberty)</w:t>
      </w:r>
      <w:r w:rsidRPr="005E758A">
        <w:rPr>
          <w:rFonts w:ascii="Times New Roman" w:eastAsia="標楷體" w:hAnsi="Times New Roman"/>
          <w:sz w:val="28"/>
          <w:szCs w:val="28"/>
        </w:rPr>
        <w:t>針對「重返社區」</w:t>
      </w:r>
      <w:r w:rsidRPr="005E758A">
        <w:rPr>
          <w:rFonts w:ascii="Times New Roman" w:eastAsia="標楷體" w:hAnsi="Times New Roman"/>
          <w:sz w:val="28"/>
          <w:szCs w:val="28"/>
        </w:rPr>
        <w:t>(return to the community)</w:t>
      </w:r>
      <w:r w:rsidRPr="005E758A">
        <w:rPr>
          <w:rFonts w:ascii="Times New Roman" w:eastAsia="標楷體" w:hAnsi="Times New Roman"/>
          <w:sz w:val="28"/>
          <w:szCs w:val="28"/>
        </w:rPr>
        <w:t>有特別規範，其中強調應特別協助釋放後之少年重返社區、家庭生活、學校或職場。該等提供協助之人員應於少年被拘禁期間即開始與少年接觸以瞭解及規劃後續之服務</w:t>
      </w:r>
      <w:r w:rsidRPr="005E758A">
        <w:rPr>
          <w:rStyle w:val="af3"/>
          <w:rFonts w:ascii="Times New Roman" w:eastAsia="標楷體" w:hAnsi="Times New Roman"/>
        </w:rPr>
        <w:endnoteReference w:id="534"/>
      </w:r>
      <w:r w:rsidRPr="005E758A">
        <w:rPr>
          <w:rFonts w:ascii="Times New Roman" w:eastAsia="標楷體" w:hAnsi="Times New Roman"/>
          <w:sz w:val="28"/>
          <w:szCs w:val="28"/>
        </w:rPr>
        <w:t>。</w:t>
      </w:r>
    </w:p>
    <w:p w14:paraId="58CCC85E" w14:textId="77777777" w:rsidR="0095798C" w:rsidRPr="005E758A" w:rsidRDefault="0095798C" w:rsidP="007119F4">
      <w:pPr>
        <w:pStyle w:val="3"/>
        <w:numPr>
          <w:ilvl w:val="0"/>
          <w:numId w:val="69"/>
        </w:numPr>
        <w:rPr>
          <w:szCs w:val="28"/>
        </w:rPr>
      </w:pPr>
      <w:r w:rsidRPr="005E758A">
        <w:rPr>
          <w:szCs w:val="28"/>
        </w:rPr>
        <w:t>「酷刑或任何其他殘忍、不人道或有辱人格之待遇或處罰」</w:t>
      </w:r>
    </w:p>
    <w:p w14:paraId="432FA134" w14:textId="77777777" w:rsidR="0095798C" w:rsidRPr="005E758A" w:rsidRDefault="0095798C" w:rsidP="0095798C">
      <w:pPr>
        <w:pStyle w:val="a0"/>
        <w:snapToGrid w:val="0"/>
        <w:spacing w:before="100" w:beforeAutospacing="1" w:after="100" w:afterAutospacing="1"/>
        <w:ind w:leftChars="0" w:left="0" w:firstLineChars="200" w:firstLine="480"/>
        <w:jc w:val="both"/>
        <w:rPr>
          <w:rFonts w:ascii="Times New Roman" w:eastAsia="標楷體" w:hAnsi="Times New Roman"/>
          <w:sz w:val="28"/>
          <w:szCs w:val="28"/>
        </w:rPr>
      </w:pPr>
      <w:r w:rsidRPr="005E758A">
        <w:rPr>
          <w:rFonts w:ascii="Times New Roman" w:eastAsia="標楷體" w:hAnsi="Times New Roman"/>
          <w:szCs w:val="28"/>
        </w:rPr>
        <w:t>此</w:t>
      </w:r>
      <w:r w:rsidRPr="005E758A">
        <w:rPr>
          <w:rFonts w:ascii="Times New Roman" w:eastAsia="標楷體" w:hAnsi="Times New Roman"/>
          <w:sz w:val="28"/>
          <w:szCs w:val="28"/>
        </w:rPr>
        <w:t>語應結合禁止酷刑公約</w:t>
      </w:r>
      <w:r w:rsidRPr="005E758A">
        <w:rPr>
          <w:rFonts w:ascii="Times New Roman" w:eastAsia="標楷體" w:hAnsi="Times New Roman"/>
          <w:sz w:val="28"/>
          <w:szCs w:val="28"/>
        </w:rPr>
        <w:t>(The United Nations Convention against Torture and Other Cruel, Inhuman or Degrading Treatment or Punishment)</w:t>
      </w:r>
      <w:r w:rsidRPr="005E758A">
        <w:rPr>
          <w:rFonts w:ascii="Times New Roman" w:eastAsia="標楷體" w:hAnsi="Times New Roman"/>
          <w:sz w:val="28"/>
          <w:szCs w:val="28"/>
        </w:rPr>
        <w:t>觀察。兒童被害人在禁止酷刑公約第</w:t>
      </w:r>
      <w:r w:rsidRPr="005E758A">
        <w:rPr>
          <w:rFonts w:ascii="Times New Roman" w:eastAsia="標楷體" w:hAnsi="Times New Roman"/>
          <w:sz w:val="28"/>
          <w:szCs w:val="28"/>
        </w:rPr>
        <w:t>14</w:t>
      </w:r>
      <w:r w:rsidRPr="005E758A">
        <w:rPr>
          <w:rFonts w:ascii="Times New Roman" w:eastAsia="標楷體" w:hAnsi="Times New Roman"/>
          <w:sz w:val="28"/>
          <w:szCs w:val="28"/>
        </w:rPr>
        <w:t>條規定締約國應確保其法律保障被害人可確實主張獲得公平賠償的權利；於被害人死亡的情況下，其受扶養者應有權獲得該等賠償</w:t>
      </w:r>
      <w:r w:rsidRPr="005E758A">
        <w:rPr>
          <w:rStyle w:val="af3"/>
          <w:rFonts w:ascii="Times New Roman" w:eastAsia="標楷體" w:hAnsi="Times New Roman"/>
        </w:rPr>
        <w:endnoteReference w:id="535"/>
      </w:r>
      <w:r w:rsidRPr="005E758A">
        <w:rPr>
          <w:rFonts w:ascii="Times New Roman" w:eastAsia="標楷體" w:hAnsi="Times New Roman"/>
          <w:sz w:val="28"/>
          <w:szCs w:val="28"/>
        </w:rPr>
        <w:t>。</w:t>
      </w:r>
    </w:p>
    <w:p w14:paraId="154826AE" w14:textId="77777777" w:rsidR="0095798C" w:rsidRPr="005E758A" w:rsidRDefault="0095798C" w:rsidP="0095798C">
      <w:pPr>
        <w:pStyle w:val="2"/>
      </w:pPr>
      <w:r w:rsidRPr="005E758A">
        <w:t>案例介紹</w:t>
      </w:r>
    </w:p>
    <w:p w14:paraId="0C008C13" w14:textId="77777777" w:rsidR="0095798C" w:rsidRPr="005E758A" w:rsidRDefault="0095798C" w:rsidP="007119F4">
      <w:pPr>
        <w:pStyle w:val="3"/>
        <w:numPr>
          <w:ilvl w:val="0"/>
          <w:numId w:val="70"/>
        </w:numPr>
      </w:pPr>
      <w:r w:rsidRPr="005E758A">
        <w:t>2002</w:t>
      </w:r>
      <w:r w:rsidRPr="005E758A">
        <w:t>年菲律賓最高法院猥褻女童案</w:t>
      </w:r>
      <w:r w:rsidR="00FC16DD" w:rsidRPr="005E758A">
        <w:t>：</w:t>
      </w:r>
      <w:r w:rsidRPr="005E758A">
        <w:t xml:space="preserve">People of the Philippines v. Jose </w:t>
      </w:r>
      <w:proofErr w:type="spellStart"/>
      <w:r w:rsidRPr="005E758A">
        <w:t>Abadies</w:t>
      </w:r>
      <w:proofErr w:type="spellEnd"/>
      <w:r w:rsidRPr="005E758A">
        <w:t xml:space="preserve"> y </w:t>
      </w:r>
      <w:proofErr w:type="spellStart"/>
      <w:r w:rsidRPr="005E758A">
        <w:t>Claveria</w:t>
      </w:r>
      <w:proofErr w:type="spellEnd"/>
      <w:r w:rsidRPr="005E758A">
        <w:rPr>
          <w:rStyle w:val="af3"/>
        </w:rPr>
        <w:endnoteReference w:id="536"/>
      </w:r>
    </w:p>
    <w:p w14:paraId="0C0A647C" w14:textId="77777777" w:rsidR="0095798C" w:rsidRPr="005E758A" w:rsidRDefault="0095798C" w:rsidP="0095798C">
      <w:pPr>
        <w:pStyle w:val="a0"/>
        <w:snapToGrid w:val="0"/>
        <w:spacing w:before="100" w:beforeAutospacing="1" w:after="100" w:afterAutospacing="1"/>
        <w:ind w:leftChars="0" w:left="0" w:firstLineChars="200" w:firstLine="560"/>
        <w:jc w:val="both"/>
        <w:rPr>
          <w:rFonts w:ascii="Times New Roman" w:eastAsia="標楷體" w:hAnsi="Times New Roman"/>
          <w:sz w:val="28"/>
          <w:szCs w:val="28"/>
        </w:rPr>
      </w:pPr>
      <w:r w:rsidRPr="005E758A">
        <w:rPr>
          <w:rFonts w:ascii="Times New Roman" w:eastAsia="標楷體" w:hAnsi="Times New Roman"/>
          <w:sz w:val="28"/>
          <w:szCs w:val="28"/>
        </w:rPr>
        <w:t>本上訴案乃因下級法院就</w:t>
      </w:r>
      <w:r w:rsidRPr="005E758A">
        <w:rPr>
          <w:rFonts w:ascii="Times New Roman" w:eastAsia="標楷體" w:hAnsi="Times New Roman"/>
          <w:sz w:val="28"/>
          <w:szCs w:val="28"/>
        </w:rPr>
        <w:t xml:space="preserve">Jose </w:t>
      </w:r>
      <w:proofErr w:type="spellStart"/>
      <w:r w:rsidRPr="005E758A">
        <w:rPr>
          <w:rFonts w:ascii="Times New Roman" w:eastAsia="標楷體" w:hAnsi="Times New Roman"/>
          <w:sz w:val="28"/>
          <w:szCs w:val="28"/>
        </w:rPr>
        <w:t>Abadies</w:t>
      </w:r>
      <w:proofErr w:type="spellEnd"/>
      <w:r w:rsidRPr="005E758A">
        <w:rPr>
          <w:rFonts w:ascii="Times New Roman" w:eastAsia="標楷體" w:hAnsi="Times New Roman"/>
          <w:sz w:val="28"/>
          <w:szCs w:val="28"/>
        </w:rPr>
        <w:t xml:space="preserve"> y </w:t>
      </w:r>
      <w:proofErr w:type="spellStart"/>
      <w:r w:rsidRPr="005E758A">
        <w:rPr>
          <w:rFonts w:ascii="Times New Roman" w:eastAsia="標楷體" w:hAnsi="Times New Roman"/>
          <w:sz w:val="28"/>
          <w:szCs w:val="28"/>
        </w:rPr>
        <w:t>Claveria</w:t>
      </w:r>
      <w:proofErr w:type="spellEnd"/>
      <w:r w:rsidRPr="005E758A">
        <w:rPr>
          <w:rFonts w:ascii="Times New Roman" w:eastAsia="標楷體" w:hAnsi="Times New Roman"/>
          <w:sz w:val="28"/>
          <w:szCs w:val="28"/>
        </w:rPr>
        <w:t>對其女兒猥褻及性虐待一案有罪判決而提出上訴。被告趁其妻外出時對女兒猥褻及性虐待。於最近一次行為時，被告將女兒帶進空屋猥褻並威脅殺害及予以性侵。被害女童趁機逃跑並於回家後向其母親揭發此事。警方隨即展開調查並逮捕被告。地方法院判決被告性侵害成立。於該案審理時，被告曾寫信給被害女童請求原諒，該信並與該女童出庭作證時作為證物之一。</w:t>
      </w:r>
    </w:p>
    <w:p w14:paraId="05BDA9A4" w14:textId="77777777" w:rsidR="0095798C" w:rsidRPr="005E758A" w:rsidRDefault="0095798C" w:rsidP="0095798C">
      <w:pPr>
        <w:pStyle w:val="a0"/>
        <w:snapToGrid w:val="0"/>
        <w:spacing w:before="100" w:beforeAutospacing="1" w:after="100" w:afterAutospacing="1"/>
        <w:ind w:leftChars="0" w:left="0" w:firstLineChars="200" w:firstLine="560"/>
        <w:jc w:val="both"/>
        <w:rPr>
          <w:rFonts w:ascii="Times New Roman" w:eastAsia="標楷體" w:hAnsi="Times New Roman"/>
          <w:sz w:val="28"/>
          <w:szCs w:val="28"/>
        </w:rPr>
      </w:pPr>
      <w:r w:rsidRPr="005E758A">
        <w:rPr>
          <w:rFonts w:ascii="Times New Roman" w:eastAsia="標楷體" w:hAnsi="Times New Roman"/>
          <w:sz w:val="28"/>
          <w:szCs w:val="28"/>
        </w:rPr>
        <w:t>本上訴案過程中，上訴人爭辯被害女童未提及之虐待乃構成默認之宥恕，且法院並無任何事實基礎認為該對女童之道歉信乃承認犯罪之證據。</w:t>
      </w:r>
    </w:p>
    <w:p w14:paraId="58219BB8" w14:textId="77777777" w:rsidR="0095798C" w:rsidRPr="005E758A" w:rsidRDefault="0095798C" w:rsidP="0095798C">
      <w:pPr>
        <w:pStyle w:val="a0"/>
        <w:snapToGrid w:val="0"/>
        <w:spacing w:before="100" w:beforeAutospacing="1" w:after="100" w:afterAutospacing="1"/>
        <w:ind w:leftChars="0" w:left="0" w:firstLineChars="200" w:firstLine="560"/>
        <w:jc w:val="both"/>
        <w:rPr>
          <w:rFonts w:ascii="Times New Roman" w:eastAsia="標楷體" w:hAnsi="Times New Roman"/>
          <w:sz w:val="28"/>
          <w:szCs w:val="28"/>
        </w:rPr>
      </w:pPr>
      <w:r w:rsidRPr="005E758A">
        <w:rPr>
          <w:rFonts w:ascii="Times New Roman" w:eastAsia="標楷體" w:hAnsi="Times New Roman"/>
          <w:sz w:val="28"/>
          <w:szCs w:val="28"/>
        </w:rPr>
        <w:lastRenderedPageBreak/>
        <w:t>菲律賓最高法院維持有罪判決並駁回上訴人之上訴。判決中詳細解釋了菲律賓法院於獲取證據的程序中符合兒童權利公約之規定。此外，法院亦額外要求上訴人賠償其所造成之精神損害賠償。</w:t>
      </w:r>
    </w:p>
    <w:p w14:paraId="1C5FC2F4" w14:textId="77777777" w:rsidR="0095798C" w:rsidRPr="005E758A" w:rsidRDefault="0095798C" w:rsidP="0095798C">
      <w:pPr>
        <w:pStyle w:val="a0"/>
        <w:snapToGrid w:val="0"/>
        <w:spacing w:before="100" w:beforeAutospacing="1" w:after="100" w:afterAutospacing="1"/>
        <w:ind w:leftChars="0" w:left="0" w:firstLineChars="200" w:firstLine="560"/>
        <w:jc w:val="both"/>
        <w:rPr>
          <w:rFonts w:ascii="Times New Roman" w:eastAsia="標楷體" w:hAnsi="Times New Roman"/>
          <w:sz w:val="28"/>
          <w:szCs w:val="28"/>
        </w:rPr>
      </w:pPr>
      <w:r w:rsidRPr="005E758A">
        <w:rPr>
          <w:rFonts w:ascii="Times New Roman" w:eastAsia="標楷體" w:hAnsi="Times New Roman"/>
          <w:sz w:val="28"/>
          <w:szCs w:val="28"/>
        </w:rPr>
        <w:t>最高法院首先肯認該女童於審判期間之言詞證據之價值。法院調查該女童所言認為其證詞可信且未自相矛盾。另一方面，法院認為上訴人對於控訴僅單純否認，太過薄弱且並無任何支持其無罪之證據。</w:t>
      </w:r>
    </w:p>
    <w:p w14:paraId="20C6CDB4" w14:textId="77777777" w:rsidR="0095798C" w:rsidRPr="005E758A" w:rsidRDefault="0095798C" w:rsidP="0095798C">
      <w:pPr>
        <w:pStyle w:val="a0"/>
        <w:snapToGrid w:val="0"/>
        <w:spacing w:before="100" w:beforeAutospacing="1" w:after="100" w:afterAutospacing="1"/>
        <w:ind w:leftChars="0" w:left="0" w:firstLineChars="200" w:firstLine="560"/>
        <w:jc w:val="both"/>
        <w:rPr>
          <w:rFonts w:ascii="Times New Roman" w:eastAsia="標楷體" w:hAnsi="Times New Roman"/>
          <w:sz w:val="28"/>
          <w:szCs w:val="28"/>
        </w:rPr>
      </w:pPr>
      <w:r w:rsidRPr="005E758A">
        <w:rPr>
          <w:rFonts w:ascii="Times New Roman" w:eastAsia="標楷體" w:hAnsi="Times New Roman"/>
          <w:sz w:val="28"/>
          <w:szCs w:val="28"/>
        </w:rPr>
        <w:t>法院否決了上訴人關於其女兒單純沉默得以認為乃對於前揭犯罪事實之宥恕。法院認為女童之沉默乃因畏懼而未向其母告知。刑事訴訟法關於宥恕之規定，乃需透過明確、明示且無得基於模糊之推論。至該信，法院認為其乃上訴人對於犯罪事實之承認。按通常尋求原諒者乃對於其部分行為認為有錯。故法院認為上訴人對女兒之道歉信可作為認罪之證據之一。</w:t>
      </w:r>
    </w:p>
    <w:p w14:paraId="05CE3BAD" w14:textId="77777777" w:rsidR="0095798C" w:rsidRPr="005E758A" w:rsidRDefault="0095798C" w:rsidP="0095798C">
      <w:pPr>
        <w:pStyle w:val="a0"/>
        <w:snapToGrid w:val="0"/>
        <w:spacing w:before="100" w:beforeAutospacing="1" w:after="100" w:afterAutospacing="1"/>
        <w:ind w:leftChars="0" w:left="0" w:firstLineChars="200" w:firstLine="560"/>
        <w:jc w:val="both"/>
        <w:rPr>
          <w:rFonts w:ascii="Times New Roman" w:eastAsia="標楷體" w:hAnsi="Times New Roman"/>
          <w:sz w:val="28"/>
          <w:szCs w:val="28"/>
        </w:rPr>
      </w:pPr>
      <w:r w:rsidRPr="005E758A">
        <w:rPr>
          <w:rFonts w:ascii="Times New Roman" w:eastAsia="標楷體" w:hAnsi="Times New Roman"/>
          <w:sz w:val="28"/>
          <w:szCs w:val="28"/>
        </w:rPr>
        <w:t>最後，法院表示其判決乃合於法令規定且與兒童權利公約、菲律賓法律關於保障兒童被害人回復之目的相符合。</w:t>
      </w:r>
    </w:p>
    <w:p w14:paraId="53D401B0" w14:textId="77777777" w:rsidR="0095798C" w:rsidRPr="005E758A" w:rsidRDefault="0095798C" w:rsidP="0095798C">
      <w:pPr>
        <w:pStyle w:val="3"/>
      </w:pPr>
      <w:r w:rsidRPr="005E758A">
        <w:t>2015</w:t>
      </w:r>
      <w:r w:rsidRPr="005E758A">
        <w:t>年肯亞</w:t>
      </w:r>
      <w:r w:rsidR="00FC16DD" w:rsidRPr="005E758A">
        <w:t>高等法院兒童</w:t>
      </w:r>
      <w:r w:rsidRPr="005E758A">
        <w:t>性虐待案：</w:t>
      </w:r>
      <w:r w:rsidRPr="005E758A">
        <w:t xml:space="preserve">W.J. and L.N. (Minors suing through their guardians, J.K.M and S.C.M) v. </w:t>
      </w:r>
      <w:proofErr w:type="spellStart"/>
      <w:r w:rsidRPr="005E758A">
        <w:t>Astarikoh</w:t>
      </w:r>
      <w:proofErr w:type="spellEnd"/>
      <w:r w:rsidRPr="005E758A">
        <w:t xml:space="preserve"> Henry </w:t>
      </w:r>
      <w:proofErr w:type="spellStart"/>
      <w:r w:rsidRPr="005E758A">
        <w:t>Amkoah</w:t>
      </w:r>
      <w:proofErr w:type="spellEnd"/>
      <w:r w:rsidRPr="005E758A">
        <w:t>, J Primary School, the Teachers Service Commission and the Attorney General</w:t>
      </w:r>
      <w:r w:rsidRPr="005E758A">
        <w:rPr>
          <w:rStyle w:val="af3"/>
        </w:rPr>
        <w:endnoteReference w:id="537"/>
      </w:r>
    </w:p>
    <w:p w14:paraId="07518C5E" w14:textId="77777777" w:rsidR="0095798C" w:rsidRPr="005E758A" w:rsidRDefault="0095798C" w:rsidP="0095798C">
      <w:pPr>
        <w:pStyle w:val="a0"/>
        <w:snapToGrid w:val="0"/>
        <w:spacing w:before="100" w:beforeAutospacing="1" w:after="100" w:afterAutospacing="1"/>
        <w:ind w:leftChars="0" w:left="0" w:firstLineChars="200" w:firstLine="560"/>
        <w:jc w:val="both"/>
        <w:rPr>
          <w:rFonts w:ascii="Times New Roman" w:eastAsia="標楷體" w:hAnsi="Times New Roman"/>
          <w:sz w:val="28"/>
          <w:szCs w:val="28"/>
        </w:rPr>
      </w:pPr>
      <w:r w:rsidRPr="005E758A">
        <w:rPr>
          <w:rFonts w:ascii="Times New Roman" w:eastAsia="標楷體" w:hAnsi="Times New Roman"/>
          <w:sz w:val="28"/>
          <w:szCs w:val="28"/>
        </w:rPr>
        <w:t>兩名原告分別為</w:t>
      </w:r>
      <w:r w:rsidRPr="005E758A">
        <w:rPr>
          <w:rFonts w:ascii="Times New Roman" w:eastAsia="標楷體" w:hAnsi="Times New Roman"/>
          <w:sz w:val="28"/>
          <w:szCs w:val="28"/>
        </w:rPr>
        <w:t>12</w:t>
      </w:r>
      <w:r w:rsidRPr="005E758A">
        <w:rPr>
          <w:rFonts w:ascii="Times New Roman" w:eastAsia="標楷體" w:hAnsi="Times New Roman"/>
          <w:sz w:val="28"/>
          <w:szCs w:val="28"/>
        </w:rPr>
        <w:t>及</w:t>
      </w:r>
      <w:r w:rsidRPr="005E758A">
        <w:rPr>
          <w:rFonts w:ascii="Times New Roman" w:eastAsia="標楷體" w:hAnsi="Times New Roman"/>
          <w:sz w:val="28"/>
          <w:szCs w:val="28"/>
        </w:rPr>
        <w:t>13</w:t>
      </w:r>
      <w:r w:rsidRPr="005E758A">
        <w:rPr>
          <w:rFonts w:ascii="Times New Roman" w:eastAsia="標楷體" w:hAnsi="Times New Roman"/>
          <w:sz w:val="28"/>
          <w:szCs w:val="28"/>
        </w:rPr>
        <w:t>歲之兒童，遭其老師（第一名被告）性虐待。而該名被告於本案判決前之刑事審判中獲判無罪。而另一名被告乃</w:t>
      </w:r>
      <w:r w:rsidRPr="005E758A">
        <w:rPr>
          <w:rFonts w:ascii="Times New Roman" w:eastAsia="標楷體" w:hAnsi="Times New Roman"/>
          <w:sz w:val="28"/>
          <w:szCs w:val="28"/>
        </w:rPr>
        <w:t>2</w:t>
      </w:r>
      <w:r w:rsidRPr="005E758A">
        <w:rPr>
          <w:rFonts w:ascii="Times New Roman" w:eastAsia="標楷體" w:hAnsi="Times New Roman"/>
          <w:sz w:val="28"/>
          <w:szCs w:val="28"/>
        </w:rPr>
        <w:t>被害兒童的學校中之教師服務委員會</w:t>
      </w:r>
      <w:r w:rsidR="00634124" w:rsidRPr="005E758A">
        <w:rPr>
          <w:rFonts w:ascii="Times New Roman" w:eastAsia="標楷體" w:hAnsi="Times New Roman"/>
          <w:sz w:val="28"/>
          <w:szCs w:val="28"/>
        </w:rPr>
        <w:t>(Teachers Service Commission</w:t>
      </w:r>
      <w:r w:rsidR="00FC16DD" w:rsidRPr="005E758A">
        <w:rPr>
          <w:rFonts w:ascii="Times New Roman" w:eastAsia="標楷體" w:hAnsi="Times New Roman"/>
          <w:sz w:val="28"/>
          <w:szCs w:val="28"/>
        </w:rPr>
        <w:t xml:space="preserve">, </w:t>
      </w:r>
      <w:r w:rsidR="00634124" w:rsidRPr="005E758A">
        <w:rPr>
          <w:rFonts w:ascii="Times New Roman" w:eastAsia="標楷體" w:hAnsi="Times New Roman"/>
          <w:sz w:val="28"/>
          <w:szCs w:val="28"/>
        </w:rPr>
        <w:t>TSC</w:t>
      </w:r>
      <w:r w:rsidRPr="005E758A">
        <w:rPr>
          <w:rFonts w:ascii="Times New Roman" w:eastAsia="標楷體" w:hAnsi="Times New Roman"/>
          <w:sz w:val="28"/>
          <w:szCs w:val="28"/>
        </w:rPr>
        <w:t>)</w:t>
      </w:r>
      <w:r w:rsidRPr="005E758A">
        <w:rPr>
          <w:rFonts w:ascii="Times New Roman" w:eastAsia="標楷體" w:hAnsi="Times New Roman"/>
          <w:sz w:val="28"/>
          <w:szCs w:val="28"/>
        </w:rPr>
        <w:t>之成員，該委員會雇用了涉嫌性虐待之老師。原告主張其所遭受之性虐待構成對於其憲法上權利之侵害，並認為其餘之被告對於該侵害也應負起間接責任。</w:t>
      </w:r>
    </w:p>
    <w:p w14:paraId="5E8293F1" w14:textId="77777777" w:rsidR="0095798C" w:rsidRPr="005E758A" w:rsidRDefault="0095798C" w:rsidP="0095798C">
      <w:pPr>
        <w:pStyle w:val="a0"/>
        <w:snapToGrid w:val="0"/>
        <w:spacing w:before="100" w:beforeAutospacing="1" w:after="100" w:afterAutospacing="1"/>
        <w:ind w:leftChars="0" w:left="0" w:firstLineChars="200" w:firstLine="560"/>
        <w:jc w:val="both"/>
        <w:rPr>
          <w:rFonts w:ascii="Times New Roman" w:eastAsia="標楷體" w:hAnsi="Times New Roman"/>
          <w:sz w:val="28"/>
          <w:szCs w:val="28"/>
        </w:rPr>
      </w:pPr>
      <w:r w:rsidRPr="005E758A">
        <w:rPr>
          <w:rFonts w:ascii="Times New Roman" w:eastAsia="標楷體" w:hAnsi="Times New Roman"/>
          <w:sz w:val="28"/>
          <w:szCs w:val="28"/>
        </w:rPr>
        <w:t>本案的爭點在於兒童的性虐待責任範圍。法院必須審查該名施虐者之性虐待是否構成對於原告於憲法上權利之侵害，以及其餘被告是否對於本案犯罪事實負有間接責任。本案所涉侵害原告之人性尊嚴、健康權以及受教育之權利，並且校方、</w:t>
      </w:r>
      <w:r w:rsidR="00FC16DD" w:rsidRPr="005E758A">
        <w:rPr>
          <w:rFonts w:ascii="Times New Roman" w:eastAsia="標楷體" w:hAnsi="Times New Roman"/>
          <w:sz w:val="28"/>
          <w:szCs w:val="28"/>
        </w:rPr>
        <w:t>教師服務委員會</w:t>
      </w:r>
      <w:r w:rsidRPr="005E758A">
        <w:rPr>
          <w:rFonts w:ascii="Times New Roman" w:eastAsia="標楷體" w:hAnsi="Times New Roman"/>
          <w:sz w:val="28"/>
          <w:szCs w:val="28"/>
        </w:rPr>
        <w:t>以及其餘被告皆負有間接責任。</w:t>
      </w:r>
    </w:p>
    <w:p w14:paraId="52725B51" w14:textId="77777777" w:rsidR="0095798C" w:rsidRPr="005E758A" w:rsidRDefault="0095798C" w:rsidP="0095798C">
      <w:pPr>
        <w:pStyle w:val="a0"/>
        <w:snapToGrid w:val="0"/>
        <w:spacing w:before="100" w:beforeAutospacing="1" w:after="100" w:afterAutospacing="1"/>
        <w:ind w:leftChars="0" w:left="0" w:firstLineChars="200" w:firstLine="560"/>
        <w:jc w:val="both"/>
        <w:rPr>
          <w:rFonts w:ascii="Times New Roman" w:eastAsia="標楷體" w:hAnsi="Times New Roman"/>
          <w:sz w:val="28"/>
          <w:szCs w:val="28"/>
        </w:rPr>
      </w:pPr>
      <w:r w:rsidRPr="005E758A">
        <w:rPr>
          <w:rFonts w:ascii="Times New Roman" w:eastAsia="標楷體" w:hAnsi="Times New Roman"/>
          <w:sz w:val="28"/>
          <w:szCs w:val="28"/>
        </w:rPr>
        <w:t>法院首先針對被告以下之主張予以審理。原告主張所受之性虐待構成肯亞憲法：（一）第</w:t>
      </w:r>
      <w:r w:rsidRPr="005E758A">
        <w:rPr>
          <w:rFonts w:ascii="Times New Roman" w:eastAsia="標楷體" w:hAnsi="Times New Roman"/>
          <w:sz w:val="28"/>
          <w:szCs w:val="28"/>
        </w:rPr>
        <w:t>43</w:t>
      </w:r>
      <w:r w:rsidRPr="005E758A">
        <w:rPr>
          <w:rFonts w:ascii="Times New Roman" w:eastAsia="標楷體" w:hAnsi="Times New Roman"/>
          <w:sz w:val="28"/>
          <w:szCs w:val="28"/>
        </w:rPr>
        <w:t>條：健康權、受教權；（二）第</w:t>
      </w:r>
      <w:r w:rsidRPr="005E758A">
        <w:rPr>
          <w:rFonts w:ascii="Times New Roman" w:eastAsia="標楷體" w:hAnsi="Times New Roman"/>
          <w:sz w:val="28"/>
          <w:szCs w:val="28"/>
        </w:rPr>
        <w:t>27</w:t>
      </w:r>
      <w:r w:rsidRPr="005E758A">
        <w:rPr>
          <w:rFonts w:ascii="Times New Roman" w:eastAsia="標楷體" w:hAnsi="Times New Roman"/>
          <w:sz w:val="28"/>
          <w:szCs w:val="28"/>
        </w:rPr>
        <w:t>條：人性尊嚴；（三）第</w:t>
      </w:r>
      <w:r w:rsidRPr="005E758A">
        <w:rPr>
          <w:rFonts w:ascii="Times New Roman" w:eastAsia="標楷體" w:hAnsi="Times New Roman"/>
          <w:sz w:val="28"/>
          <w:szCs w:val="28"/>
        </w:rPr>
        <w:t>28</w:t>
      </w:r>
      <w:r w:rsidRPr="005E758A">
        <w:rPr>
          <w:rFonts w:ascii="Times New Roman" w:eastAsia="標楷體" w:hAnsi="Times New Roman"/>
          <w:sz w:val="28"/>
          <w:szCs w:val="28"/>
        </w:rPr>
        <w:t>條：不歧視原則；（四）第</w:t>
      </w:r>
      <w:r w:rsidRPr="005E758A">
        <w:rPr>
          <w:rFonts w:ascii="Times New Roman" w:eastAsia="標楷體" w:hAnsi="Times New Roman"/>
          <w:sz w:val="28"/>
          <w:szCs w:val="28"/>
        </w:rPr>
        <w:t>29</w:t>
      </w:r>
      <w:r w:rsidRPr="005E758A">
        <w:rPr>
          <w:rFonts w:ascii="Times New Roman" w:eastAsia="標楷體" w:hAnsi="Times New Roman"/>
          <w:sz w:val="28"/>
          <w:szCs w:val="28"/>
        </w:rPr>
        <w:t>條：免於酷刑及其他殘忍或貶損對待之保護規定的違反。</w:t>
      </w:r>
    </w:p>
    <w:p w14:paraId="0826194E" w14:textId="77777777" w:rsidR="0095798C" w:rsidRPr="005E758A" w:rsidRDefault="0095798C" w:rsidP="0095798C">
      <w:pPr>
        <w:pStyle w:val="a0"/>
        <w:snapToGrid w:val="0"/>
        <w:spacing w:before="100" w:beforeAutospacing="1" w:after="100" w:afterAutospacing="1"/>
        <w:ind w:leftChars="0" w:left="0" w:firstLineChars="200" w:firstLine="560"/>
        <w:jc w:val="both"/>
        <w:rPr>
          <w:rFonts w:ascii="Times New Roman" w:eastAsia="標楷體" w:hAnsi="Times New Roman"/>
          <w:sz w:val="28"/>
          <w:szCs w:val="28"/>
        </w:rPr>
      </w:pPr>
      <w:r w:rsidRPr="005E758A">
        <w:rPr>
          <w:rFonts w:ascii="Times New Roman" w:eastAsia="標楷體" w:hAnsi="Times New Roman"/>
          <w:sz w:val="28"/>
          <w:szCs w:val="28"/>
        </w:rPr>
        <w:lastRenderedPageBreak/>
        <w:t>法院指出</w:t>
      </w:r>
      <w:r w:rsidRPr="005E758A">
        <w:rPr>
          <w:rFonts w:ascii="Times New Roman" w:eastAsia="標楷體" w:hAnsi="Times New Roman"/>
          <w:sz w:val="28"/>
          <w:szCs w:val="28"/>
        </w:rPr>
        <w:t>2010</w:t>
      </w:r>
      <w:r w:rsidRPr="005E758A">
        <w:rPr>
          <w:rFonts w:ascii="Times New Roman" w:eastAsia="標楷體" w:hAnsi="Times New Roman"/>
          <w:sz w:val="28"/>
          <w:szCs w:val="28"/>
        </w:rPr>
        <w:t>年時，當時有效之肯亞憲法乃</w:t>
      </w:r>
      <w:r w:rsidRPr="005E758A">
        <w:rPr>
          <w:rFonts w:ascii="Times New Roman" w:eastAsia="標楷體" w:hAnsi="Times New Roman"/>
          <w:sz w:val="28"/>
          <w:szCs w:val="28"/>
        </w:rPr>
        <w:t>1963</w:t>
      </w:r>
      <w:r w:rsidRPr="005E758A">
        <w:rPr>
          <w:rFonts w:ascii="Times New Roman" w:eastAsia="標楷體" w:hAnsi="Times New Roman"/>
          <w:sz w:val="28"/>
          <w:szCs w:val="28"/>
        </w:rPr>
        <w:t>年之版本，而其中並未於第</w:t>
      </w:r>
      <w:r w:rsidRPr="005E758A">
        <w:rPr>
          <w:rFonts w:ascii="Times New Roman" w:eastAsia="標楷體" w:hAnsi="Times New Roman"/>
          <w:sz w:val="28"/>
          <w:szCs w:val="28"/>
        </w:rPr>
        <w:t>28</w:t>
      </w:r>
      <w:r w:rsidRPr="005E758A">
        <w:rPr>
          <w:rFonts w:ascii="Times New Roman" w:eastAsia="標楷體" w:hAnsi="Times New Roman"/>
          <w:sz w:val="28"/>
          <w:szCs w:val="28"/>
        </w:rPr>
        <w:t>條保障人性尊嚴，亦未於第</w:t>
      </w:r>
      <w:r w:rsidRPr="005E758A">
        <w:rPr>
          <w:rFonts w:ascii="Times New Roman" w:eastAsia="標楷體" w:hAnsi="Times New Roman"/>
          <w:sz w:val="28"/>
          <w:szCs w:val="28"/>
        </w:rPr>
        <w:t>43</w:t>
      </w:r>
      <w:r w:rsidRPr="005E758A">
        <w:rPr>
          <w:rFonts w:ascii="Times New Roman" w:eastAsia="標楷體" w:hAnsi="Times New Roman"/>
          <w:sz w:val="28"/>
          <w:szCs w:val="28"/>
        </w:rPr>
        <w:t>條保障社會經濟之權利。但</w:t>
      </w:r>
      <w:r w:rsidRPr="005E758A">
        <w:rPr>
          <w:rFonts w:ascii="Times New Roman" w:eastAsia="標楷體" w:hAnsi="Times New Roman"/>
          <w:sz w:val="28"/>
          <w:szCs w:val="28"/>
        </w:rPr>
        <w:t>1963</w:t>
      </w:r>
      <w:r w:rsidRPr="005E758A">
        <w:rPr>
          <w:rFonts w:ascii="Times New Roman" w:eastAsia="標楷體" w:hAnsi="Times New Roman"/>
          <w:sz w:val="28"/>
          <w:szCs w:val="28"/>
        </w:rPr>
        <w:t>年版憲法有提及非歧視條款之保障，以及保障人身自由及安全。然而，現行肯亞憲法下關於兒童權利之保障，特別是免於成為性或身體暴力對象之權利、受教權、免於歧視及人性尊嚴等皆於</w:t>
      </w:r>
      <w:r w:rsidRPr="005E758A">
        <w:rPr>
          <w:rFonts w:ascii="Times New Roman" w:eastAsia="標楷體" w:hAnsi="Times New Roman"/>
          <w:sz w:val="28"/>
          <w:szCs w:val="28"/>
        </w:rPr>
        <w:t>2010</w:t>
      </w:r>
      <w:r w:rsidRPr="005E758A">
        <w:rPr>
          <w:rFonts w:ascii="Times New Roman" w:eastAsia="標楷體" w:hAnsi="Times New Roman"/>
          <w:sz w:val="28"/>
          <w:szCs w:val="28"/>
        </w:rPr>
        <w:t>年兒童法</w:t>
      </w:r>
      <w:r w:rsidRPr="005E758A">
        <w:rPr>
          <w:rFonts w:ascii="Times New Roman" w:eastAsia="標楷體" w:hAnsi="Times New Roman"/>
          <w:sz w:val="28"/>
          <w:szCs w:val="28"/>
        </w:rPr>
        <w:t>(Children Act)</w:t>
      </w:r>
      <w:r w:rsidRPr="005E758A">
        <w:rPr>
          <w:rFonts w:ascii="Times New Roman" w:eastAsia="標楷體" w:hAnsi="Times New Roman"/>
          <w:sz w:val="28"/>
          <w:szCs w:val="28"/>
        </w:rPr>
        <w:t>、</w:t>
      </w:r>
      <w:r w:rsidRPr="005E758A">
        <w:rPr>
          <w:rFonts w:ascii="Times New Roman" w:eastAsia="標楷體" w:hAnsi="Times New Roman"/>
          <w:sz w:val="28"/>
          <w:szCs w:val="28"/>
        </w:rPr>
        <w:t>2010</w:t>
      </w:r>
      <w:r w:rsidRPr="005E758A">
        <w:rPr>
          <w:rFonts w:ascii="Times New Roman" w:eastAsia="標楷體" w:hAnsi="Times New Roman"/>
          <w:sz w:val="28"/>
          <w:szCs w:val="28"/>
        </w:rPr>
        <w:t>年肯亞法律引入兒童權利公約之後而受到保障。因此，法院認為該名教師之行為構成侵害</w:t>
      </w:r>
      <w:r w:rsidRPr="005E758A">
        <w:rPr>
          <w:rFonts w:ascii="Times New Roman" w:eastAsia="標楷體" w:hAnsi="Times New Roman"/>
          <w:sz w:val="28"/>
          <w:szCs w:val="28"/>
        </w:rPr>
        <w:t>2</w:t>
      </w:r>
      <w:r w:rsidRPr="005E758A">
        <w:rPr>
          <w:rFonts w:ascii="Times New Roman" w:eastAsia="標楷體" w:hAnsi="Times New Roman"/>
          <w:sz w:val="28"/>
          <w:szCs w:val="28"/>
        </w:rPr>
        <w:t>名原告之人性尊嚴、健康及受教育之權利。</w:t>
      </w:r>
    </w:p>
    <w:p w14:paraId="38A587DF" w14:textId="77777777" w:rsidR="0095798C" w:rsidRPr="005E758A" w:rsidRDefault="0095798C" w:rsidP="0095798C">
      <w:pPr>
        <w:pStyle w:val="a0"/>
        <w:snapToGrid w:val="0"/>
        <w:spacing w:before="100" w:beforeAutospacing="1" w:after="100" w:afterAutospacing="1"/>
        <w:ind w:leftChars="0" w:left="0" w:firstLineChars="200" w:firstLine="560"/>
        <w:jc w:val="both"/>
        <w:rPr>
          <w:rFonts w:ascii="Times New Roman" w:eastAsia="標楷體" w:hAnsi="Times New Roman"/>
          <w:sz w:val="28"/>
          <w:szCs w:val="28"/>
        </w:rPr>
      </w:pPr>
      <w:r w:rsidRPr="005E758A">
        <w:rPr>
          <w:rFonts w:ascii="Times New Roman" w:eastAsia="標楷體" w:hAnsi="Times New Roman"/>
          <w:sz w:val="28"/>
          <w:szCs w:val="28"/>
        </w:rPr>
        <w:t>而關於間接責任部分，法院認為其餘之被告有責任保護學童免於遭其教師性虐待。法院認為</w:t>
      </w:r>
      <w:r w:rsidRPr="005E758A">
        <w:rPr>
          <w:rFonts w:ascii="Times New Roman" w:eastAsia="標楷體" w:hAnsi="Times New Roman"/>
          <w:sz w:val="28"/>
          <w:szCs w:val="28"/>
        </w:rPr>
        <w:t>TSC</w:t>
      </w:r>
      <w:r w:rsidRPr="005E758A">
        <w:rPr>
          <w:rFonts w:ascii="Times New Roman" w:eastAsia="標楷體" w:hAnsi="Times New Roman"/>
          <w:sz w:val="28"/>
          <w:szCs w:val="28"/>
        </w:rPr>
        <w:t>關於保護學童之迂迴舉措，並未以更適當之措施有效率地免除其保護兒童的責任，因此，負有間接責任。</w:t>
      </w:r>
    </w:p>
    <w:p w14:paraId="415A5B3D" w14:textId="77777777" w:rsidR="0095798C" w:rsidRPr="005E758A" w:rsidRDefault="0095798C" w:rsidP="0095798C">
      <w:pPr>
        <w:pStyle w:val="2"/>
      </w:pPr>
      <w:r w:rsidRPr="005E758A">
        <w:t>綜合分析</w:t>
      </w:r>
    </w:p>
    <w:p w14:paraId="426B1C36" w14:textId="77777777" w:rsidR="0095798C" w:rsidRPr="005E758A" w:rsidRDefault="0095798C" w:rsidP="0095798C">
      <w:pPr>
        <w:pStyle w:val="a0"/>
        <w:snapToGrid w:val="0"/>
        <w:spacing w:before="100" w:beforeAutospacing="1" w:after="100" w:afterAutospacing="1"/>
        <w:ind w:leftChars="0" w:left="0" w:firstLineChars="200" w:firstLine="560"/>
        <w:jc w:val="both"/>
        <w:rPr>
          <w:rFonts w:ascii="Times New Roman" w:eastAsia="標楷體" w:hAnsi="Times New Roman"/>
          <w:sz w:val="28"/>
          <w:szCs w:val="28"/>
        </w:rPr>
      </w:pPr>
      <w:r w:rsidRPr="005E758A">
        <w:rPr>
          <w:rFonts w:ascii="Times New Roman" w:eastAsia="標楷體" w:hAnsi="Times New Roman"/>
          <w:sz w:val="28"/>
          <w:szCs w:val="28"/>
        </w:rPr>
        <w:t>為了促進身心受創之兒童康復和重新回歸社會，兒童權利委員會要求締約國應當建立符合文化背景和對性別敏感的精神衛生保健，並提供合格的心理社會諮詢</w:t>
      </w:r>
      <w:r w:rsidRPr="005E758A">
        <w:rPr>
          <w:rStyle w:val="af3"/>
          <w:rFonts w:ascii="Times New Roman" w:eastAsia="標楷體" w:hAnsi="Times New Roman"/>
        </w:rPr>
        <w:endnoteReference w:id="538"/>
      </w:r>
      <w:r w:rsidRPr="005E758A">
        <w:rPr>
          <w:rFonts w:ascii="Times New Roman" w:eastAsia="標楷體" w:hAnsi="Times New Roman"/>
          <w:sz w:val="28"/>
          <w:szCs w:val="28"/>
        </w:rPr>
        <w:t>。由兒童權利委員會之總結意見可知本條與第</w:t>
      </w:r>
      <w:r w:rsidRPr="005E758A">
        <w:rPr>
          <w:rFonts w:ascii="Times New Roman" w:eastAsia="標楷體" w:hAnsi="Times New Roman"/>
          <w:sz w:val="28"/>
          <w:szCs w:val="28"/>
        </w:rPr>
        <w:t>37</w:t>
      </w:r>
      <w:r w:rsidRPr="005E758A">
        <w:rPr>
          <w:rFonts w:ascii="Times New Roman" w:eastAsia="標楷體" w:hAnsi="Times New Roman"/>
          <w:sz w:val="28"/>
          <w:szCs w:val="28"/>
        </w:rPr>
        <w:t>條（不受殘忍對待）及第</w:t>
      </w:r>
      <w:r w:rsidRPr="005E758A">
        <w:rPr>
          <w:rFonts w:ascii="Times New Roman" w:eastAsia="標楷體" w:hAnsi="Times New Roman"/>
          <w:sz w:val="28"/>
          <w:szCs w:val="28"/>
        </w:rPr>
        <w:t>40</w:t>
      </w:r>
      <w:r w:rsidRPr="005E758A">
        <w:rPr>
          <w:rFonts w:ascii="Times New Roman" w:eastAsia="標楷體" w:hAnsi="Times New Roman"/>
          <w:sz w:val="28"/>
          <w:szCs w:val="28"/>
        </w:rPr>
        <w:t>條（兒童司法）密切相關</w:t>
      </w:r>
      <w:r w:rsidRPr="005E758A">
        <w:rPr>
          <w:rStyle w:val="af3"/>
          <w:rFonts w:ascii="Times New Roman" w:eastAsia="標楷體" w:hAnsi="Times New Roman"/>
        </w:rPr>
        <w:endnoteReference w:id="539"/>
      </w:r>
      <w:r w:rsidRPr="005E758A">
        <w:rPr>
          <w:rFonts w:ascii="Times New Roman" w:eastAsia="標楷體" w:hAnsi="Times New Roman"/>
          <w:sz w:val="28"/>
          <w:szCs w:val="28"/>
        </w:rPr>
        <w:t>，因此應予以併同檢視。本條之適用不限於條文所列之各類型的兒童被害人，亦包括難民兒童、兒童勞工與被強迫勞動的兒童、涉及</w:t>
      </w:r>
      <w:r w:rsidR="00B1345D" w:rsidRPr="005E758A">
        <w:rPr>
          <w:rFonts w:ascii="Times New Roman" w:eastAsia="標楷體" w:hAnsi="Times New Roman"/>
          <w:sz w:val="28"/>
          <w:szCs w:val="28"/>
        </w:rPr>
        <w:t>藥物濫用及</w:t>
      </w:r>
      <w:r w:rsidRPr="005E758A">
        <w:rPr>
          <w:rFonts w:ascii="Times New Roman" w:eastAsia="標楷體" w:hAnsi="Times New Roman"/>
          <w:sz w:val="28"/>
          <w:szCs w:val="28"/>
        </w:rPr>
        <w:t>毒品販運與濫用之兒童、遭受家庭衝突之兒童、遭買賣或販運之兒童及涉及</w:t>
      </w:r>
      <w:r w:rsidR="00B1345D" w:rsidRPr="005E758A">
        <w:rPr>
          <w:rFonts w:ascii="Times New Roman" w:eastAsia="標楷體" w:hAnsi="Times New Roman"/>
          <w:sz w:val="28"/>
          <w:szCs w:val="28"/>
        </w:rPr>
        <w:t>刑事</w:t>
      </w:r>
      <w:r w:rsidRPr="005E758A">
        <w:rPr>
          <w:rFonts w:ascii="Times New Roman" w:eastAsia="標楷體" w:hAnsi="Times New Roman"/>
          <w:sz w:val="28"/>
          <w:szCs w:val="28"/>
        </w:rPr>
        <w:t>司法之兒童等</w:t>
      </w:r>
      <w:r w:rsidRPr="005E758A">
        <w:rPr>
          <w:rStyle w:val="af3"/>
          <w:rFonts w:ascii="Times New Roman" w:eastAsia="標楷體" w:hAnsi="Times New Roman"/>
        </w:rPr>
        <w:endnoteReference w:id="540"/>
      </w:r>
      <w:r w:rsidRPr="005E758A">
        <w:rPr>
          <w:rFonts w:ascii="Times New Roman" w:eastAsia="標楷體" w:hAnsi="Times New Roman"/>
          <w:sz w:val="28"/>
          <w:szCs w:val="28"/>
        </w:rPr>
        <w:t>。</w:t>
      </w:r>
    </w:p>
    <w:p w14:paraId="2226106C" w14:textId="77777777" w:rsidR="0095798C" w:rsidRPr="005E758A" w:rsidRDefault="008F1CCA" w:rsidP="0095798C">
      <w:pPr>
        <w:pStyle w:val="2"/>
      </w:pPr>
      <w:r w:rsidRPr="005E758A">
        <w:t>參考資料</w:t>
      </w:r>
    </w:p>
    <w:p w14:paraId="2950B9AE" w14:textId="77777777" w:rsidR="00041AD0" w:rsidRPr="005E758A" w:rsidRDefault="00041AD0" w:rsidP="00D2135A">
      <w:pPr>
        <w:pStyle w:val="a0"/>
        <w:numPr>
          <w:ilvl w:val="0"/>
          <w:numId w:val="78"/>
        </w:numPr>
        <w:snapToGrid w:val="0"/>
        <w:spacing w:before="100" w:beforeAutospacing="1" w:after="100" w:afterAutospacing="1"/>
        <w:ind w:leftChars="0"/>
        <w:jc w:val="both"/>
        <w:rPr>
          <w:rFonts w:ascii="Times New Roman" w:eastAsia="標楷體" w:hAnsi="Times New Roman"/>
          <w:kern w:val="0"/>
          <w:sz w:val="28"/>
          <w:szCs w:val="28"/>
        </w:rPr>
      </w:pPr>
      <w:r w:rsidRPr="005E758A">
        <w:rPr>
          <w:rFonts w:ascii="Times New Roman" w:eastAsia="標楷體" w:hAnsi="Times New Roman"/>
          <w:smallCaps/>
          <w:kern w:val="0"/>
          <w:sz w:val="28"/>
          <w:szCs w:val="28"/>
        </w:rPr>
        <w:t xml:space="preserve">UNICEF, Implementation Handbook for the Convention on the Rights of the Child </w:t>
      </w:r>
      <w:r w:rsidRPr="005E758A">
        <w:rPr>
          <w:rFonts w:ascii="Times New Roman" w:eastAsia="標楷體" w:hAnsi="Times New Roman"/>
          <w:kern w:val="0"/>
          <w:sz w:val="28"/>
          <w:szCs w:val="28"/>
        </w:rPr>
        <w:t>(3d ed. 2007).</w:t>
      </w:r>
    </w:p>
    <w:p w14:paraId="18F015C4" w14:textId="77777777" w:rsidR="0095798C" w:rsidRPr="005E758A" w:rsidRDefault="0095798C" w:rsidP="00D2135A">
      <w:pPr>
        <w:pStyle w:val="a0"/>
        <w:numPr>
          <w:ilvl w:val="0"/>
          <w:numId w:val="78"/>
        </w:numPr>
        <w:snapToGrid w:val="0"/>
        <w:spacing w:before="100" w:beforeAutospacing="1" w:after="100" w:afterAutospacing="1"/>
        <w:ind w:leftChars="0"/>
        <w:jc w:val="both"/>
        <w:rPr>
          <w:rFonts w:ascii="Times New Roman" w:eastAsia="標楷體" w:hAnsi="Times New Roman"/>
          <w:sz w:val="28"/>
          <w:szCs w:val="28"/>
        </w:rPr>
      </w:pPr>
      <w:r w:rsidRPr="005E758A">
        <w:rPr>
          <w:rFonts w:ascii="Times New Roman" w:eastAsia="標楷體" w:hAnsi="Times New Roman"/>
          <w:sz w:val="28"/>
          <w:szCs w:val="28"/>
        </w:rPr>
        <w:t>兒童權利委員會，第</w:t>
      </w:r>
      <w:r w:rsidRPr="005E758A">
        <w:rPr>
          <w:rFonts w:ascii="Times New Roman" w:eastAsia="標楷體" w:hAnsi="Times New Roman"/>
          <w:sz w:val="28"/>
          <w:szCs w:val="28"/>
        </w:rPr>
        <w:t>6</w:t>
      </w:r>
      <w:r w:rsidRPr="005E758A">
        <w:rPr>
          <w:rFonts w:ascii="Times New Roman" w:eastAsia="標楷體" w:hAnsi="Times New Roman"/>
          <w:sz w:val="28"/>
          <w:szCs w:val="28"/>
        </w:rPr>
        <w:t>號一般性意見「遠離原籍國無人陪伴和無父母陪伴的兒童待遇」。</w:t>
      </w:r>
      <w:r w:rsidRPr="005E758A">
        <w:rPr>
          <w:rFonts w:ascii="Times New Roman" w:eastAsia="標楷體" w:hAnsi="Times New Roman"/>
          <w:sz w:val="28"/>
          <w:szCs w:val="28"/>
        </w:rPr>
        <w:t>(Committee on the Rights of the Child, General Comment No. 6: Treatment of Unaccompanied and Separated Children outside Their Country of Origin, U.N. Doc. CRC/GC/2005/6 (Sept. 1, 2005).)</w:t>
      </w:r>
    </w:p>
    <w:p w14:paraId="4D7FB39A" w14:textId="77777777" w:rsidR="0095798C" w:rsidRPr="005E758A" w:rsidRDefault="0095798C" w:rsidP="00D2135A">
      <w:pPr>
        <w:pStyle w:val="a0"/>
        <w:numPr>
          <w:ilvl w:val="0"/>
          <w:numId w:val="78"/>
        </w:numPr>
        <w:snapToGrid w:val="0"/>
        <w:spacing w:before="100" w:beforeAutospacing="1" w:after="100" w:afterAutospacing="1"/>
        <w:ind w:leftChars="0"/>
        <w:jc w:val="both"/>
        <w:rPr>
          <w:rFonts w:ascii="Times New Roman" w:eastAsia="標楷體" w:hAnsi="Times New Roman"/>
          <w:sz w:val="28"/>
          <w:szCs w:val="28"/>
        </w:rPr>
      </w:pPr>
      <w:r w:rsidRPr="005E758A">
        <w:rPr>
          <w:rFonts w:ascii="Times New Roman" w:eastAsia="標楷體" w:hAnsi="Times New Roman"/>
          <w:sz w:val="28"/>
          <w:szCs w:val="28"/>
        </w:rPr>
        <w:t>林沛君，兒少人權向前行，臺北市，台灣展翅協會，</w:t>
      </w:r>
      <w:r w:rsidRPr="005E758A">
        <w:rPr>
          <w:rFonts w:ascii="Times New Roman" w:eastAsia="標楷體" w:hAnsi="Times New Roman"/>
          <w:sz w:val="28"/>
          <w:szCs w:val="28"/>
        </w:rPr>
        <w:t>2015</w:t>
      </w:r>
      <w:r w:rsidRPr="005E758A">
        <w:rPr>
          <w:rFonts w:ascii="Times New Roman" w:eastAsia="標楷體" w:hAnsi="Times New Roman"/>
          <w:sz w:val="28"/>
          <w:szCs w:val="28"/>
        </w:rPr>
        <w:t>年</w:t>
      </w:r>
      <w:r w:rsidRPr="005E758A">
        <w:rPr>
          <w:rFonts w:ascii="Times New Roman" w:eastAsia="標楷體" w:hAnsi="Times New Roman"/>
          <w:sz w:val="28"/>
          <w:szCs w:val="28"/>
        </w:rPr>
        <w:t>4</w:t>
      </w:r>
      <w:r w:rsidRPr="005E758A">
        <w:rPr>
          <w:rFonts w:ascii="Times New Roman" w:eastAsia="標楷體" w:hAnsi="Times New Roman"/>
          <w:sz w:val="28"/>
          <w:szCs w:val="28"/>
        </w:rPr>
        <w:t>月。</w:t>
      </w:r>
    </w:p>
    <w:p w14:paraId="371A0C03" w14:textId="77777777" w:rsidR="0095798C" w:rsidRPr="005E758A" w:rsidRDefault="0095798C" w:rsidP="0095798C">
      <w:pPr>
        <w:snapToGrid w:val="0"/>
        <w:spacing w:before="100" w:beforeAutospacing="1" w:after="100" w:afterAutospacing="1"/>
        <w:rPr>
          <w:sz w:val="28"/>
          <w:szCs w:val="28"/>
        </w:rPr>
      </w:pPr>
    </w:p>
    <w:p w14:paraId="7D4BAC99" w14:textId="77777777" w:rsidR="00BE145E" w:rsidRPr="005E758A" w:rsidRDefault="0095798C" w:rsidP="00BE145E">
      <w:pPr>
        <w:snapToGrid w:val="0"/>
        <w:spacing w:before="100" w:beforeAutospacing="1" w:after="100" w:afterAutospacing="1"/>
        <w:rPr>
          <w:sz w:val="28"/>
          <w:szCs w:val="28"/>
        </w:rPr>
        <w:sectPr w:rsidR="00BE145E" w:rsidRPr="005E758A">
          <w:footerReference w:type="default" r:id="rId22"/>
          <w:endnotePr>
            <w:numFmt w:val="decimal"/>
            <w:numRestart w:val="eachSect"/>
          </w:endnotePr>
          <w:pgSz w:w="11906" w:h="16838"/>
          <w:pgMar w:top="1440" w:right="1800" w:bottom="1440" w:left="1800" w:header="851" w:footer="992" w:gutter="0"/>
          <w:cols w:space="425"/>
          <w:docGrid w:type="lines" w:linePitch="360"/>
        </w:sectPr>
      </w:pPr>
      <w:r w:rsidRPr="005E758A">
        <w:rPr>
          <w:sz w:val="28"/>
          <w:szCs w:val="28"/>
        </w:rPr>
        <w:t>關鍵詞：身心康復、重返社會、遭受疏忽、涉入司法、武裝衝突</w:t>
      </w:r>
    </w:p>
    <w:p w14:paraId="5B295DCB" w14:textId="77777777" w:rsidR="000F5857" w:rsidRPr="00F50913" w:rsidRDefault="00F50913" w:rsidP="00F50913">
      <w:pPr>
        <w:pStyle w:val="1"/>
      </w:pPr>
      <w:bookmarkStart w:id="109" w:name="_Toc427238536"/>
      <w:bookmarkStart w:id="110" w:name="_Toc431072756"/>
      <w:r w:rsidRPr="005E758A">
        <w:lastRenderedPageBreak/>
        <w:t>第</w:t>
      </w:r>
      <w:r w:rsidRPr="005E758A">
        <w:t>40</w:t>
      </w:r>
      <w:r w:rsidRPr="005E758A">
        <w:t>條</w:t>
      </w:r>
      <w:bookmarkEnd w:id="109"/>
      <w:r>
        <w:rPr>
          <w:rFonts w:hint="eastAsia"/>
        </w:rPr>
        <w:t xml:space="preserve">　刑事司法</w:t>
      </w:r>
      <w:bookmarkEnd w:id="110"/>
    </w:p>
    <w:tbl>
      <w:tblPr>
        <w:tblStyle w:val="af4"/>
        <w:tblW w:w="0" w:type="auto"/>
        <w:tblLook w:val="04A0" w:firstRow="1" w:lastRow="0" w:firstColumn="1" w:lastColumn="0" w:noHBand="0" w:noVBand="1"/>
      </w:tblPr>
      <w:tblGrid>
        <w:gridCol w:w="8296"/>
      </w:tblGrid>
      <w:tr w:rsidR="00F50913" w:rsidRPr="005E758A" w14:paraId="7D2EE053" w14:textId="77777777" w:rsidTr="002B035C">
        <w:tc>
          <w:tcPr>
            <w:tcW w:w="8362" w:type="dxa"/>
          </w:tcPr>
          <w:p w14:paraId="5D002A75" w14:textId="77777777" w:rsidR="00F50913" w:rsidRPr="005E758A" w:rsidRDefault="00F50913" w:rsidP="002B035C">
            <w:pPr>
              <w:pStyle w:val="a0"/>
              <w:numPr>
                <w:ilvl w:val="1"/>
                <w:numId w:val="1"/>
              </w:numPr>
              <w:snapToGrid w:val="0"/>
              <w:ind w:leftChars="0" w:left="357" w:hanging="357"/>
              <w:jc w:val="both"/>
              <w:rPr>
                <w:rFonts w:ascii="Times New Roman" w:eastAsia="標楷體" w:hAnsi="Times New Roman"/>
                <w:color w:val="333333"/>
                <w:sz w:val="28"/>
                <w:szCs w:val="28"/>
                <w:shd w:val="clear" w:color="auto" w:fill="FFFFFF"/>
              </w:rPr>
            </w:pPr>
            <w:r w:rsidRPr="005E758A">
              <w:rPr>
                <w:rFonts w:ascii="Times New Roman" w:eastAsia="標楷體" w:hAnsi="Times New Roman"/>
                <w:color w:val="333333"/>
                <w:sz w:val="28"/>
                <w:szCs w:val="28"/>
                <w:shd w:val="clear" w:color="auto" w:fill="FFFFFF"/>
              </w:rPr>
              <w:t>締約國對被指稱、指控或認為涉嫌觸犯刑事法律之兒童，應確認該等兒童有權獲得符合以下情況之待遇：依兒童之年齡與對其重返社會，並在社會承擔建設性角色之期待下，促進兒童之尊嚴及價值感，以增強其對他人之人權及基本自由之尊重。</w:t>
            </w:r>
          </w:p>
          <w:p w14:paraId="6A69B20D" w14:textId="77777777" w:rsidR="00F50913" w:rsidRPr="005E758A" w:rsidRDefault="00F50913" w:rsidP="002B035C">
            <w:pPr>
              <w:pStyle w:val="a0"/>
              <w:numPr>
                <w:ilvl w:val="1"/>
                <w:numId w:val="1"/>
              </w:numPr>
              <w:snapToGrid w:val="0"/>
              <w:ind w:leftChars="0" w:left="357" w:hanging="357"/>
              <w:jc w:val="both"/>
              <w:rPr>
                <w:rFonts w:ascii="Times New Roman" w:eastAsia="標楷體" w:hAnsi="Times New Roman"/>
                <w:sz w:val="28"/>
                <w:szCs w:val="28"/>
              </w:rPr>
            </w:pPr>
            <w:r w:rsidRPr="005E758A">
              <w:rPr>
                <w:rFonts w:ascii="Times New Roman" w:eastAsia="標楷體" w:hAnsi="Times New Roman"/>
                <w:color w:val="333333"/>
                <w:sz w:val="28"/>
                <w:szCs w:val="28"/>
                <w:shd w:val="clear" w:color="auto" w:fill="FFFFFF"/>
              </w:rPr>
              <w:t>為達此目的，並鑒於國際文件之相關規定，締約國尤應確保：</w:t>
            </w:r>
          </w:p>
          <w:p w14:paraId="73E09DF9" w14:textId="77777777" w:rsidR="00F50913" w:rsidRPr="005E758A" w:rsidRDefault="00F50913" w:rsidP="002B035C">
            <w:pPr>
              <w:pStyle w:val="a0"/>
              <w:numPr>
                <w:ilvl w:val="5"/>
                <w:numId w:val="1"/>
              </w:numPr>
              <w:snapToGrid w:val="0"/>
              <w:ind w:leftChars="0" w:left="714" w:hanging="357"/>
              <w:jc w:val="both"/>
              <w:rPr>
                <w:rFonts w:ascii="Times New Roman" w:eastAsia="標楷體" w:hAnsi="Times New Roman"/>
                <w:color w:val="333333"/>
                <w:sz w:val="28"/>
                <w:szCs w:val="28"/>
                <w:shd w:val="clear" w:color="auto" w:fill="FFFFFF"/>
              </w:rPr>
            </w:pPr>
            <w:r w:rsidRPr="005E758A">
              <w:rPr>
                <w:rFonts w:ascii="Times New Roman" w:eastAsia="標楷體" w:hAnsi="Times New Roman"/>
                <w:color w:val="333333"/>
                <w:sz w:val="28"/>
                <w:szCs w:val="28"/>
                <w:shd w:val="clear" w:color="auto" w:fill="FFFFFF"/>
              </w:rPr>
              <w:t>任何兒童，當其作為或不作為未經本國或國際法所禁止時，不得被指稱、指控或認為涉嫌觸犯刑事法律。</w:t>
            </w:r>
          </w:p>
          <w:p w14:paraId="0B193FF6" w14:textId="77777777" w:rsidR="00F50913" w:rsidRPr="005E758A" w:rsidRDefault="00F50913" w:rsidP="002B035C">
            <w:pPr>
              <w:pStyle w:val="a0"/>
              <w:numPr>
                <w:ilvl w:val="5"/>
                <w:numId w:val="1"/>
              </w:numPr>
              <w:snapToGrid w:val="0"/>
              <w:ind w:leftChars="0" w:left="714" w:hanging="357"/>
              <w:jc w:val="both"/>
              <w:rPr>
                <w:rFonts w:ascii="Times New Roman" w:eastAsia="標楷體" w:hAnsi="Times New Roman"/>
                <w:color w:val="333333"/>
                <w:sz w:val="28"/>
                <w:szCs w:val="28"/>
                <w:shd w:val="clear" w:color="auto" w:fill="FFFFFF"/>
              </w:rPr>
            </w:pPr>
            <w:r w:rsidRPr="005E758A">
              <w:rPr>
                <w:rFonts w:ascii="Times New Roman" w:eastAsia="標楷體" w:hAnsi="Times New Roman"/>
                <w:color w:val="333333"/>
                <w:sz w:val="28"/>
                <w:szCs w:val="28"/>
                <w:shd w:val="clear" w:color="auto" w:fill="FFFFFF"/>
              </w:rPr>
              <w:t>針對被指稱或指控觸犯刑事法律之兒童，至少應獲得下列保證：</w:t>
            </w:r>
          </w:p>
          <w:p w14:paraId="62B7866C" w14:textId="77777777" w:rsidR="00F50913" w:rsidRPr="005E758A" w:rsidRDefault="00F50913" w:rsidP="002B035C">
            <w:pPr>
              <w:pStyle w:val="a0"/>
              <w:numPr>
                <w:ilvl w:val="2"/>
                <w:numId w:val="27"/>
              </w:numPr>
              <w:snapToGrid w:val="0"/>
              <w:ind w:leftChars="0"/>
              <w:jc w:val="both"/>
              <w:rPr>
                <w:rFonts w:ascii="Times New Roman" w:eastAsia="標楷體" w:hAnsi="Times New Roman"/>
                <w:color w:val="333333"/>
                <w:sz w:val="28"/>
                <w:szCs w:val="28"/>
                <w:shd w:val="clear" w:color="auto" w:fill="FFFFFF"/>
              </w:rPr>
            </w:pPr>
            <w:r w:rsidRPr="005E758A">
              <w:rPr>
                <w:rFonts w:ascii="Times New Roman" w:eastAsia="標楷體" w:hAnsi="Times New Roman"/>
                <w:color w:val="333333"/>
                <w:sz w:val="28"/>
                <w:szCs w:val="28"/>
                <w:shd w:val="clear" w:color="auto" w:fill="FFFFFF"/>
              </w:rPr>
              <w:t>在依法判定有罪前，應推定為無罪；</w:t>
            </w:r>
          </w:p>
          <w:p w14:paraId="35ACD712" w14:textId="77777777" w:rsidR="00F50913" w:rsidRPr="005E758A" w:rsidRDefault="00F50913" w:rsidP="002B035C">
            <w:pPr>
              <w:pStyle w:val="a0"/>
              <w:numPr>
                <w:ilvl w:val="2"/>
                <w:numId w:val="27"/>
              </w:numPr>
              <w:snapToGrid w:val="0"/>
              <w:ind w:leftChars="0"/>
              <w:jc w:val="both"/>
              <w:rPr>
                <w:rFonts w:ascii="Times New Roman" w:eastAsia="標楷體" w:hAnsi="Times New Roman"/>
                <w:color w:val="333333"/>
                <w:sz w:val="28"/>
                <w:szCs w:val="28"/>
                <w:shd w:val="clear" w:color="auto" w:fill="FFFFFF"/>
              </w:rPr>
            </w:pPr>
            <w:r w:rsidRPr="005E758A">
              <w:rPr>
                <w:rFonts w:ascii="Times New Roman" w:eastAsia="標楷體" w:hAnsi="Times New Roman"/>
                <w:color w:val="333333"/>
                <w:sz w:val="28"/>
                <w:szCs w:val="28"/>
                <w:shd w:val="clear" w:color="auto" w:fill="FFFFFF"/>
              </w:rPr>
              <w:t>對其被控訴之罪名能夠迅速且直接地被告知，適當情況下經由父母或法定監護人告知本人，於準備與提出答辯時並獲得法律或其他適當之協助；</w:t>
            </w:r>
          </w:p>
          <w:p w14:paraId="42C38E5A" w14:textId="77777777" w:rsidR="00F50913" w:rsidRPr="005E758A" w:rsidRDefault="00F50913" w:rsidP="002B035C">
            <w:pPr>
              <w:pStyle w:val="a0"/>
              <w:numPr>
                <w:ilvl w:val="2"/>
                <w:numId w:val="27"/>
              </w:numPr>
              <w:snapToGrid w:val="0"/>
              <w:ind w:leftChars="0"/>
              <w:jc w:val="both"/>
              <w:rPr>
                <w:rFonts w:ascii="Times New Roman" w:eastAsia="標楷體" w:hAnsi="Times New Roman"/>
                <w:color w:val="333333"/>
                <w:sz w:val="28"/>
                <w:szCs w:val="28"/>
                <w:shd w:val="clear" w:color="auto" w:fill="FFFFFF"/>
              </w:rPr>
            </w:pPr>
            <w:r w:rsidRPr="005E758A">
              <w:rPr>
                <w:rFonts w:ascii="Times New Roman" w:eastAsia="標楷體" w:hAnsi="Times New Roman"/>
                <w:color w:val="333333"/>
                <w:sz w:val="28"/>
                <w:szCs w:val="28"/>
                <w:shd w:val="clear" w:color="auto" w:fill="FFFFFF"/>
              </w:rPr>
              <w:t>要求有權、獨立且公正之機關或司法機構迅速依法公正審理，兒童並應獲得法律或其他適當之協助，且其父母或法定監護人亦應在場，惟經特別考量兒童之年齡或狀</w:t>
            </w:r>
            <w:r w:rsidRPr="005E758A">
              <w:rPr>
                <w:rFonts w:ascii="Times New Roman" w:eastAsia="標楷體" w:hAnsi="Times New Roman"/>
                <w:color w:val="333333"/>
                <w:sz w:val="28"/>
                <w:szCs w:val="28"/>
                <w:shd w:val="clear" w:color="auto" w:fill="FFFFFF"/>
              </w:rPr>
              <w:t xml:space="preserve"> </w:t>
            </w:r>
            <w:r w:rsidRPr="005E758A">
              <w:rPr>
                <w:rFonts w:ascii="Times New Roman" w:eastAsia="標楷體" w:hAnsi="Times New Roman"/>
                <w:color w:val="333333"/>
                <w:sz w:val="28"/>
                <w:szCs w:val="28"/>
                <w:shd w:val="clear" w:color="auto" w:fill="FFFFFF"/>
              </w:rPr>
              <w:t>況認為其父母或法定監護人在場不符合兒童最佳利益者除外；</w:t>
            </w:r>
          </w:p>
          <w:p w14:paraId="6338F11A" w14:textId="77777777" w:rsidR="00F50913" w:rsidRPr="005E758A" w:rsidRDefault="00F50913" w:rsidP="002B035C">
            <w:pPr>
              <w:pStyle w:val="a0"/>
              <w:numPr>
                <w:ilvl w:val="2"/>
                <w:numId w:val="27"/>
              </w:numPr>
              <w:snapToGrid w:val="0"/>
              <w:ind w:leftChars="0"/>
              <w:jc w:val="both"/>
              <w:rPr>
                <w:rFonts w:ascii="Times New Roman" w:eastAsia="標楷體" w:hAnsi="Times New Roman"/>
                <w:color w:val="333333"/>
                <w:sz w:val="28"/>
                <w:szCs w:val="28"/>
                <w:shd w:val="clear" w:color="auto" w:fill="FFFFFF"/>
              </w:rPr>
            </w:pPr>
            <w:r w:rsidRPr="005E758A">
              <w:rPr>
                <w:rFonts w:ascii="Times New Roman" w:eastAsia="標楷體" w:hAnsi="Times New Roman"/>
                <w:color w:val="333333"/>
                <w:sz w:val="28"/>
                <w:szCs w:val="28"/>
                <w:shd w:val="clear" w:color="auto" w:fill="FFFFFF"/>
              </w:rPr>
              <w:t>不得被迫作證或認罪；可詰問或間接詰問對自身不利之證人，並且在平等之條件下，要求對自己有利的證人出庭並接受詰問；</w:t>
            </w:r>
          </w:p>
          <w:p w14:paraId="1A866D8E" w14:textId="77777777" w:rsidR="00F50913" w:rsidRPr="005E758A" w:rsidRDefault="00F50913" w:rsidP="002B035C">
            <w:pPr>
              <w:pStyle w:val="a0"/>
              <w:numPr>
                <w:ilvl w:val="2"/>
                <w:numId w:val="27"/>
              </w:numPr>
              <w:snapToGrid w:val="0"/>
              <w:ind w:leftChars="0"/>
              <w:jc w:val="both"/>
              <w:rPr>
                <w:rFonts w:ascii="Times New Roman" w:eastAsia="標楷體" w:hAnsi="Times New Roman"/>
                <w:color w:val="333333"/>
                <w:sz w:val="28"/>
                <w:szCs w:val="28"/>
                <w:shd w:val="clear" w:color="auto" w:fill="FFFFFF"/>
              </w:rPr>
            </w:pPr>
            <w:r w:rsidRPr="005E758A">
              <w:rPr>
                <w:rFonts w:ascii="Times New Roman" w:eastAsia="標楷體" w:hAnsi="Times New Roman"/>
                <w:color w:val="333333"/>
                <w:sz w:val="28"/>
                <w:szCs w:val="28"/>
                <w:shd w:val="clear" w:color="auto" w:fill="FFFFFF"/>
              </w:rPr>
              <w:t>若經認定觸犯刑事法律，對該認定及因此所衍生之處置，有權要求較高層級之權責、獨立、公正機關或司法機關依法再為審查；</w:t>
            </w:r>
          </w:p>
          <w:p w14:paraId="3225A4C6" w14:textId="77777777" w:rsidR="00F50913" w:rsidRPr="005E758A" w:rsidRDefault="00F50913" w:rsidP="002B035C">
            <w:pPr>
              <w:pStyle w:val="a0"/>
              <w:numPr>
                <w:ilvl w:val="2"/>
                <w:numId w:val="27"/>
              </w:numPr>
              <w:snapToGrid w:val="0"/>
              <w:ind w:leftChars="0"/>
              <w:jc w:val="both"/>
              <w:rPr>
                <w:rFonts w:ascii="Times New Roman" w:eastAsia="標楷體" w:hAnsi="Times New Roman"/>
                <w:color w:val="333333"/>
                <w:sz w:val="28"/>
                <w:szCs w:val="28"/>
                <w:shd w:val="clear" w:color="auto" w:fill="FFFFFF"/>
              </w:rPr>
            </w:pPr>
            <w:r w:rsidRPr="005E758A">
              <w:rPr>
                <w:rFonts w:ascii="Times New Roman" w:eastAsia="標楷體" w:hAnsi="Times New Roman"/>
                <w:color w:val="333333"/>
                <w:sz w:val="28"/>
                <w:szCs w:val="28"/>
                <w:shd w:val="clear" w:color="auto" w:fill="FFFFFF"/>
              </w:rPr>
              <w:t>若使用兒童不瞭解或不會說之語言，應提供免費之通譯；</w:t>
            </w:r>
          </w:p>
          <w:p w14:paraId="692EFEA4" w14:textId="77777777" w:rsidR="00F50913" w:rsidRPr="005E758A" w:rsidRDefault="00F50913" w:rsidP="002B035C">
            <w:pPr>
              <w:pStyle w:val="a0"/>
              <w:numPr>
                <w:ilvl w:val="2"/>
                <w:numId w:val="27"/>
              </w:numPr>
              <w:snapToGrid w:val="0"/>
              <w:ind w:leftChars="0"/>
              <w:jc w:val="both"/>
              <w:rPr>
                <w:rFonts w:ascii="Times New Roman" w:eastAsia="標楷體" w:hAnsi="Times New Roman"/>
                <w:color w:val="333333"/>
                <w:sz w:val="28"/>
                <w:szCs w:val="28"/>
                <w:shd w:val="clear" w:color="auto" w:fill="FFFFFF"/>
              </w:rPr>
            </w:pPr>
            <w:r w:rsidRPr="005E758A">
              <w:rPr>
                <w:rFonts w:ascii="Times New Roman" w:eastAsia="標楷體" w:hAnsi="Times New Roman"/>
                <w:color w:val="333333"/>
                <w:sz w:val="28"/>
                <w:szCs w:val="28"/>
                <w:shd w:val="clear" w:color="auto" w:fill="FFFFFF"/>
              </w:rPr>
              <w:t>在前開程序之所有過程中，應充分尊重兒童之隱私。</w:t>
            </w:r>
          </w:p>
          <w:p w14:paraId="4AEBDB0E" w14:textId="77777777" w:rsidR="00F50913" w:rsidRPr="005E758A" w:rsidRDefault="00F50913" w:rsidP="002B035C">
            <w:pPr>
              <w:pStyle w:val="a0"/>
              <w:numPr>
                <w:ilvl w:val="1"/>
                <w:numId w:val="1"/>
              </w:numPr>
              <w:snapToGrid w:val="0"/>
              <w:ind w:leftChars="0" w:left="357" w:hanging="357"/>
              <w:jc w:val="both"/>
              <w:rPr>
                <w:rFonts w:ascii="Times New Roman" w:eastAsia="標楷體" w:hAnsi="Times New Roman"/>
                <w:color w:val="333333"/>
                <w:sz w:val="28"/>
                <w:szCs w:val="28"/>
                <w:shd w:val="clear" w:color="auto" w:fill="FFFFFF"/>
              </w:rPr>
            </w:pPr>
            <w:r w:rsidRPr="005E758A">
              <w:rPr>
                <w:rFonts w:ascii="Times New Roman" w:eastAsia="標楷體" w:hAnsi="Times New Roman"/>
                <w:color w:val="333333"/>
                <w:sz w:val="28"/>
                <w:szCs w:val="28"/>
                <w:shd w:val="clear" w:color="auto" w:fill="FFFFFF"/>
              </w:rPr>
              <w:t>締約國對於被指稱、指控或確認為觸犯刑事法律之兒童，應特別設置適用之法律、程序、機關與機構，尤應：</w:t>
            </w:r>
          </w:p>
          <w:p w14:paraId="553F7D21" w14:textId="77777777" w:rsidR="00F50913" w:rsidRPr="005E758A" w:rsidRDefault="00F50913" w:rsidP="002B035C">
            <w:pPr>
              <w:pStyle w:val="a0"/>
              <w:numPr>
                <w:ilvl w:val="5"/>
                <w:numId w:val="1"/>
              </w:numPr>
              <w:snapToGrid w:val="0"/>
              <w:ind w:leftChars="0" w:left="714" w:hanging="357"/>
              <w:jc w:val="both"/>
              <w:rPr>
                <w:rFonts w:ascii="Times New Roman" w:eastAsia="標楷體" w:hAnsi="Times New Roman"/>
                <w:color w:val="333333"/>
                <w:sz w:val="28"/>
                <w:szCs w:val="28"/>
                <w:shd w:val="clear" w:color="auto" w:fill="FFFFFF"/>
              </w:rPr>
            </w:pPr>
            <w:r w:rsidRPr="005E758A">
              <w:rPr>
                <w:rFonts w:ascii="Times New Roman" w:eastAsia="標楷體" w:hAnsi="Times New Roman"/>
                <w:color w:val="333333"/>
                <w:sz w:val="28"/>
                <w:szCs w:val="28"/>
                <w:shd w:val="clear" w:color="auto" w:fill="FFFFFF"/>
              </w:rPr>
              <w:t>規定無觸犯刑事能力之最低</w:t>
            </w:r>
            <w:r w:rsidRPr="005E758A">
              <w:rPr>
                <w:rFonts w:ascii="Times New Roman" w:eastAsia="標楷體" w:hAnsi="Times New Roman"/>
                <w:color w:val="333333"/>
                <w:sz w:val="28"/>
                <w:szCs w:val="28"/>
              </w:rPr>
              <w:t>年齡</w:t>
            </w:r>
            <w:r w:rsidRPr="005E758A">
              <w:rPr>
                <w:rFonts w:ascii="Times New Roman" w:eastAsia="標楷體" w:hAnsi="Times New Roman"/>
                <w:color w:val="333333"/>
                <w:sz w:val="28"/>
                <w:szCs w:val="28"/>
                <w:shd w:val="clear" w:color="auto" w:fill="FFFFFF"/>
              </w:rPr>
              <w:t>；</w:t>
            </w:r>
          </w:p>
          <w:p w14:paraId="7FB03B0B" w14:textId="77777777" w:rsidR="00F50913" w:rsidRPr="005E758A" w:rsidRDefault="00F50913" w:rsidP="002B035C">
            <w:pPr>
              <w:pStyle w:val="a0"/>
              <w:numPr>
                <w:ilvl w:val="5"/>
                <w:numId w:val="1"/>
              </w:numPr>
              <w:snapToGrid w:val="0"/>
              <w:ind w:leftChars="0" w:left="714" w:hanging="357"/>
              <w:jc w:val="both"/>
              <w:rPr>
                <w:rFonts w:ascii="Times New Roman" w:eastAsia="標楷體" w:hAnsi="Times New Roman"/>
                <w:color w:val="333333"/>
                <w:sz w:val="28"/>
                <w:szCs w:val="28"/>
                <w:shd w:val="clear" w:color="auto" w:fill="FFFFFF"/>
              </w:rPr>
            </w:pPr>
            <w:r w:rsidRPr="005E758A">
              <w:rPr>
                <w:rFonts w:ascii="Times New Roman" w:eastAsia="標楷體" w:hAnsi="Times New Roman"/>
                <w:color w:val="333333"/>
                <w:sz w:val="28"/>
                <w:szCs w:val="28"/>
                <w:shd w:val="clear" w:color="auto" w:fill="FFFFFF"/>
              </w:rPr>
              <w:t>於適當與必要時，制定不對此等兒童訴諸司法程序之措施，惟須充分尊重人權及法律保障。</w:t>
            </w:r>
          </w:p>
          <w:p w14:paraId="26D60FF5" w14:textId="77777777" w:rsidR="00F50913" w:rsidRPr="005E758A" w:rsidRDefault="00F50913" w:rsidP="002B035C">
            <w:pPr>
              <w:pStyle w:val="a0"/>
              <w:numPr>
                <w:ilvl w:val="1"/>
                <w:numId w:val="1"/>
              </w:numPr>
              <w:snapToGrid w:val="0"/>
              <w:ind w:leftChars="0" w:left="357" w:hanging="357"/>
              <w:jc w:val="both"/>
              <w:rPr>
                <w:rFonts w:ascii="Times New Roman" w:hAnsi="Times New Roman"/>
                <w:color w:val="333333"/>
                <w:sz w:val="28"/>
                <w:szCs w:val="28"/>
                <w:shd w:val="clear" w:color="auto" w:fill="FFFFFF"/>
              </w:rPr>
            </w:pPr>
            <w:r w:rsidRPr="005E758A">
              <w:rPr>
                <w:rFonts w:ascii="Times New Roman" w:eastAsia="標楷體" w:hAnsi="Times New Roman"/>
                <w:color w:val="333333"/>
                <w:sz w:val="28"/>
                <w:szCs w:val="28"/>
                <w:shd w:val="clear" w:color="auto" w:fill="FFFFFF"/>
              </w:rPr>
              <w:t>為確保兒童福祉，並合乎其自身狀況與違法情事，應採行多樣化之處置，例如照顧、輔導或監督裁定、諮商輔導、觀護、寄養照顧、教育或職業培訓方案及其他替代機構照顧之方式。</w:t>
            </w:r>
          </w:p>
        </w:tc>
      </w:tr>
    </w:tbl>
    <w:p w14:paraId="0A60C472" w14:textId="77777777" w:rsidR="00F50913" w:rsidRPr="00F50913" w:rsidRDefault="00F50913" w:rsidP="000F5857">
      <w:pPr>
        <w:rPr>
          <w:sz w:val="28"/>
        </w:rPr>
      </w:pPr>
    </w:p>
    <w:p w14:paraId="3D5CF94B" w14:textId="77777777" w:rsidR="000F5857" w:rsidRPr="005E758A" w:rsidRDefault="000F5857" w:rsidP="00F02A5C">
      <w:pPr>
        <w:pStyle w:val="2"/>
        <w:numPr>
          <w:ilvl w:val="0"/>
          <w:numId w:val="193"/>
        </w:numPr>
      </w:pPr>
      <w:r w:rsidRPr="005E758A">
        <w:lastRenderedPageBreak/>
        <w:t>規範宗旨</w:t>
      </w:r>
    </w:p>
    <w:p w14:paraId="32D48EB5" w14:textId="77777777" w:rsidR="000F5857" w:rsidRPr="005E758A" w:rsidRDefault="000F5857" w:rsidP="000F5857">
      <w:pPr>
        <w:snapToGrid w:val="0"/>
        <w:spacing w:before="100" w:beforeAutospacing="1" w:after="100" w:afterAutospacing="1"/>
        <w:ind w:firstLineChars="200" w:firstLine="560"/>
        <w:jc w:val="both"/>
        <w:rPr>
          <w:sz w:val="28"/>
          <w:szCs w:val="28"/>
        </w:rPr>
      </w:pPr>
      <w:r w:rsidRPr="005E758A">
        <w:rPr>
          <w:sz w:val="28"/>
          <w:szCs w:val="28"/>
        </w:rPr>
        <w:t>自兒童被指稱涉嫌觸法起，包括調查、逮捕、審判前程序、開庭與宣判等司法階段皆有本條之適用。本公約規定了一整套對待觸法兒童的基本原則：符合兒童尊嚴和價值感的待遇。這項原則體現了世界人權宣言第</w:t>
      </w:r>
      <w:r w:rsidRPr="005E758A">
        <w:rPr>
          <w:sz w:val="28"/>
          <w:szCs w:val="28"/>
        </w:rPr>
        <w:t>1</w:t>
      </w:r>
      <w:r w:rsidRPr="005E758A">
        <w:rPr>
          <w:sz w:val="28"/>
          <w:szCs w:val="28"/>
        </w:rPr>
        <w:t>條所載的基本人權，該條闡明：「人人生而自由，在尊嚴和權利上一律平等」。這是享有尊嚴和價值的固有權利。本公約序言明確提及，從與執法機構接觸即刻起，在整個處置兒童的過程中，直至落實所有涉及兒童的措施方面，都必須尊重和保護這項固有的權利。</w:t>
      </w:r>
    </w:p>
    <w:p w14:paraId="1F739524" w14:textId="77777777" w:rsidR="000F5857" w:rsidRPr="005E758A" w:rsidRDefault="000F5857" w:rsidP="000F5857">
      <w:pPr>
        <w:snapToGrid w:val="0"/>
        <w:spacing w:before="100" w:beforeAutospacing="1" w:after="100" w:afterAutospacing="1"/>
        <w:ind w:firstLineChars="200" w:firstLine="560"/>
        <w:jc w:val="both"/>
        <w:rPr>
          <w:sz w:val="28"/>
          <w:szCs w:val="28"/>
        </w:rPr>
      </w:pPr>
      <w:r w:rsidRPr="005E758A">
        <w:rPr>
          <w:sz w:val="28"/>
          <w:szCs w:val="28"/>
        </w:rPr>
        <w:t>兒童權利委員會指出公約要求各國制定一「完整之少年犯罪司法政策」</w:t>
      </w:r>
      <w:r w:rsidRPr="005E758A">
        <w:rPr>
          <w:sz w:val="28"/>
          <w:szCs w:val="28"/>
        </w:rPr>
        <w:t>(a comprehensive juvenile justice policy)</w:t>
      </w:r>
      <w:r w:rsidRPr="005E758A">
        <w:rPr>
          <w:sz w:val="28"/>
          <w:szCs w:val="28"/>
        </w:rPr>
        <w:t>，且其內容不應侷限於本條與第</w:t>
      </w:r>
      <w:r w:rsidRPr="005E758A">
        <w:rPr>
          <w:sz w:val="28"/>
          <w:szCs w:val="28"/>
        </w:rPr>
        <w:t>37</w:t>
      </w:r>
      <w:r w:rsidRPr="005E758A">
        <w:rPr>
          <w:sz w:val="28"/>
          <w:szCs w:val="28"/>
        </w:rPr>
        <w:t>條所列之項目，亦應同時考量公約第</w:t>
      </w:r>
      <w:r w:rsidRPr="005E758A">
        <w:rPr>
          <w:sz w:val="28"/>
          <w:szCs w:val="28"/>
        </w:rPr>
        <w:t>2</w:t>
      </w:r>
      <w:r w:rsidRPr="005E758A">
        <w:rPr>
          <w:sz w:val="28"/>
          <w:szCs w:val="28"/>
        </w:rPr>
        <w:t>條、第</w:t>
      </w:r>
      <w:r w:rsidRPr="005E758A">
        <w:rPr>
          <w:sz w:val="28"/>
          <w:szCs w:val="28"/>
        </w:rPr>
        <w:t>3</w:t>
      </w:r>
      <w:r w:rsidRPr="005E758A">
        <w:rPr>
          <w:sz w:val="28"/>
          <w:szCs w:val="28"/>
        </w:rPr>
        <w:t>條、第</w:t>
      </w:r>
      <w:r w:rsidRPr="005E758A">
        <w:rPr>
          <w:sz w:val="28"/>
          <w:szCs w:val="28"/>
        </w:rPr>
        <w:t>6</w:t>
      </w:r>
      <w:r w:rsidRPr="005E758A">
        <w:rPr>
          <w:sz w:val="28"/>
          <w:szCs w:val="28"/>
        </w:rPr>
        <w:t>條與第</w:t>
      </w:r>
      <w:r w:rsidRPr="005E758A">
        <w:rPr>
          <w:sz w:val="28"/>
          <w:szCs w:val="28"/>
        </w:rPr>
        <w:t>12</w:t>
      </w:r>
      <w:r w:rsidRPr="005E758A">
        <w:rPr>
          <w:sz w:val="28"/>
          <w:szCs w:val="28"/>
        </w:rPr>
        <w:t>條之</w:t>
      </w:r>
      <w:r w:rsidRPr="005E758A">
        <w:rPr>
          <w:sz w:val="28"/>
          <w:szCs w:val="28"/>
        </w:rPr>
        <w:t>4</w:t>
      </w:r>
      <w:r w:rsidRPr="005E758A">
        <w:rPr>
          <w:sz w:val="28"/>
          <w:szCs w:val="28"/>
        </w:rPr>
        <w:t>項一般性原則，以及第</w:t>
      </w:r>
      <w:r w:rsidRPr="005E758A">
        <w:rPr>
          <w:sz w:val="28"/>
          <w:szCs w:val="28"/>
        </w:rPr>
        <w:t>4</w:t>
      </w:r>
      <w:r w:rsidRPr="005E758A">
        <w:rPr>
          <w:sz w:val="28"/>
          <w:szCs w:val="28"/>
        </w:rPr>
        <w:t>條</w:t>
      </w:r>
      <w:r w:rsidRPr="005E758A">
        <w:rPr>
          <w:sz w:val="28"/>
          <w:szCs w:val="28"/>
        </w:rPr>
        <w:t>(</w:t>
      </w:r>
      <w:r w:rsidRPr="005E758A">
        <w:rPr>
          <w:sz w:val="28"/>
          <w:szCs w:val="28"/>
        </w:rPr>
        <w:t>國家落實義務</w:t>
      </w:r>
      <w:r w:rsidRPr="005E758A">
        <w:rPr>
          <w:sz w:val="28"/>
          <w:szCs w:val="28"/>
        </w:rPr>
        <w:t>)</w:t>
      </w:r>
      <w:r w:rsidRPr="005E758A">
        <w:rPr>
          <w:sz w:val="28"/>
          <w:szCs w:val="28"/>
        </w:rPr>
        <w:t>及第</w:t>
      </w:r>
      <w:r w:rsidRPr="005E758A">
        <w:rPr>
          <w:sz w:val="28"/>
          <w:szCs w:val="28"/>
        </w:rPr>
        <w:t>39</w:t>
      </w:r>
      <w:r w:rsidRPr="005E758A">
        <w:rPr>
          <w:sz w:val="28"/>
          <w:szCs w:val="28"/>
        </w:rPr>
        <w:t>條</w:t>
      </w:r>
      <w:r w:rsidRPr="005E758A">
        <w:rPr>
          <w:sz w:val="28"/>
          <w:szCs w:val="28"/>
        </w:rPr>
        <w:t>(</w:t>
      </w:r>
      <w:r w:rsidRPr="005E758A">
        <w:rPr>
          <w:sz w:val="28"/>
          <w:szCs w:val="28"/>
        </w:rPr>
        <w:t>被害兒童之身心回復與重返社會</w:t>
      </w:r>
      <w:r w:rsidRPr="005E758A">
        <w:rPr>
          <w:sz w:val="28"/>
          <w:szCs w:val="28"/>
        </w:rPr>
        <w:t>)</w:t>
      </w:r>
      <w:r w:rsidRPr="005E758A">
        <w:rPr>
          <w:sz w:val="28"/>
          <w:szCs w:val="28"/>
        </w:rPr>
        <w:t>等相關條款</w:t>
      </w:r>
      <w:bookmarkStart w:id="111" w:name="_Ref427238125"/>
      <w:r w:rsidRPr="005E758A">
        <w:rPr>
          <w:rStyle w:val="af3"/>
          <w:szCs w:val="28"/>
        </w:rPr>
        <w:endnoteReference w:id="541"/>
      </w:r>
      <w:bookmarkEnd w:id="111"/>
      <w:r w:rsidRPr="005E758A">
        <w:rPr>
          <w:sz w:val="28"/>
          <w:szCs w:val="28"/>
        </w:rPr>
        <w:t>。</w:t>
      </w:r>
    </w:p>
    <w:p w14:paraId="302D4252" w14:textId="77777777" w:rsidR="000F5857" w:rsidRPr="005E758A" w:rsidRDefault="000F5857" w:rsidP="00F02A5C">
      <w:pPr>
        <w:pStyle w:val="2"/>
        <w:numPr>
          <w:ilvl w:val="0"/>
          <w:numId w:val="193"/>
        </w:numPr>
      </w:pPr>
      <w:r w:rsidRPr="005E758A">
        <w:t>條文要義</w:t>
      </w:r>
    </w:p>
    <w:p w14:paraId="53561F20" w14:textId="77777777" w:rsidR="000F5857" w:rsidRPr="005E758A" w:rsidRDefault="000F5857" w:rsidP="00F02A5C">
      <w:pPr>
        <w:pStyle w:val="3"/>
        <w:numPr>
          <w:ilvl w:val="0"/>
          <w:numId w:val="194"/>
        </w:numPr>
      </w:pPr>
      <w:r w:rsidRPr="005E758A">
        <w:t>第</w:t>
      </w:r>
      <w:r w:rsidRPr="005E758A">
        <w:t>40</w:t>
      </w:r>
      <w:r w:rsidRPr="005E758A">
        <w:t>條第</w:t>
      </w:r>
      <w:r w:rsidRPr="005E758A">
        <w:t>1</w:t>
      </w:r>
      <w:r w:rsidRPr="005E758A">
        <w:t>項</w:t>
      </w:r>
    </w:p>
    <w:p w14:paraId="29F4F893" w14:textId="77777777" w:rsidR="000F5857" w:rsidRPr="005E758A" w:rsidRDefault="000F5857" w:rsidP="000F5857">
      <w:pPr>
        <w:snapToGrid w:val="0"/>
        <w:spacing w:before="100" w:beforeAutospacing="1" w:after="100" w:afterAutospacing="1"/>
        <w:ind w:firstLineChars="200" w:firstLine="560"/>
        <w:jc w:val="both"/>
        <w:rPr>
          <w:sz w:val="28"/>
        </w:rPr>
      </w:pPr>
      <w:r w:rsidRPr="005E758A">
        <w:rPr>
          <w:sz w:val="28"/>
        </w:rPr>
        <w:t>本條第</w:t>
      </w:r>
      <w:r w:rsidRPr="005E758A">
        <w:rPr>
          <w:sz w:val="28"/>
        </w:rPr>
        <w:t>1</w:t>
      </w:r>
      <w:r w:rsidRPr="005E758A">
        <w:rPr>
          <w:sz w:val="28"/>
        </w:rPr>
        <w:t>項係以建置一「正面與身心重建為目標」之少年司法體系為基本理念。本條第</w:t>
      </w:r>
      <w:r w:rsidRPr="005E758A">
        <w:rPr>
          <w:sz w:val="28"/>
        </w:rPr>
        <w:t>1</w:t>
      </w:r>
      <w:r w:rsidRPr="005E758A">
        <w:rPr>
          <w:sz w:val="28"/>
        </w:rPr>
        <w:t>項與第</w:t>
      </w:r>
      <w:r w:rsidRPr="005E758A">
        <w:rPr>
          <w:sz w:val="28"/>
        </w:rPr>
        <w:t>3</w:t>
      </w:r>
      <w:r w:rsidRPr="005E758A">
        <w:rPr>
          <w:sz w:val="28"/>
        </w:rPr>
        <w:t>項、第</w:t>
      </w:r>
      <w:r w:rsidRPr="005E758A">
        <w:rPr>
          <w:sz w:val="28"/>
        </w:rPr>
        <w:t>4</w:t>
      </w:r>
      <w:r w:rsidRPr="005E758A">
        <w:rPr>
          <w:sz w:val="28"/>
        </w:rPr>
        <w:t>項相互連結，強調將較年幼之兒童排除於刑事責任外之重要性，以及盡可能不對兒童訴諸司法程序之措施並以其他方式替代機構式處置。畢竟司法處置非一般人之生活常態，且涉及人身之拘束及種種限制，對兒童的成長沒有正面作用。</w:t>
      </w:r>
    </w:p>
    <w:p w14:paraId="35F0F319" w14:textId="77777777" w:rsidR="000F5857" w:rsidRPr="005E758A" w:rsidRDefault="000F5857" w:rsidP="00F02A5C">
      <w:pPr>
        <w:pStyle w:val="3"/>
        <w:numPr>
          <w:ilvl w:val="0"/>
          <w:numId w:val="194"/>
        </w:numPr>
      </w:pPr>
      <w:r w:rsidRPr="005E758A">
        <w:t>第</w:t>
      </w:r>
      <w:r w:rsidRPr="005E758A">
        <w:t>40</w:t>
      </w:r>
      <w:r w:rsidRPr="005E758A">
        <w:t>條第</w:t>
      </w:r>
      <w:r w:rsidRPr="005E758A">
        <w:t>2</w:t>
      </w:r>
      <w:r w:rsidRPr="005E758A">
        <w:t>項</w:t>
      </w:r>
    </w:p>
    <w:p w14:paraId="77AADBCC" w14:textId="77777777" w:rsidR="000F5857" w:rsidRPr="005E758A" w:rsidRDefault="000F5857" w:rsidP="000F5857">
      <w:pPr>
        <w:snapToGrid w:val="0"/>
        <w:spacing w:before="100" w:beforeAutospacing="1" w:after="100" w:afterAutospacing="1"/>
        <w:ind w:firstLineChars="200" w:firstLine="560"/>
        <w:jc w:val="both"/>
        <w:rPr>
          <w:sz w:val="28"/>
          <w:szCs w:val="28"/>
        </w:rPr>
      </w:pPr>
      <w:r w:rsidRPr="005E758A">
        <w:rPr>
          <w:sz w:val="28"/>
          <w:szCs w:val="28"/>
        </w:rPr>
        <w:t>第</w:t>
      </w:r>
      <w:r w:rsidRPr="005E758A">
        <w:rPr>
          <w:sz w:val="28"/>
          <w:szCs w:val="28"/>
        </w:rPr>
        <w:t>1</w:t>
      </w:r>
      <w:r w:rsidRPr="005E758A">
        <w:rPr>
          <w:sz w:val="28"/>
          <w:szCs w:val="28"/>
        </w:rPr>
        <w:t>款有關「任何兒童，當其作為或不作為未經本國或國際法所禁止時，不得被指稱、指控或認為涉嫌觸犯刑事法律」，兒童權利委員會於第</w:t>
      </w:r>
      <w:r w:rsidRPr="005E758A">
        <w:rPr>
          <w:sz w:val="28"/>
          <w:szCs w:val="28"/>
        </w:rPr>
        <w:t>10</w:t>
      </w:r>
      <w:r w:rsidRPr="005E758A">
        <w:rPr>
          <w:sz w:val="28"/>
          <w:szCs w:val="28"/>
        </w:rPr>
        <w:t>號一般性意見指出許多國家之刑事法律仍對未成年人「遊蕩、逃學、逃家」等虞犯行為有所規範；然考量該等行為之肇因多與社會經濟及心理狀態有關。再由於所謂</w:t>
      </w:r>
      <w:r w:rsidR="003B6411" w:rsidRPr="005E758A">
        <w:rPr>
          <w:sz w:val="28"/>
          <w:szCs w:val="28"/>
        </w:rPr>
        <w:t>遊蕩、逃學、逃家</w:t>
      </w:r>
      <w:r w:rsidR="003B6411">
        <w:rPr>
          <w:rFonts w:hint="eastAsia"/>
          <w:sz w:val="28"/>
          <w:szCs w:val="28"/>
        </w:rPr>
        <w:t>之</w:t>
      </w:r>
      <w:r w:rsidRPr="005E758A">
        <w:rPr>
          <w:sz w:val="28"/>
          <w:szCs w:val="28"/>
        </w:rPr>
        <w:t>虞犯</w:t>
      </w:r>
      <w:r w:rsidR="003B6411">
        <w:rPr>
          <w:rFonts w:hint="eastAsia"/>
          <w:sz w:val="28"/>
          <w:szCs w:val="28"/>
        </w:rPr>
        <w:t>規定</w:t>
      </w:r>
      <w:r w:rsidRPr="005E758A">
        <w:rPr>
          <w:sz w:val="28"/>
          <w:szCs w:val="28"/>
        </w:rPr>
        <w:t>，</w:t>
      </w:r>
      <w:r w:rsidR="003B6411">
        <w:rPr>
          <w:rFonts w:hint="eastAsia"/>
          <w:sz w:val="28"/>
          <w:szCs w:val="28"/>
        </w:rPr>
        <w:t>影響</w:t>
      </w:r>
      <w:r w:rsidRPr="005E758A">
        <w:rPr>
          <w:sz w:val="28"/>
          <w:szCs w:val="28"/>
        </w:rPr>
        <w:t>對象多為街童</w:t>
      </w:r>
      <w:r w:rsidRPr="005E758A">
        <w:rPr>
          <w:sz w:val="28"/>
          <w:szCs w:val="28"/>
        </w:rPr>
        <w:t>(street children)</w:t>
      </w:r>
      <w:r w:rsidRPr="005E758A">
        <w:rPr>
          <w:sz w:val="28"/>
          <w:szCs w:val="28"/>
        </w:rPr>
        <w:t>、女童、身障兒童、原住民兒童等弱勢群體，將其列為虞犯，有汙名化之意涵。更何況，基於平等權的考量，成年人不為罪或處罰的行為，對兒童而言，亦應平等對待，不構成犯罪或予以處罰。兒童權利委員會建議應廢除與此相關之內國</w:t>
      </w:r>
      <w:r w:rsidRPr="005E758A">
        <w:rPr>
          <w:sz w:val="28"/>
          <w:szCs w:val="28"/>
        </w:rPr>
        <w:lastRenderedPageBreak/>
        <w:t>刑罰法令</w:t>
      </w:r>
      <w:r w:rsidRPr="005E758A">
        <w:rPr>
          <w:rStyle w:val="af3"/>
          <w:szCs w:val="28"/>
        </w:rPr>
        <w:endnoteReference w:id="542"/>
      </w:r>
      <w:r w:rsidRPr="005E758A">
        <w:rPr>
          <w:sz w:val="28"/>
          <w:szCs w:val="28"/>
        </w:rPr>
        <w:t>。遊蕩、逃學及逃家問題的兒童，應以其他方法處理，例如針對問題的根源，提供父母有效的支援等</w:t>
      </w:r>
      <w:r w:rsidRPr="005E758A">
        <w:rPr>
          <w:rStyle w:val="af3"/>
          <w:szCs w:val="28"/>
        </w:rPr>
        <w:endnoteReference w:id="543"/>
      </w:r>
      <w:r w:rsidRPr="005E758A">
        <w:rPr>
          <w:sz w:val="28"/>
          <w:szCs w:val="28"/>
        </w:rPr>
        <w:t>。</w:t>
      </w:r>
    </w:p>
    <w:p w14:paraId="70BF1984" w14:textId="77777777" w:rsidR="000F5857" w:rsidRPr="005E758A" w:rsidRDefault="000F5857" w:rsidP="000F5857">
      <w:pPr>
        <w:snapToGrid w:val="0"/>
        <w:spacing w:before="100" w:beforeAutospacing="1" w:after="100" w:afterAutospacing="1"/>
        <w:ind w:firstLineChars="200" w:firstLine="560"/>
        <w:jc w:val="both"/>
        <w:rPr>
          <w:sz w:val="28"/>
        </w:rPr>
      </w:pPr>
      <w:r w:rsidRPr="005E758A">
        <w:rPr>
          <w:sz w:val="28"/>
        </w:rPr>
        <w:t>第</w:t>
      </w:r>
      <w:r w:rsidRPr="005E758A">
        <w:rPr>
          <w:sz w:val="28"/>
        </w:rPr>
        <w:t>2</w:t>
      </w:r>
      <w:r w:rsidRPr="005E758A">
        <w:rPr>
          <w:sz w:val="28"/>
        </w:rPr>
        <w:t>款有關「被指稱或指控觸犯刑事法律之兒童」所應獲得之保障，兒童權利委員會於第</w:t>
      </w:r>
      <w:r w:rsidRPr="005E758A">
        <w:rPr>
          <w:sz w:val="28"/>
        </w:rPr>
        <w:t>10</w:t>
      </w:r>
      <w:r w:rsidRPr="005E758A">
        <w:rPr>
          <w:sz w:val="28"/>
        </w:rPr>
        <w:t>號一般性意見中對於本款所列之</w:t>
      </w:r>
      <w:r w:rsidR="003B6411">
        <w:rPr>
          <w:rFonts w:hint="eastAsia"/>
          <w:sz w:val="28"/>
        </w:rPr>
        <w:t>7</w:t>
      </w:r>
      <w:r w:rsidRPr="005E758A">
        <w:rPr>
          <w:sz w:val="28"/>
        </w:rPr>
        <w:t>項保障提出更詳盡之解釋，說明如下：</w:t>
      </w:r>
    </w:p>
    <w:p w14:paraId="6E42D942" w14:textId="77777777" w:rsidR="000F5857" w:rsidRPr="005E758A" w:rsidRDefault="000F5857" w:rsidP="00F02A5C">
      <w:pPr>
        <w:pStyle w:val="4"/>
        <w:numPr>
          <w:ilvl w:val="0"/>
          <w:numId w:val="192"/>
        </w:numPr>
        <w:ind w:left="1315" w:hanging="357"/>
      </w:pPr>
      <w:r w:rsidRPr="005E758A">
        <w:t>第</w:t>
      </w:r>
      <w:r w:rsidRPr="005E758A">
        <w:t>1</w:t>
      </w:r>
      <w:r w:rsidRPr="005E758A">
        <w:t>目有關「在依法判定有罪前，應被認定為無罪」之規定</w:t>
      </w:r>
    </w:p>
    <w:p w14:paraId="1595A002" w14:textId="77777777" w:rsidR="000F5857" w:rsidRPr="005E758A" w:rsidRDefault="000F5857" w:rsidP="000F5857">
      <w:pPr>
        <w:snapToGrid w:val="0"/>
        <w:spacing w:before="100" w:beforeAutospacing="1" w:after="100" w:afterAutospacing="1"/>
        <w:ind w:firstLineChars="200" w:firstLine="560"/>
        <w:jc w:val="both"/>
        <w:rPr>
          <w:sz w:val="28"/>
          <w:szCs w:val="28"/>
        </w:rPr>
      </w:pPr>
      <w:r w:rsidRPr="005E758A">
        <w:rPr>
          <w:sz w:val="28"/>
          <w:szCs w:val="28"/>
        </w:rPr>
        <w:t>儘管觸犯刑法之兒童可能因對司法程序欠缺了解、心智未臻成熟、恐懼或其他原因而表現出令人懷疑之舉動，然遭起訴之兒童受無罪推定原則之保障，且檢察官負有犯罪之舉證責任，因此相關單位不得擅自在證據未明前即推定兒童已觸法</w:t>
      </w:r>
      <w:r w:rsidRPr="005E758A">
        <w:rPr>
          <w:rStyle w:val="af3"/>
          <w:szCs w:val="28"/>
        </w:rPr>
        <w:endnoteReference w:id="544"/>
      </w:r>
      <w:r w:rsidRPr="005E758A">
        <w:rPr>
          <w:sz w:val="28"/>
          <w:szCs w:val="28"/>
        </w:rPr>
        <w:t>。</w:t>
      </w:r>
    </w:p>
    <w:p w14:paraId="282816EA" w14:textId="77777777" w:rsidR="000F5857" w:rsidRPr="005E758A" w:rsidRDefault="000F5857" w:rsidP="00F02A5C">
      <w:pPr>
        <w:pStyle w:val="4"/>
        <w:numPr>
          <w:ilvl w:val="0"/>
          <w:numId w:val="192"/>
        </w:numPr>
        <w:ind w:left="1315" w:hanging="357"/>
      </w:pPr>
      <w:r w:rsidRPr="005E758A">
        <w:t>第</w:t>
      </w:r>
      <w:r w:rsidRPr="005E758A">
        <w:t>2</w:t>
      </w:r>
      <w:r w:rsidRPr="005E758A">
        <w:t>目「迅速且直接地被告知其被控訴之罪名」以及「提出答辯時並獲得法律或其他適當之協助」一語</w:t>
      </w:r>
    </w:p>
    <w:p w14:paraId="2503CC9A" w14:textId="77777777" w:rsidR="000F5857" w:rsidRPr="005E758A" w:rsidRDefault="000F5857" w:rsidP="000F5857">
      <w:pPr>
        <w:snapToGrid w:val="0"/>
        <w:spacing w:before="100" w:beforeAutospacing="1" w:after="100" w:afterAutospacing="1"/>
        <w:ind w:firstLineChars="200" w:firstLine="560"/>
        <w:jc w:val="both"/>
        <w:rPr>
          <w:sz w:val="28"/>
        </w:rPr>
      </w:pPr>
      <w:r w:rsidRPr="005E758A">
        <w:rPr>
          <w:sz w:val="28"/>
        </w:rPr>
        <w:t>公民與政治權利國際公約第</w:t>
      </w:r>
      <w:r w:rsidRPr="005E758A">
        <w:rPr>
          <w:sz w:val="28"/>
        </w:rPr>
        <w:t>9</w:t>
      </w:r>
      <w:r w:rsidRPr="005E758A">
        <w:rPr>
          <w:sz w:val="28"/>
        </w:rPr>
        <w:t>條第</w:t>
      </w:r>
      <w:r w:rsidRPr="005E758A">
        <w:rPr>
          <w:sz w:val="28"/>
        </w:rPr>
        <w:t>2</w:t>
      </w:r>
      <w:r w:rsidRPr="005E758A">
        <w:rPr>
          <w:sz w:val="28"/>
        </w:rPr>
        <w:t>項及第</w:t>
      </w:r>
      <w:r w:rsidRPr="005E758A">
        <w:rPr>
          <w:sz w:val="28"/>
        </w:rPr>
        <w:t>14</w:t>
      </w:r>
      <w:r w:rsidRPr="005E758A">
        <w:rPr>
          <w:sz w:val="28"/>
        </w:rPr>
        <w:t>條第</w:t>
      </w:r>
      <w:r w:rsidRPr="005E758A">
        <w:rPr>
          <w:sz w:val="28"/>
        </w:rPr>
        <w:t>3</w:t>
      </w:r>
      <w:r w:rsidRPr="005E758A">
        <w:rPr>
          <w:sz w:val="28"/>
        </w:rPr>
        <w:t>項各款亦有類似之規範，但考量兒童身心尚未發展完全，本條就此特別增列「適當情況下經由父母或法定監護人告知」之規定。此外，兒童應「迅速且直接」地被告知其遭控訴之罪名，換言之，檢察官或法官於開始對涉案兒童進行相關程序時即應在盡可能最快的時間內</w:t>
      </w:r>
      <w:r w:rsidR="003B6411">
        <w:rPr>
          <w:rFonts w:hint="eastAsia"/>
          <w:sz w:val="28"/>
        </w:rPr>
        <w:t>以兒童能理解的語言</w:t>
      </w:r>
      <w:r w:rsidRPr="005E758A">
        <w:rPr>
          <w:sz w:val="28"/>
        </w:rPr>
        <w:t>告知相關訊息</w:t>
      </w:r>
      <w:r w:rsidRPr="005E758A">
        <w:rPr>
          <w:rStyle w:val="af3"/>
        </w:rPr>
        <w:endnoteReference w:id="545"/>
      </w:r>
      <w:r w:rsidRPr="005E758A">
        <w:rPr>
          <w:sz w:val="28"/>
        </w:rPr>
        <w:t>。</w:t>
      </w:r>
    </w:p>
    <w:p w14:paraId="1DCCEF43" w14:textId="77777777" w:rsidR="000F5857" w:rsidRPr="005E758A" w:rsidRDefault="000F5857" w:rsidP="00F02A5C">
      <w:pPr>
        <w:pStyle w:val="4"/>
        <w:numPr>
          <w:ilvl w:val="0"/>
          <w:numId w:val="192"/>
        </w:numPr>
        <w:ind w:left="1315" w:hanging="357"/>
      </w:pPr>
      <w:r w:rsidRPr="005E758A">
        <w:t>第</w:t>
      </w:r>
      <w:r w:rsidRPr="005E758A">
        <w:t>3</w:t>
      </w:r>
      <w:r w:rsidRPr="005E758A">
        <w:t>目有關獲得「迅速依法公正審理」以及「法律或其他適當之協助」兩個部分</w:t>
      </w:r>
    </w:p>
    <w:p w14:paraId="5A03A379" w14:textId="77777777" w:rsidR="000F5857" w:rsidRPr="005E758A" w:rsidRDefault="000F5857" w:rsidP="000F5857">
      <w:pPr>
        <w:snapToGrid w:val="0"/>
        <w:spacing w:before="100" w:beforeAutospacing="1" w:after="100" w:afterAutospacing="1"/>
        <w:ind w:firstLineChars="200" w:firstLine="560"/>
        <w:jc w:val="both"/>
        <w:rPr>
          <w:sz w:val="28"/>
          <w:szCs w:val="28"/>
        </w:rPr>
      </w:pPr>
      <w:r w:rsidRPr="005E758A">
        <w:rPr>
          <w:sz w:val="28"/>
          <w:szCs w:val="28"/>
        </w:rPr>
        <w:t>司法程序應於最短期間內完成，延宕越久越可能對兒童造成汙名化。此外，委員會建議各國對於兒童司法案件之調查、起訴與審判期間制定上限；且該上限期間應較適用於成人之期限更為縮短，且無論如何不得危害到兒童應有之權利保障。</w:t>
      </w:r>
    </w:p>
    <w:p w14:paraId="58A33365" w14:textId="77777777" w:rsidR="000F5857" w:rsidRPr="005E758A" w:rsidRDefault="000F5857" w:rsidP="00F02A5C">
      <w:pPr>
        <w:pStyle w:val="4"/>
        <w:numPr>
          <w:ilvl w:val="0"/>
          <w:numId w:val="192"/>
        </w:numPr>
        <w:ind w:left="1315" w:hanging="357"/>
      </w:pPr>
      <w:r w:rsidRPr="005E758A">
        <w:t>第</w:t>
      </w:r>
      <w:r w:rsidRPr="005E758A">
        <w:t>4</w:t>
      </w:r>
      <w:r w:rsidRPr="005E758A">
        <w:t>目有關「不得被迫作證或認罪」等保障</w:t>
      </w:r>
    </w:p>
    <w:p w14:paraId="07F78CC0" w14:textId="77777777" w:rsidR="000F5857" w:rsidRPr="005E758A" w:rsidRDefault="000F5857" w:rsidP="000F5857">
      <w:pPr>
        <w:snapToGrid w:val="0"/>
        <w:spacing w:before="100" w:beforeAutospacing="1" w:after="100" w:afterAutospacing="1"/>
        <w:ind w:firstLineChars="200" w:firstLine="560"/>
        <w:jc w:val="both"/>
        <w:rPr>
          <w:sz w:val="28"/>
          <w:szCs w:val="28"/>
        </w:rPr>
      </w:pPr>
      <w:r w:rsidRPr="005E758A">
        <w:rPr>
          <w:sz w:val="28"/>
        </w:rPr>
        <w:t>依據聯合國兒童基金會之說明，許多文化強調兒童必須回答成人的問話，因此應特別注意兒童於相關程序中「保持緘默」之權利是否遭到侵害。本號一般性意見同樣指出兒童「不得被迫」</w:t>
      </w:r>
      <w:r w:rsidRPr="005E758A">
        <w:rPr>
          <w:sz w:val="28"/>
        </w:rPr>
        <w:t>(compelled)</w:t>
      </w:r>
      <w:r w:rsidRPr="005E758A">
        <w:rPr>
          <w:sz w:val="28"/>
        </w:rPr>
        <w:t>作證或認罪的權利應為廣泛的解釋，例如倘司法人員對兒童保證「只要你說實話就可以回家」，即有可能讓兒童做出與事實不符之認罪。其</w:t>
      </w:r>
      <w:r w:rsidRPr="005E758A">
        <w:rPr>
          <w:sz w:val="28"/>
        </w:rPr>
        <w:lastRenderedPageBreak/>
        <w:t>他可能影響兒童認罪之因素包括兒童之年齡、受訊問的時間、是否具備足夠之認</w:t>
      </w:r>
      <w:r w:rsidRPr="005E758A">
        <w:rPr>
          <w:sz w:val="28"/>
          <w:szCs w:val="28"/>
        </w:rPr>
        <w:t>知能力、對後果不確定性之恐懼或是可能之判刑等</w:t>
      </w:r>
      <w:r w:rsidRPr="005E758A">
        <w:rPr>
          <w:rStyle w:val="af3"/>
          <w:szCs w:val="28"/>
        </w:rPr>
        <w:endnoteReference w:id="546"/>
      </w:r>
      <w:r w:rsidRPr="005E758A">
        <w:rPr>
          <w:sz w:val="28"/>
          <w:szCs w:val="28"/>
        </w:rPr>
        <w:t>。</w:t>
      </w:r>
    </w:p>
    <w:p w14:paraId="3EDF5A2C" w14:textId="77777777" w:rsidR="000F5857" w:rsidRPr="005E758A" w:rsidRDefault="000F5857" w:rsidP="00F02A5C">
      <w:pPr>
        <w:pStyle w:val="4"/>
        <w:numPr>
          <w:ilvl w:val="0"/>
          <w:numId w:val="192"/>
        </w:numPr>
        <w:ind w:left="1315" w:hanging="357"/>
        <w:rPr>
          <w:szCs w:val="28"/>
        </w:rPr>
      </w:pPr>
      <w:r w:rsidRPr="005E758A">
        <w:rPr>
          <w:szCs w:val="28"/>
        </w:rPr>
        <w:t>第</w:t>
      </w:r>
      <w:r w:rsidRPr="005E758A">
        <w:rPr>
          <w:szCs w:val="28"/>
        </w:rPr>
        <w:t>5</w:t>
      </w:r>
      <w:r w:rsidRPr="005E758A">
        <w:rPr>
          <w:szCs w:val="28"/>
        </w:rPr>
        <w:t>目有關「要求較高層級之有權、獨立、公正機關或司法機關依法再為審查」的權利</w:t>
      </w:r>
    </w:p>
    <w:p w14:paraId="19931B36" w14:textId="77777777" w:rsidR="000F5857" w:rsidRPr="005E758A" w:rsidRDefault="000F5857" w:rsidP="000F5857">
      <w:pPr>
        <w:snapToGrid w:val="0"/>
        <w:spacing w:before="100" w:beforeAutospacing="1" w:after="100" w:afterAutospacing="1"/>
        <w:ind w:firstLineChars="200" w:firstLine="560"/>
        <w:jc w:val="both"/>
        <w:rPr>
          <w:sz w:val="28"/>
          <w:szCs w:val="28"/>
        </w:rPr>
      </w:pPr>
      <w:r w:rsidRPr="005E758A">
        <w:rPr>
          <w:sz w:val="28"/>
          <w:szCs w:val="28"/>
        </w:rPr>
        <w:t>此處係指兒童有權對判定其犯有指控所犯罪行的裁決，並對因這項有罪裁決而宣布採取的措施提出上訴。這種上訴應當由高一級的獨立、公正的主管機關或司法機關負責裁決。換言之，由一個達到與初審機關所達到的相同的標準和要求的機關負責裁決</w:t>
      </w:r>
      <w:r w:rsidRPr="005E758A">
        <w:rPr>
          <w:rStyle w:val="af3"/>
          <w:szCs w:val="28"/>
        </w:rPr>
        <w:endnoteReference w:id="547"/>
      </w:r>
      <w:r w:rsidRPr="005E758A">
        <w:rPr>
          <w:sz w:val="28"/>
          <w:szCs w:val="28"/>
        </w:rPr>
        <w:t>。此部分係與公民與政治權利國際公約第</w:t>
      </w:r>
      <w:r w:rsidRPr="005E758A">
        <w:rPr>
          <w:sz w:val="28"/>
          <w:szCs w:val="28"/>
        </w:rPr>
        <w:t>14</w:t>
      </w:r>
      <w:r w:rsidRPr="005E758A">
        <w:rPr>
          <w:sz w:val="28"/>
          <w:szCs w:val="28"/>
        </w:rPr>
        <w:t>條第</w:t>
      </w:r>
      <w:r w:rsidRPr="005E758A">
        <w:rPr>
          <w:sz w:val="28"/>
          <w:szCs w:val="28"/>
        </w:rPr>
        <w:t>5</w:t>
      </w:r>
      <w:r w:rsidRPr="005E758A">
        <w:rPr>
          <w:sz w:val="28"/>
          <w:szCs w:val="28"/>
        </w:rPr>
        <w:t>項所揭示之規範精神一致。</w:t>
      </w:r>
    </w:p>
    <w:p w14:paraId="3B879632" w14:textId="77777777" w:rsidR="000F5857" w:rsidRPr="005E758A" w:rsidRDefault="000F5857" w:rsidP="00F02A5C">
      <w:pPr>
        <w:pStyle w:val="4"/>
        <w:numPr>
          <w:ilvl w:val="0"/>
          <w:numId w:val="192"/>
        </w:numPr>
        <w:ind w:left="1315" w:hanging="357"/>
      </w:pPr>
      <w:r w:rsidRPr="005E758A">
        <w:t>第</w:t>
      </w:r>
      <w:r w:rsidRPr="005E758A">
        <w:t>6</w:t>
      </w:r>
      <w:r w:rsidRPr="005E758A">
        <w:t>目有關獲得「免費之通譯」的權利，</w:t>
      </w:r>
    </w:p>
    <w:p w14:paraId="5B99E31D" w14:textId="77777777" w:rsidR="000F5857" w:rsidRPr="005E758A" w:rsidRDefault="000F5857" w:rsidP="000F5857">
      <w:pPr>
        <w:snapToGrid w:val="0"/>
        <w:spacing w:before="100" w:beforeAutospacing="1" w:after="100" w:afterAutospacing="1"/>
        <w:ind w:firstLineChars="200" w:firstLine="560"/>
        <w:jc w:val="both"/>
        <w:rPr>
          <w:sz w:val="28"/>
          <w:szCs w:val="28"/>
        </w:rPr>
      </w:pPr>
      <w:r w:rsidRPr="005E758A">
        <w:rPr>
          <w:sz w:val="28"/>
        </w:rPr>
        <w:t>此條款係指如果兒童不懂或不會說少年司法系統所用的語言，該兒童有權得到口譯員的免費協助。這種協助不應只限於法庭審理的過程中，而是應包括在少年司法程序的所有階段都加以提供。還有必要對口譯員進行向兒童提供協助方面的培訓。因為兒童對其母語的使用和理解可能有別於成年人。缺乏這方面的知識或經驗，可能會妨礙兒童對提出的問題的充分理解，並且影響受到公正審理和積極參與權利</w:t>
      </w:r>
      <w:r w:rsidRPr="005E758A">
        <w:rPr>
          <w:sz w:val="28"/>
          <w:szCs w:val="28"/>
        </w:rPr>
        <w:t>的享有。</w:t>
      </w:r>
    </w:p>
    <w:p w14:paraId="39AABF67" w14:textId="77777777" w:rsidR="000F5857" w:rsidRPr="005E758A" w:rsidRDefault="000F5857" w:rsidP="000F5857">
      <w:pPr>
        <w:snapToGrid w:val="0"/>
        <w:spacing w:before="100" w:beforeAutospacing="1" w:after="100" w:afterAutospacing="1"/>
        <w:ind w:firstLineChars="200" w:firstLine="560"/>
        <w:jc w:val="both"/>
        <w:rPr>
          <w:sz w:val="28"/>
          <w:szCs w:val="28"/>
        </w:rPr>
      </w:pPr>
      <w:r w:rsidRPr="005E758A">
        <w:rPr>
          <w:sz w:val="28"/>
          <w:szCs w:val="28"/>
        </w:rPr>
        <w:t>本目使用「若」加以限定，係指就外籍兒童或少數民族兒童而言，如該兒童除母語以外尚通曉官方語言，即無須向其提供口譯員的免費協助。本項權利亦見於公民與政治權利國際公約第</w:t>
      </w:r>
      <w:r w:rsidRPr="005E758A">
        <w:rPr>
          <w:sz w:val="28"/>
          <w:szCs w:val="28"/>
        </w:rPr>
        <w:t>14</w:t>
      </w:r>
      <w:r w:rsidRPr="005E758A">
        <w:rPr>
          <w:sz w:val="28"/>
          <w:szCs w:val="28"/>
        </w:rPr>
        <w:t>條第</w:t>
      </w:r>
      <w:r w:rsidRPr="005E758A">
        <w:rPr>
          <w:sz w:val="28"/>
          <w:szCs w:val="28"/>
        </w:rPr>
        <w:t>3</w:t>
      </w:r>
      <w:r w:rsidRPr="005E758A">
        <w:rPr>
          <w:sz w:val="28"/>
          <w:szCs w:val="28"/>
        </w:rPr>
        <w:t>項第</w:t>
      </w:r>
      <w:r w:rsidRPr="005E758A">
        <w:rPr>
          <w:sz w:val="28"/>
          <w:szCs w:val="28"/>
        </w:rPr>
        <w:t>6</w:t>
      </w:r>
      <w:r w:rsidRPr="005E758A">
        <w:rPr>
          <w:sz w:val="28"/>
          <w:szCs w:val="28"/>
        </w:rPr>
        <w:t>款之規定</w:t>
      </w:r>
      <w:r w:rsidRPr="005E758A">
        <w:rPr>
          <w:rStyle w:val="af3"/>
          <w:szCs w:val="28"/>
        </w:rPr>
        <w:endnoteReference w:id="548"/>
      </w:r>
      <w:r w:rsidRPr="005E758A">
        <w:rPr>
          <w:sz w:val="28"/>
          <w:szCs w:val="28"/>
        </w:rPr>
        <w:t>。</w:t>
      </w:r>
    </w:p>
    <w:p w14:paraId="667DB386" w14:textId="77777777" w:rsidR="000F5857" w:rsidRPr="005E758A" w:rsidRDefault="000F5857" w:rsidP="00F02A5C">
      <w:pPr>
        <w:pStyle w:val="4"/>
        <w:numPr>
          <w:ilvl w:val="0"/>
          <w:numId w:val="192"/>
        </w:numPr>
        <w:ind w:left="1315" w:hanging="357"/>
      </w:pPr>
      <w:r w:rsidRPr="005E758A">
        <w:t>第</w:t>
      </w:r>
      <w:r w:rsidRPr="005E758A">
        <w:t>7</w:t>
      </w:r>
      <w:r w:rsidRPr="005E758A">
        <w:t>目有關「充分尊重兒童之隱私」</w:t>
      </w:r>
    </w:p>
    <w:p w14:paraId="7F5D051A" w14:textId="77777777" w:rsidR="000F5857" w:rsidRPr="005E758A" w:rsidRDefault="000F5857" w:rsidP="000F5857">
      <w:pPr>
        <w:snapToGrid w:val="0"/>
        <w:spacing w:before="100" w:beforeAutospacing="1" w:after="100" w:afterAutospacing="1"/>
        <w:ind w:firstLineChars="200" w:firstLine="560"/>
        <w:jc w:val="both"/>
        <w:rPr>
          <w:sz w:val="28"/>
          <w:szCs w:val="28"/>
        </w:rPr>
      </w:pPr>
      <w:r w:rsidRPr="005E758A">
        <w:rPr>
          <w:sz w:val="28"/>
          <w:szCs w:val="28"/>
        </w:rPr>
        <w:t>此處係指兒童有權要求其隱私在訴訟的所有階段都得到充分尊重，體現第</w:t>
      </w:r>
      <w:r w:rsidRPr="005E758A">
        <w:rPr>
          <w:sz w:val="28"/>
          <w:szCs w:val="28"/>
        </w:rPr>
        <w:t>16</w:t>
      </w:r>
      <w:r w:rsidRPr="005E758A">
        <w:rPr>
          <w:sz w:val="28"/>
          <w:szCs w:val="28"/>
        </w:rPr>
        <w:t>條規定隱私受到保護的權利。「訴訟的所有階段」，是指從與執法機關人員初次接觸</w:t>
      </w:r>
      <w:r w:rsidRPr="005E758A">
        <w:rPr>
          <w:sz w:val="28"/>
          <w:szCs w:val="28"/>
        </w:rPr>
        <w:t>(</w:t>
      </w:r>
      <w:r w:rsidRPr="005E758A">
        <w:rPr>
          <w:sz w:val="28"/>
          <w:szCs w:val="28"/>
        </w:rPr>
        <w:t>例如訊問相關情況和身份</w:t>
      </w:r>
      <w:r w:rsidRPr="005E758A">
        <w:rPr>
          <w:sz w:val="28"/>
          <w:szCs w:val="28"/>
        </w:rPr>
        <w:t>)</w:t>
      </w:r>
      <w:r w:rsidRPr="005E758A">
        <w:rPr>
          <w:sz w:val="28"/>
          <w:szCs w:val="28"/>
        </w:rPr>
        <w:t>直到主管機關作出最終裁決，或解除監督、結束拘留獲釋或被剝奪自由等各個階段等。在這些特定情形中，本項權利旨在避免不適當的宣傳或描述所造成的傷害。任何可能會使人知道少年犯罪者身分的信息都不得透露，因為此種信息會使相關少年受到歧視，並且可能對其入學、就業、獲得住房的前景或其人身安全造成影響。主管機關在發布與兒童所犯罪行相關的新聞稿方面應謹慎行事，只有在非常例外的情況下才發布新聞稿。主管機關必須設法確保一般人無法通過這些新聞稿知悉相關</w:t>
      </w:r>
      <w:r w:rsidRPr="005E758A">
        <w:rPr>
          <w:sz w:val="28"/>
          <w:szCs w:val="28"/>
        </w:rPr>
        <w:lastRenderedPageBreak/>
        <w:t>兒童的身分。侵害兒童隱私權的新聞記者應受到紀律處分，並在必要時</w:t>
      </w:r>
      <w:r w:rsidR="00F50913">
        <w:rPr>
          <w:rFonts w:hint="eastAsia"/>
          <w:sz w:val="28"/>
          <w:szCs w:val="28"/>
        </w:rPr>
        <w:t>（</w:t>
      </w:r>
      <w:r w:rsidRPr="005E758A">
        <w:rPr>
          <w:sz w:val="28"/>
          <w:szCs w:val="28"/>
        </w:rPr>
        <w:t>例如再次侵犯隱私權</w:t>
      </w:r>
      <w:r w:rsidR="00F50913">
        <w:rPr>
          <w:rFonts w:hint="eastAsia"/>
          <w:sz w:val="28"/>
          <w:szCs w:val="28"/>
        </w:rPr>
        <w:t>）</w:t>
      </w:r>
      <w:r w:rsidRPr="005E758A">
        <w:rPr>
          <w:sz w:val="28"/>
          <w:szCs w:val="28"/>
        </w:rPr>
        <w:t>受到刑法制裁</w:t>
      </w:r>
      <w:r w:rsidRPr="005E758A">
        <w:rPr>
          <w:rStyle w:val="af3"/>
          <w:szCs w:val="28"/>
        </w:rPr>
        <w:endnoteReference w:id="549"/>
      </w:r>
      <w:r w:rsidRPr="005E758A">
        <w:rPr>
          <w:sz w:val="28"/>
          <w:szCs w:val="28"/>
        </w:rPr>
        <w:t>。</w:t>
      </w:r>
    </w:p>
    <w:p w14:paraId="2E99A617" w14:textId="77777777" w:rsidR="000F5857" w:rsidRPr="005E758A" w:rsidRDefault="000F5857" w:rsidP="000F5857">
      <w:pPr>
        <w:snapToGrid w:val="0"/>
        <w:spacing w:before="100" w:beforeAutospacing="1" w:after="100" w:afterAutospacing="1"/>
        <w:ind w:firstLineChars="200" w:firstLine="560"/>
        <w:jc w:val="both"/>
        <w:rPr>
          <w:sz w:val="28"/>
          <w:szCs w:val="28"/>
        </w:rPr>
      </w:pPr>
      <w:r w:rsidRPr="005E758A">
        <w:rPr>
          <w:sz w:val="28"/>
          <w:szCs w:val="28"/>
        </w:rPr>
        <w:t>兒童權利委員會並建議所有締約國實行以下規則：對觸法兒童的庭審和其他審訊程序應以非公開方式進行。此項原則的例外非常有限，並且應由法律明確規定。判決</w:t>
      </w:r>
      <w:r w:rsidRPr="005E758A">
        <w:rPr>
          <w:sz w:val="28"/>
          <w:szCs w:val="28"/>
        </w:rPr>
        <w:t>/</w:t>
      </w:r>
      <w:r w:rsidRPr="005E758A">
        <w:rPr>
          <w:sz w:val="28"/>
          <w:szCs w:val="28"/>
        </w:rPr>
        <w:t>宣判應在不透露相關兒童身分的前提下在法庭公布。隱私權</w:t>
      </w:r>
      <w:r w:rsidR="00F50913">
        <w:rPr>
          <w:rFonts w:hint="eastAsia"/>
          <w:sz w:val="28"/>
          <w:szCs w:val="28"/>
        </w:rPr>
        <w:t>（</w:t>
      </w:r>
      <w:r w:rsidRPr="005E758A">
        <w:rPr>
          <w:sz w:val="28"/>
          <w:szCs w:val="28"/>
        </w:rPr>
        <w:t>第</w:t>
      </w:r>
      <w:r w:rsidRPr="005E758A">
        <w:rPr>
          <w:sz w:val="28"/>
          <w:szCs w:val="28"/>
        </w:rPr>
        <w:t>16</w:t>
      </w:r>
      <w:r w:rsidRPr="005E758A">
        <w:rPr>
          <w:sz w:val="28"/>
          <w:szCs w:val="28"/>
        </w:rPr>
        <w:t>條</w:t>
      </w:r>
      <w:r w:rsidR="00F50913">
        <w:rPr>
          <w:rFonts w:hint="eastAsia"/>
          <w:sz w:val="28"/>
          <w:szCs w:val="28"/>
        </w:rPr>
        <w:t>）</w:t>
      </w:r>
      <w:r w:rsidRPr="005E758A">
        <w:rPr>
          <w:sz w:val="28"/>
          <w:szCs w:val="28"/>
        </w:rPr>
        <w:t>要求所有參與執行由法庭或另一主管機構採取的措施的所有人員，在其與外界的任何接觸過程中不透露任何可能使一般人知悉相關兒童身分的資訊。此外，隱私權的保障尚擴及對少年犯檔案實行嚴格保密，此種檔案不得向第三方透露</w:t>
      </w:r>
      <w:r w:rsidR="003B6411">
        <w:rPr>
          <w:rFonts w:hint="eastAsia"/>
          <w:sz w:val="28"/>
          <w:szCs w:val="28"/>
        </w:rPr>
        <w:t>（</w:t>
      </w:r>
      <w:r w:rsidRPr="005E758A">
        <w:rPr>
          <w:sz w:val="28"/>
          <w:szCs w:val="28"/>
        </w:rPr>
        <w:t>直接參與案件調查、審判和裁決的人員除外</w:t>
      </w:r>
      <w:r w:rsidR="003B6411">
        <w:rPr>
          <w:rFonts w:hint="eastAsia"/>
          <w:sz w:val="28"/>
          <w:szCs w:val="28"/>
        </w:rPr>
        <w:t>）</w:t>
      </w:r>
      <w:r w:rsidRPr="005E758A">
        <w:rPr>
          <w:sz w:val="28"/>
          <w:szCs w:val="28"/>
        </w:rPr>
        <w:t>。為了避免實行歧視或未經審訊作出判決，少年犯檔案不應在處理其後涉及同一罪犯的案件的成人訴訟中被利用</w:t>
      </w:r>
      <w:r w:rsidRPr="005E758A">
        <w:rPr>
          <w:rStyle w:val="af3"/>
          <w:szCs w:val="28"/>
        </w:rPr>
        <w:endnoteReference w:id="550"/>
      </w:r>
      <w:r w:rsidRPr="005E758A">
        <w:rPr>
          <w:sz w:val="28"/>
          <w:szCs w:val="28"/>
        </w:rPr>
        <w:t>，該檔案也不得用來加重之後的宣判</w:t>
      </w:r>
      <w:r w:rsidRPr="005E758A">
        <w:rPr>
          <w:rStyle w:val="af3"/>
          <w:szCs w:val="28"/>
        </w:rPr>
        <w:endnoteReference w:id="551"/>
      </w:r>
      <w:r w:rsidRPr="005E758A">
        <w:rPr>
          <w:sz w:val="28"/>
          <w:szCs w:val="28"/>
        </w:rPr>
        <w:t>。</w:t>
      </w:r>
    </w:p>
    <w:p w14:paraId="57858CB5" w14:textId="77777777" w:rsidR="000F5857" w:rsidRPr="005E758A" w:rsidRDefault="000F5857" w:rsidP="00F02A5C">
      <w:pPr>
        <w:pStyle w:val="3"/>
        <w:numPr>
          <w:ilvl w:val="0"/>
          <w:numId w:val="194"/>
        </w:numPr>
      </w:pPr>
      <w:r w:rsidRPr="005E758A">
        <w:t>第</w:t>
      </w:r>
      <w:r w:rsidRPr="005E758A">
        <w:t>40</w:t>
      </w:r>
      <w:r w:rsidRPr="005E758A">
        <w:t>條第</w:t>
      </w:r>
      <w:r w:rsidRPr="005E758A">
        <w:t>3</w:t>
      </w:r>
      <w:r w:rsidRPr="005E758A">
        <w:t>項與第</w:t>
      </w:r>
      <w:r w:rsidRPr="005E758A">
        <w:t>4</w:t>
      </w:r>
      <w:r w:rsidRPr="005E758A">
        <w:t>項</w:t>
      </w:r>
    </w:p>
    <w:p w14:paraId="3973D91E" w14:textId="77777777" w:rsidR="000F5857" w:rsidRPr="005E758A" w:rsidRDefault="000F5857" w:rsidP="000F5857">
      <w:pPr>
        <w:snapToGrid w:val="0"/>
        <w:spacing w:before="100" w:beforeAutospacing="1" w:after="100" w:afterAutospacing="1"/>
        <w:ind w:firstLineChars="200" w:firstLine="560"/>
        <w:jc w:val="both"/>
        <w:rPr>
          <w:sz w:val="28"/>
          <w:szCs w:val="28"/>
        </w:rPr>
      </w:pPr>
      <w:r w:rsidRPr="005E758A">
        <w:rPr>
          <w:sz w:val="28"/>
          <w:szCs w:val="28"/>
        </w:rPr>
        <w:t>第</w:t>
      </w:r>
      <w:r w:rsidRPr="005E758A">
        <w:rPr>
          <w:sz w:val="28"/>
          <w:szCs w:val="28"/>
        </w:rPr>
        <w:t>3</w:t>
      </w:r>
      <w:r w:rsidRPr="005E758A">
        <w:rPr>
          <w:sz w:val="28"/>
          <w:szCs w:val="28"/>
        </w:rPr>
        <w:t>項第</w:t>
      </w:r>
      <w:r w:rsidRPr="005E758A">
        <w:rPr>
          <w:sz w:val="28"/>
          <w:szCs w:val="28"/>
        </w:rPr>
        <w:t>1</w:t>
      </w:r>
      <w:r w:rsidRPr="005E758A">
        <w:rPr>
          <w:sz w:val="28"/>
          <w:szCs w:val="28"/>
        </w:rPr>
        <w:t>款有關「無觸犯刑事能力之最低年齡」，兒童權利委員會認為</w:t>
      </w:r>
      <w:r w:rsidRPr="005E758A">
        <w:rPr>
          <w:sz w:val="28"/>
          <w:szCs w:val="28"/>
        </w:rPr>
        <w:t>12</w:t>
      </w:r>
      <w:r w:rsidRPr="005E758A">
        <w:rPr>
          <w:sz w:val="28"/>
          <w:szCs w:val="28"/>
        </w:rPr>
        <w:t>歲應為絕對之最低標準</w:t>
      </w:r>
      <w:r w:rsidRPr="005E758A">
        <w:rPr>
          <w:sz w:val="28"/>
          <w:szCs w:val="28"/>
        </w:rPr>
        <w:t>(absolute minimum)</w:t>
      </w:r>
      <w:r w:rsidRPr="005E758A">
        <w:rPr>
          <w:sz w:val="28"/>
          <w:szCs w:val="28"/>
        </w:rPr>
        <w:t>，因此，以此標準作為規範之國家應朝提高年齡門檻持續努力。</w:t>
      </w:r>
    </w:p>
    <w:p w14:paraId="2C5D13D0" w14:textId="77777777" w:rsidR="000F5857" w:rsidRPr="005E758A" w:rsidRDefault="000F5857" w:rsidP="000F5857">
      <w:pPr>
        <w:snapToGrid w:val="0"/>
        <w:spacing w:before="100" w:beforeAutospacing="1" w:after="100" w:afterAutospacing="1"/>
        <w:ind w:firstLineChars="200" w:firstLine="560"/>
        <w:jc w:val="both"/>
        <w:rPr>
          <w:sz w:val="28"/>
          <w:szCs w:val="28"/>
        </w:rPr>
      </w:pPr>
      <w:r w:rsidRPr="005E758A">
        <w:rPr>
          <w:sz w:val="28"/>
          <w:szCs w:val="28"/>
        </w:rPr>
        <w:t>有關「制定不對該等兒童訴諸司法程序之措施，惟須充分尊重人權與法律保障」以及「採行多樣化手段」之規定，第</w:t>
      </w:r>
      <w:r w:rsidRPr="005E758A">
        <w:rPr>
          <w:sz w:val="28"/>
          <w:szCs w:val="28"/>
        </w:rPr>
        <w:t>10</w:t>
      </w:r>
      <w:r w:rsidRPr="005E758A">
        <w:rPr>
          <w:sz w:val="28"/>
          <w:szCs w:val="28"/>
        </w:rPr>
        <w:t>號一般性建議強調司法轉向</w:t>
      </w:r>
      <w:r w:rsidRPr="005E758A">
        <w:rPr>
          <w:sz w:val="28"/>
          <w:szCs w:val="28"/>
        </w:rPr>
        <w:t>(diversion)</w:t>
      </w:r>
      <w:r w:rsidRPr="005E758A">
        <w:rPr>
          <w:sz w:val="28"/>
          <w:szCs w:val="28"/>
        </w:rPr>
        <w:t>的重要性，包括以諮商、寄養、保護管束、教育與訓練課程代替機構式處置對兒童進行逮捕或監禁的司法程序應為最後手段</w:t>
      </w:r>
      <w:r w:rsidRPr="005E758A">
        <w:rPr>
          <w:rStyle w:val="af3"/>
          <w:szCs w:val="28"/>
        </w:rPr>
        <w:endnoteReference w:id="552"/>
      </w:r>
      <w:r w:rsidRPr="005E758A">
        <w:rPr>
          <w:sz w:val="28"/>
          <w:szCs w:val="28"/>
        </w:rPr>
        <w:t>。</w:t>
      </w:r>
    </w:p>
    <w:p w14:paraId="09CDEA15" w14:textId="77777777" w:rsidR="000F5857" w:rsidRPr="005E758A" w:rsidRDefault="000F5857" w:rsidP="00F02A5C">
      <w:pPr>
        <w:pStyle w:val="2"/>
        <w:numPr>
          <w:ilvl w:val="0"/>
          <w:numId w:val="193"/>
        </w:numPr>
      </w:pPr>
      <w:r w:rsidRPr="005E758A">
        <w:t>案例介紹</w:t>
      </w:r>
    </w:p>
    <w:p w14:paraId="3B99E119" w14:textId="77777777" w:rsidR="000F5857" w:rsidRPr="005E758A" w:rsidRDefault="000F5857" w:rsidP="00F02A5C">
      <w:pPr>
        <w:pStyle w:val="3"/>
        <w:numPr>
          <w:ilvl w:val="0"/>
          <w:numId w:val="195"/>
        </w:numPr>
      </w:pPr>
      <w:r w:rsidRPr="005E758A">
        <w:t>2015</w:t>
      </w:r>
      <w:r w:rsidRPr="005E758A">
        <w:t>年英國最高法院兒童隱私權案：</w:t>
      </w:r>
      <w:r w:rsidRPr="005E758A">
        <w:t>In the Matter of an Application by JR38 for Judicial Review (Northern Ireland)</w:t>
      </w:r>
      <w:r w:rsidRPr="005E758A">
        <w:rPr>
          <w:rStyle w:val="af3"/>
        </w:rPr>
        <w:endnoteReference w:id="553"/>
      </w:r>
    </w:p>
    <w:p w14:paraId="195D6223" w14:textId="77777777" w:rsidR="000F5857" w:rsidRPr="005E758A" w:rsidRDefault="000F5857" w:rsidP="000F5857">
      <w:pPr>
        <w:snapToGrid w:val="0"/>
        <w:spacing w:before="100" w:beforeAutospacing="1" w:after="100" w:afterAutospacing="1"/>
        <w:ind w:firstLineChars="200" w:firstLine="560"/>
        <w:jc w:val="both"/>
        <w:rPr>
          <w:sz w:val="28"/>
          <w:szCs w:val="28"/>
        </w:rPr>
      </w:pPr>
      <w:r w:rsidRPr="005E758A">
        <w:rPr>
          <w:sz w:val="28"/>
          <w:szCs w:val="28"/>
        </w:rPr>
        <w:t>本案上訴人</w:t>
      </w:r>
      <w:r w:rsidRPr="005E758A">
        <w:rPr>
          <w:sz w:val="28"/>
          <w:szCs w:val="28"/>
        </w:rPr>
        <w:t>K</w:t>
      </w:r>
      <w:r w:rsidRPr="005E758A">
        <w:rPr>
          <w:sz w:val="28"/>
          <w:szCs w:val="28"/>
        </w:rPr>
        <w:t>生於</w:t>
      </w:r>
      <w:r w:rsidRPr="005E758A">
        <w:rPr>
          <w:sz w:val="28"/>
          <w:szCs w:val="28"/>
        </w:rPr>
        <w:t>1996</w:t>
      </w:r>
      <w:r w:rsidRPr="005E758A">
        <w:rPr>
          <w:sz w:val="28"/>
          <w:szCs w:val="28"/>
        </w:rPr>
        <w:t>年，於</w:t>
      </w:r>
      <w:r w:rsidRPr="005E758A">
        <w:rPr>
          <w:sz w:val="28"/>
          <w:szCs w:val="28"/>
        </w:rPr>
        <w:t>2010</w:t>
      </w:r>
      <w:r w:rsidRPr="005E758A">
        <w:rPr>
          <w:sz w:val="28"/>
          <w:szCs w:val="28"/>
        </w:rPr>
        <w:t>年</w:t>
      </w:r>
      <w:r w:rsidRPr="005E758A">
        <w:rPr>
          <w:sz w:val="28"/>
          <w:szCs w:val="28"/>
        </w:rPr>
        <w:t>7</w:t>
      </w:r>
      <w:r w:rsidRPr="005E758A">
        <w:rPr>
          <w:sz w:val="28"/>
          <w:szCs w:val="28"/>
        </w:rPr>
        <w:t>月時滿</w:t>
      </w:r>
      <w:r w:rsidRPr="005E758A">
        <w:rPr>
          <w:sz w:val="28"/>
          <w:szCs w:val="28"/>
        </w:rPr>
        <w:t>14</w:t>
      </w:r>
      <w:r w:rsidRPr="005E758A">
        <w:rPr>
          <w:sz w:val="28"/>
          <w:szCs w:val="28"/>
        </w:rPr>
        <w:t>歲，當時有兩份報紙刊出其參與暴動中投擲石頭之照片，這些照片係由警察發布於地方報紙。警察辯稱發布這些照片係為嘗試辨認身分所為之最後手段。惟上訴人之父親宣稱上訴人之面貌被公諸於世，侵犯上訴人之隱私權，且該隱私權係由歐洲人權公約第</w:t>
      </w:r>
      <w:r w:rsidRPr="005E758A">
        <w:rPr>
          <w:sz w:val="28"/>
          <w:szCs w:val="28"/>
        </w:rPr>
        <w:t>8</w:t>
      </w:r>
      <w:r w:rsidRPr="005E758A">
        <w:rPr>
          <w:sz w:val="28"/>
          <w:szCs w:val="28"/>
        </w:rPr>
        <w:t>條所保護。</w:t>
      </w:r>
    </w:p>
    <w:p w14:paraId="2E8A9B54" w14:textId="77777777" w:rsidR="000F5857" w:rsidRPr="005E758A" w:rsidRDefault="000F5857" w:rsidP="000F5857">
      <w:pPr>
        <w:snapToGrid w:val="0"/>
        <w:spacing w:before="100" w:beforeAutospacing="1" w:after="100" w:afterAutospacing="1"/>
        <w:ind w:firstLineChars="200" w:firstLine="560"/>
        <w:jc w:val="both"/>
        <w:rPr>
          <w:sz w:val="28"/>
          <w:szCs w:val="28"/>
        </w:rPr>
      </w:pPr>
      <w:r w:rsidRPr="005E758A">
        <w:rPr>
          <w:sz w:val="28"/>
          <w:szCs w:val="28"/>
        </w:rPr>
        <w:t>本案之爭點為上訴人參與暴動投擲石頭之照片被公布是否違反歐洲人權公約第</w:t>
      </w:r>
      <w:r w:rsidRPr="005E758A">
        <w:rPr>
          <w:sz w:val="28"/>
          <w:szCs w:val="28"/>
        </w:rPr>
        <w:t>8</w:t>
      </w:r>
      <w:r w:rsidRPr="005E758A">
        <w:rPr>
          <w:sz w:val="28"/>
          <w:szCs w:val="28"/>
        </w:rPr>
        <w:t>條及兒童權利公約第</w:t>
      </w:r>
      <w:r w:rsidRPr="005E758A">
        <w:rPr>
          <w:sz w:val="28"/>
          <w:szCs w:val="28"/>
        </w:rPr>
        <w:t>40</w:t>
      </w:r>
      <w:r w:rsidRPr="005E758A">
        <w:rPr>
          <w:sz w:val="28"/>
          <w:szCs w:val="28"/>
        </w:rPr>
        <w:t>條之規定。法院認為對於違反歐洲人權公約第</w:t>
      </w:r>
      <w:r w:rsidRPr="005E758A">
        <w:rPr>
          <w:sz w:val="28"/>
          <w:szCs w:val="28"/>
        </w:rPr>
        <w:t>8</w:t>
      </w:r>
      <w:r w:rsidRPr="005E758A">
        <w:rPr>
          <w:sz w:val="28"/>
          <w:szCs w:val="28"/>
        </w:rPr>
        <w:t>條是否需具有「對隱私之合理期待」</w:t>
      </w:r>
      <w:r w:rsidRPr="005E758A">
        <w:rPr>
          <w:sz w:val="28"/>
          <w:szCs w:val="28"/>
        </w:rPr>
        <w:t xml:space="preserve">(reasonable </w:t>
      </w:r>
      <w:r w:rsidRPr="005E758A">
        <w:rPr>
          <w:sz w:val="28"/>
          <w:szCs w:val="28"/>
        </w:rPr>
        <w:lastRenderedPageBreak/>
        <w:t>expectation of privacy)</w:t>
      </w:r>
      <w:r w:rsidRPr="005E758A">
        <w:rPr>
          <w:sz w:val="28"/>
          <w:szCs w:val="28"/>
        </w:rPr>
        <w:t>持否定之看法。上訴人被拍得照片時之年齡係是否對隱私具有合理期待及上訴人之隱私是否被侵犯之關鍵因素。法院同時提出兒童權利公約於本案之適用。但法院最後判決認為，於兒童參與犯罪之本案事實，本件情況可視為具正當理由，未違反歐洲人權公約第</w:t>
      </w:r>
      <w:r w:rsidRPr="005E758A">
        <w:rPr>
          <w:sz w:val="28"/>
          <w:szCs w:val="28"/>
        </w:rPr>
        <w:t>8</w:t>
      </w:r>
      <w:r w:rsidRPr="005E758A">
        <w:rPr>
          <w:sz w:val="28"/>
          <w:szCs w:val="28"/>
        </w:rPr>
        <w:t>條。</w:t>
      </w:r>
    </w:p>
    <w:p w14:paraId="1675AB5A" w14:textId="77777777" w:rsidR="000F5857" w:rsidRPr="005E758A" w:rsidRDefault="000F5857" w:rsidP="00F02A5C">
      <w:pPr>
        <w:pStyle w:val="3"/>
        <w:numPr>
          <w:ilvl w:val="0"/>
          <w:numId w:val="195"/>
        </w:numPr>
      </w:pPr>
      <w:r w:rsidRPr="005E758A">
        <w:t>2008</w:t>
      </w:r>
      <w:r w:rsidRPr="005E758A">
        <w:t>年歐洲人權法院指紋</w:t>
      </w:r>
      <w:r w:rsidR="002B035C">
        <w:rPr>
          <w:rFonts w:hint="eastAsia"/>
        </w:rPr>
        <w:t>及</w:t>
      </w:r>
      <w:r w:rsidR="002B035C">
        <w:rPr>
          <w:rFonts w:hint="eastAsia"/>
        </w:rPr>
        <w:t>DNA</w:t>
      </w:r>
      <w:r w:rsidR="002B035C">
        <w:rPr>
          <w:rFonts w:hint="eastAsia"/>
        </w:rPr>
        <w:t>樣本</w:t>
      </w:r>
      <w:r w:rsidRPr="005E758A">
        <w:t>案：</w:t>
      </w:r>
      <w:r w:rsidRPr="005E758A">
        <w:t xml:space="preserve">S and </w:t>
      </w:r>
      <w:proofErr w:type="spellStart"/>
      <w:r w:rsidRPr="005E758A">
        <w:t>Marper</w:t>
      </w:r>
      <w:proofErr w:type="spellEnd"/>
      <w:r w:rsidRPr="005E758A">
        <w:t xml:space="preserve"> v. United Kingdom</w:t>
      </w:r>
      <w:r w:rsidRPr="005E758A">
        <w:t>案</w:t>
      </w:r>
      <w:r w:rsidRPr="005E758A">
        <w:rPr>
          <w:rStyle w:val="af3"/>
        </w:rPr>
        <w:endnoteReference w:id="554"/>
      </w:r>
    </w:p>
    <w:p w14:paraId="3B3B5A43" w14:textId="77777777" w:rsidR="000F5857" w:rsidRPr="005E758A" w:rsidRDefault="000F5857" w:rsidP="000F5857">
      <w:pPr>
        <w:snapToGrid w:val="0"/>
        <w:spacing w:before="100" w:beforeAutospacing="1" w:after="100" w:afterAutospacing="1"/>
        <w:ind w:firstLineChars="200" w:firstLine="560"/>
        <w:jc w:val="both"/>
        <w:rPr>
          <w:sz w:val="28"/>
          <w:szCs w:val="28"/>
        </w:rPr>
      </w:pPr>
      <w:r w:rsidRPr="005E758A">
        <w:rPr>
          <w:sz w:val="28"/>
          <w:szCs w:val="28"/>
        </w:rPr>
        <w:t>本案原告係未成年人</w:t>
      </w:r>
      <w:r w:rsidRPr="005E758A">
        <w:rPr>
          <w:sz w:val="28"/>
          <w:szCs w:val="28"/>
        </w:rPr>
        <w:t>S</w:t>
      </w:r>
      <w:r w:rsidRPr="005E758A">
        <w:rPr>
          <w:sz w:val="28"/>
          <w:szCs w:val="28"/>
        </w:rPr>
        <w:t>及</w:t>
      </w:r>
      <w:proofErr w:type="spellStart"/>
      <w:r w:rsidRPr="005E758A">
        <w:rPr>
          <w:sz w:val="28"/>
          <w:szCs w:val="28"/>
        </w:rPr>
        <w:t>Marper</w:t>
      </w:r>
      <w:proofErr w:type="spellEnd"/>
      <w:r w:rsidRPr="005E758A">
        <w:rPr>
          <w:sz w:val="28"/>
          <w:szCs w:val="28"/>
        </w:rPr>
        <w:t>，未成年人</w:t>
      </w:r>
      <w:r w:rsidRPr="005E758A">
        <w:rPr>
          <w:sz w:val="28"/>
          <w:szCs w:val="28"/>
        </w:rPr>
        <w:t>S</w:t>
      </w:r>
      <w:r w:rsidRPr="005E758A">
        <w:rPr>
          <w:sz w:val="28"/>
          <w:szCs w:val="28"/>
        </w:rPr>
        <w:t>係因搶劫罪被逮捕，後因無罪被釋放；而</w:t>
      </w:r>
      <w:proofErr w:type="spellStart"/>
      <w:r w:rsidRPr="005E758A">
        <w:rPr>
          <w:sz w:val="28"/>
          <w:szCs w:val="28"/>
        </w:rPr>
        <w:t>Marper</w:t>
      </w:r>
      <w:proofErr w:type="spellEnd"/>
      <w:r w:rsidRPr="005E758A">
        <w:rPr>
          <w:sz w:val="28"/>
          <w:szCs w:val="28"/>
        </w:rPr>
        <w:t>則是因為公然侮辱罪被逮捕，惟其案件之後被撤銷。警察於調查程序中皆對兩人採取指紋</w:t>
      </w:r>
      <w:r w:rsidR="002B035C">
        <w:rPr>
          <w:rFonts w:hint="eastAsia"/>
          <w:sz w:val="28"/>
          <w:szCs w:val="28"/>
        </w:rPr>
        <w:t>及</w:t>
      </w:r>
      <w:r w:rsidR="002B035C" w:rsidRPr="005E758A">
        <w:rPr>
          <w:sz w:val="28"/>
          <w:szCs w:val="28"/>
        </w:rPr>
        <w:t>DNA</w:t>
      </w:r>
      <w:r w:rsidR="002B035C" w:rsidRPr="005E758A">
        <w:rPr>
          <w:sz w:val="28"/>
          <w:szCs w:val="28"/>
        </w:rPr>
        <w:t>樣本</w:t>
      </w:r>
      <w:r w:rsidRPr="005E758A">
        <w:rPr>
          <w:sz w:val="28"/>
          <w:szCs w:val="28"/>
        </w:rPr>
        <w:t>，兩位聲請人之後請求警察銷毀指紋檔案及</w:t>
      </w:r>
      <w:r w:rsidRPr="005E758A">
        <w:rPr>
          <w:sz w:val="28"/>
          <w:szCs w:val="28"/>
        </w:rPr>
        <w:t>DNA</w:t>
      </w:r>
      <w:r w:rsidRPr="005E758A">
        <w:rPr>
          <w:sz w:val="28"/>
          <w:szCs w:val="28"/>
        </w:rPr>
        <w:t>樣本而遭拒絕</w:t>
      </w:r>
      <w:r w:rsidR="008064A0">
        <w:rPr>
          <w:rFonts w:hint="eastAsia"/>
          <w:sz w:val="28"/>
          <w:szCs w:val="28"/>
        </w:rPr>
        <w:t>，其後項歐洲人權法院提起訴訟</w:t>
      </w:r>
      <w:r w:rsidRPr="005E758A">
        <w:rPr>
          <w:sz w:val="28"/>
          <w:szCs w:val="28"/>
        </w:rPr>
        <w:t>請求</w:t>
      </w:r>
      <w:r w:rsidR="008064A0">
        <w:rPr>
          <w:rFonts w:hint="eastAsia"/>
          <w:sz w:val="28"/>
          <w:szCs w:val="28"/>
        </w:rPr>
        <w:t>強制</w:t>
      </w:r>
      <w:r w:rsidRPr="005E758A">
        <w:rPr>
          <w:sz w:val="28"/>
          <w:szCs w:val="28"/>
        </w:rPr>
        <w:t>銷毀資料。</w:t>
      </w:r>
    </w:p>
    <w:p w14:paraId="6F028983" w14:textId="77777777" w:rsidR="002B035C" w:rsidRDefault="000F5857" w:rsidP="002B035C">
      <w:pPr>
        <w:snapToGrid w:val="0"/>
        <w:spacing w:before="100" w:beforeAutospacing="1" w:after="100" w:afterAutospacing="1"/>
        <w:ind w:firstLineChars="200" w:firstLine="560"/>
        <w:jc w:val="both"/>
        <w:rPr>
          <w:sz w:val="28"/>
          <w:szCs w:val="28"/>
        </w:rPr>
      </w:pPr>
      <w:r w:rsidRPr="005E758A">
        <w:rPr>
          <w:sz w:val="28"/>
          <w:szCs w:val="28"/>
        </w:rPr>
        <w:t>本案爭點為國家保留未成立犯罪之人之指紋檔案</w:t>
      </w:r>
      <w:r w:rsidR="002B035C">
        <w:rPr>
          <w:rFonts w:hint="eastAsia"/>
          <w:sz w:val="28"/>
          <w:szCs w:val="28"/>
        </w:rPr>
        <w:t>及</w:t>
      </w:r>
      <w:r w:rsidR="002B035C" w:rsidRPr="005E758A">
        <w:rPr>
          <w:sz w:val="28"/>
          <w:szCs w:val="28"/>
        </w:rPr>
        <w:t>DNA</w:t>
      </w:r>
      <w:r w:rsidR="002B035C" w:rsidRPr="005E758A">
        <w:rPr>
          <w:sz w:val="28"/>
          <w:szCs w:val="28"/>
        </w:rPr>
        <w:t>樣本</w:t>
      </w:r>
      <w:r w:rsidRPr="005E758A">
        <w:rPr>
          <w:sz w:val="28"/>
          <w:szCs w:val="28"/>
        </w:rPr>
        <w:t>是否侵犯隱私權。</w:t>
      </w:r>
      <w:r w:rsidR="001D05EF">
        <w:rPr>
          <w:rFonts w:hint="eastAsia"/>
          <w:sz w:val="28"/>
          <w:szCs w:val="28"/>
        </w:rPr>
        <w:t>其中涉及的法律為警察與刑事證據法</w:t>
      </w:r>
      <w:r w:rsidR="001D05EF" w:rsidRPr="005E758A">
        <w:rPr>
          <w:sz w:val="28"/>
          <w:szCs w:val="28"/>
        </w:rPr>
        <w:t>(</w:t>
      </w:r>
      <w:r w:rsidR="001D05EF" w:rsidRPr="005E758A">
        <w:rPr>
          <w:iCs/>
          <w:sz w:val="28"/>
          <w:szCs w:val="28"/>
        </w:rPr>
        <w:t xml:space="preserve">Police and Criminal Evidence Act 1984, </w:t>
      </w:r>
      <w:r w:rsidR="001D05EF" w:rsidRPr="005E758A">
        <w:rPr>
          <w:sz w:val="28"/>
          <w:szCs w:val="28"/>
        </w:rPr>
        <w:t>PACE</w:t>
      </w:r>
      <w:r w:rsidR="001D05EF" w:rsidRPr="005E758A">
        <w:rPr>
          <w:iCs/>
          <w:sz w:val="28"/>
          <w:szCs w:val="28"/>
        </w:rPr>
        <w:t>)</w:t>
      </w:r>
      <w:r w:rsidR="001D05EF">
        <w:rPr>
          <w:rFonts w:hint="eastAsia"/>
          <w:sz w:val="28"/>
          <w:szCs w:val="28"/>
        </w:rPr>
        <w:t>，該法第</w:t>
      </w:r>
      <w:r w:rsidR="001D05EF" w:rsidRPr="001D05EF">
        <w:rPr>
          <w:sz w:val="28"/>
          <w:szCs w:val="28"/>
        </w:rPr>
        <w:t>64(1A)</w:t>
      </w:r>
      <w:r w:rsidR="001D05EF">
        <w:rPr>
          <w:rFonts w:hint="eastAsia"/>
          <w:sz w:val="28"/>
          <w:szCs w:val="28"/>
        </w:rPr>
        <w:t>項</w:t>
      </w:r>
      <w:r w:rsidR="008064A0">
        <w:rPr>
          <w:rFonts w:hint="eastAsia"/>
          <w:sz w:val="28"/>
          <w:szCs w:val="28"/>
        </w:rPr>
        <w:t>規範了調查犯罪行為時所採集之指紋檔案</w:t>
      </w:r>
      <w:r w:rsidR="004A0A2F">
        <w:rPr>
          <w:rFonts w:hint="eastAsia"/>
          <w:sz w:val="28"/>
          <w:szCs w:val="28"/>
        </w:rPr>
        <w:t>及</w:t>
      </w:r>
      <w:r w:rsidR="004A0A2F">
        <w:rPr>
          <w:rFonts w:hint="eastAsia"/>
          <w:sz w:val="28"/>
          <w:szCs w:val="28"/>
        </w:rPr>
        <w:t>DNA</w:t>
      </w:r>
      <w:r w:rsidR="004A0A2F">
        <w:rPr>
          <w:rFonts w:hint="eastAsia"/>
          <w:sz w:val="28"/>
          <w:szCs w:val="28"/>
        </w:rPr>
        <w:t>樣本</w:t>
      </w:r>
      <w:r w:rsidR="008064A0">
        <w:rPr>
          <w:rFonts w:hint="eastAsia"/>
          <w:sz w:val="28"/>
          <w:szCs w:val="28"/>
        </w:rPr>
        <w:t>的保留或銷毀相關規定，其中第</w:t>
      </w:r>
      <w:r w:rsidR="008064A0">
        <w:rPr>
          <w:rFonts w:hint="eastAsia"/>
          <w:sz w:val="28"/>
          <w:szCs w:val="28"/>
        </w:rPr>
        <w:t>3</w:t>
      </w:r>
      <w:r w:rsidR="008064A0">
        <w:rPr>
          <w:rFonts w:hint="eastAsia"/>
          <w:sz w:val="28"/>
          <w:szCs w:val="28"/>
        </w:rPr>
        <w:t>款規定指紋或樣本採集後，若原犯罪嫌疑人之嫌疑被排除</w:t>
      </w:r>
      <w:r w:rsidR="002B035C">
        <w:rPr>
          <w:rFonts w:hint="eastAsia"/>
          <w:sz w:val="28"/>
          <w:szCs w:val="28"/>
        </w:rPr>
        <w:t>，其指紋檔案及樣本原則上應該被銷毀，惟實踐上英國政府仍為了增加指紋檔案及樣本資料庫的資料量及可用性而保留上開資料。歐洲人權法院認為</w:t>
      </w:r>
      <w:r w:rsidR="004A0A2F">
        <w:rPr>
          <w:rFonts w:hint="eastAsia"/>
          <w:sz w:val="28"/>
          <w:szCs w:val="28"/>
        </w:rPr>
        <w:t>，</w:t>
      </w:r>
      <w:r w:rsidRPr="005E758A">
        <w:rPr>
          <w:sz w:val="28"/>
          <w:szCs w:val="28"/>
        </w:rPr>
        <w:t>英國</w:t>
      </w:r>
      <w:r w:rsidR="002B035C">
        <w:rPr>
          <w:rFonts w:hint="eastAsia"/>
          <w:sz w:val="28"/>
          <w:szCs w:val="28"/>
        </w:rPr>
        <w:t>政府對犯罪調查時所採之</w:t>
      </w:r>
      <w:r w:rsidR="002B035C">
        <w:rPr>
          <w:rFonts w:hint="eastAsia"/>
          <w:sz w:val="28"/>
          <w:szCs w:val="28"/>
        </w:rPr>
        <w:t>DNA</w:t>
      </w:r>
      <w:r w:rsidR="002B035C">
        <w:rPr>
          <w:rFonts w:hint="eastAsia"/>
          <w:sz w:val="28"/>
          <w:szCs w:val="28"/>
        </w:rPr>
        <w:t>樣本及指紋檔案掌握了概括且不具區別性的</w:t>
      </w:r>
      <w:r w:rsidR="002B035C">
        <w:rPr>
          <w:rFonts w:hint="eastAsia"/>
          <w:sz w:val="28"/>
          <w:szCs w:val="28"/>
        </w:rPr>
        <w:t>(</w:t>
      </w:r>
      <w:r w:rsidR="002B035C">
        <w:rPr>
          <w:sz w:val="28"/>
          <w:szCs w:val="28"/>
        </w:rPr>
        <w:t>blanket and indiscriminate</w:t>
      </w:r>
      <w:r w:rsidR="002B035C">
        <w:rPr>
          <w:rFonts w:hint="eastAsia"/>
          <w:sz w:val="28"/>
          <w:szCs w:val="28"/>
        </w:rPr>
        <w:t>)</w:t>
      </w:r>
      <w:r w:rsidR="002B035C">
        <w:rPr>
          <w:rFonts w:hint="eastAsia"/>
          <w:sz w:val="28"/>
          <w:szCs w:val="28"/>
        </w:rPr>
        <w:t>權力，</w:t>
      </w:r>
      <w:r w:rsidR="004A0A2F">
        <w:rPr>
          <w:rFonts w:hint="eastAsia"/>
          <w:sz w:val="28"/>
          <w:szCs w:val="28"/>
        </w:rPr>
        <w:t>雖然其背後目的在於偵測並預防犯罪，立意良善，但這樣的作法</w:t>
      </w:r>
      <w:r w:rsidR="002B035C">
        <w:rPr>
          <w:rFonts w:hint="eastAsia"/>
          <w:sz w:val="28"/>
          <w:szCs w:val="28"/>
        </w:rPr>
        <w:t>並沒有在公共利益</w:t>
      </w:r>
      <w:r w:rsidR="004A0A2F">
        <w:rPr>
          <w:rFonts w:hint="eastAsia"/>
          <w:sz w:val="28"/>
          <w:szCs w:val="28"/>
        </w:rPr>
        <w:t>及犯罪嫌疑人</w:t>
      </w:r>
      <w:r w:rsidR="002B035C">
        <w:rPr>
          <w:rFonts w:hint="eastAsia"/>
          <w:sz w:val="28"/>
          <w:szCs w:val="28"/>
        </w:rPr>
        <w:t>的權利之間取得平衡，</w:t>
      </w:r>
      <w:r w:rsidR="004A0A2F">
        <w:rPr>
          <w:rFonts w:hint="eastAsia"/>
          <w:sz w:val="28"/>
          <w:szCs w:val="28"/>
        </w:rPr>
        <w:t>對</w:t>
      </w:r>
      <w:r w:rsidRPr="005E758A">
        <w:rPr>
          <w:sz w:val="28"/>
          <w:szCs w:val="28"/>
        </w:rPr>
        <w:t>人民之隱私權</w:t>
      </w:r>
      <w:r w:rsidR="004A0A2F">
        <w:rPr>
          <w:rFonts w:hint="eastAsia"/>
          <w:sz w:val="28"/>
          <w:szCs w:val="28"/>
        </w:rPr>
        <w:t>造成不成比例的侵害</w:t>
      </w:r>
      <w:r w:rsidRPr="005E758A">
        <w:rPr>
          <w:sz w:val="28"/>
          <w:szCs w:val="28"/>
        </w:rPr>
        <w:t>。</w:t>
      </w:r>
    </w:p>
    <w:p w14:paraId="4F626A3D" w14:textId="77777777" w:rsidR="000F5857" w:rsidRPr="005E758A" w:rsidRDefault="000F5857" w:rsidP="002B035C">
      <w:pPr>
        <w:snapToGrid w:val="0"/>
        <w:spacing w:before="100" w:beforeAutospacing="1" w:after="100" w:afterAutospacing="1"/>
        <w:ind w:firstLineChars="200" w:firstLine="560"/>
        <w:jc w:val="both"/>
        <w:rPr>
          <w:sz w:val="28"/>
          <w:szCs w:val="28"/>
        </w:rPr>
      </w:pPr>
      <w:r w:rsidRPr="005E758A">
        <w:rPr>
          <w:sz w:val="28"/>
          <w:szCs w:val="28"/>
        </w:rPr>
        <w:t>法院特別引用兒童權利公約第</w:t>
      </w:r>
      <w:r w:rsidRPr="005E758A">
        <w:rPr>
          <w:sz w:val="28"/>
          <w:szCs w:val="28"/>
        </w:rPr>
        <w:t>40</w:t>
      </w:r>
      <w:r w:rsidRPr="005E758A">
        <w:rPr>
          <w:sz w:val="28"/>
          <w:szCs w:val="28"/>
        </w:rPr>
        <w:t>條所指出兒童被指稱、指控或認為涉嫌觸犯刑事法律之情況下所應有之權利，認為兒童於刑事程序中之隱私需特別受保護。縱使本案中之</w:t>
      </w:r>
      <w:r w:rsidRPr="005E758A">
        <w:rPr>
          <w:sz w:val="28"/>
          <w:szCs w:val="28"/>
        </w:rPr>
        <w:t>DNA</w:t>
      </w:r>
      <w:r w:rsidRPr="005E758A">
        <w:rPr>
          <w:sz w:val="28"/>
          <w:szCs w:val="28"/>
        </w:rPr>
        <w:t>採樣法具有保護大眾免於犯罪行為之強烈公益目的，仍須考量到個人於其享有隱私生活之權利，二者間須權衡。在本案中，警察持有未被證明有罪之人之生物性資料明顯違反個人之隱私。</w:t>
      </w:r>
    </w:p>
    <w:p w14:paraId="0D92858C" w14:textId="77777777" w:rsidR="000F5857" w:rsidRPr="005E758A" w:rsidRDefault="000F5857" w:rsidP="000F5857">
      <w:pPr>
        <w:snapToGrid w:val="0"/>
        <w:spacing w:before="100" w:beforeAutospacing="1" w:after="100" w:afterAutospacing="1"/>
        <w:ind w:firstLineChars="200" w:firstLine="560"/>
        <w:jc w:val="both"/>
        <w:rPr>
          <w:sz w:val="28"/>
          <w:szCs w:val="28"/>
        </w:rPr>
      </w:pPr>
      <w:r w:rsidRPr="005E758A">
        <w:rPr>
          <w:sz w:val="28"/>
          <w:szCs w:val="28"/>
        </w:rPr>
        <w:t>由於公約第</w:t>
      </w:r>
      <w:r w:rsidRPr="005E758A">
        <w:rPr>
          <w:sz w:val="28"/>
          <w:szCs w:val="28"/>
        </w:rPr>
        <w:t>40</w:t>
      </w:r>
      <w:r w:rsidRPr="005E758A">
        <w:rPr>
          <w:sz w:val="28"/>
          <w:szCs w:val="28"/>
        </w:rPr>
        <w:t>條的規定非常具體詳細，因此，部分國家，如荷蘭，其法院甚至認為具有直接效力，得於個案中直接適用，作為判決之依據</w:t>
      </w:r>
      <w:r w:rsidRPr="005E758A">
        <w:rPr>
          <w:rStyle w:val="af3"/>
          <w:szCs w:val="28"/>
        </w:rPr>
        <w:endnoteReference w:id="555"/>
      </w:r>
      <w:r w:rsidRPr="005E758A">
        <w:rPr>
          <w:sz w:val="28"/>
          <w:szCs w:val="28"/>
        </w:rPr>
        <w:t>。</w:t>
      </w:r>
    </w:p>
    <w:p w14:paraId="491A081A" w14:textId="77777777" w:rsidR="000F5857" w:rsidRPr="005E758A" w:rsidRDefault="000F5857" w:rsidP="00F02A5C">
      <w:pPr>
        <w:pStyle w:val="2"/>
        <w:numPr>
          <w:ilvl w:val="0"/>
          <w:numId w:val="193"/>
        </w:numPr>
      </w:pPr>
      <w:r w:rsidRPr="005E758A">
        <w:lastRenderedPageBreak/>
        <w:t>綜合分析</w:t>
      </w:r>
    </w:p>
    <w:p w14:paraId="06B5A8C9" w14:textId="77777777" w:rsidR="000F5857" w:rsidRPr="005E758A" w:rsidRDefault="000F5857" w:rsidP="000F5857">
      <w:pPr>
        <w:snapToGrid w:val="0"/>
        <w:spacing w:before="100" w:beforeAutospacing="1" w:after="100" w:afterAutospacing="1"/>
        <w:ind w:firstLineChars="200" w:firstLine="560"/>
        <w:jc w:val="both"/>
        <w:rPr>
          <w:sz w:val="28"/>
          <w:szCs w:val="28"/>
        </w:rPr>
      </w:pPr>
      <w:r w:rsidRPr="005E758A">
        <w:rPr>
          <w:sz w:val="28"/>
          <w:szCs w:val="28"/>
        </w:rPr>
        <w:t>司法為解決紛爭的主要途徑。在刑事案件，由於涉及生命權、身體權及財產權的剝奪，故其程序具有相當的嚴肅性，過程則對被告具相當的敵性及不友善性。對兒童而言，對司法審判會在心理上產生相當的恐懼感，再加上其無法完足地表達自己的想法，更可能因此遭受不利判決。兒童在刑事程序中應受特別保護，正是本條立意。另，兒童權利委員會要求締約國廢止「虞犯」的法律，則係基於平等權的考量及保護中下階層兒童，立意無可厚非，但實踐上，大多數國家仍保有不同事由的虞犯規定。我國少年事件處理法第</w:t>
      </w:r>
      <w:r w:rsidRPr="005E758A">
        <w:rPr>
          <w:sz w:val="28"/>
          <w:szCs w:val="28"/>
        </w:rPr>
        <w:t>3</w:t>
      </w:r>
      <w:r w:rsidRPr="005E758A">
        <w:rPr>
          <w:sz w:val="28"/>
          <w:szCs w:val="28"/>
        </w:rPr>
        <w:t>條亦規定七類之虞犯，未來應如何修正，有待觀察。</w:t>
      </w:r>
    </w:p>
    <w:p w14:paraId="0218EA9C" w14:textId="77777777" w:rsidR="000F5857" w:rsidRPr="005E758A" w:rsidRDefault="000F5857" w:rsidP="00F02A5C">
      <w:pPr>
        <w:pStyle w:val="2"/>
        <w:numPr>
          <w:ilvl w:val="0"/>
          <w:numId w:val="193"/>
        </w:numPr>
      </w:pPr>
      <w:r w:rsidRPr="005E758A">
        <w:t>參考資料</w:t>
      </w:r>
    </w:p>
    <w:p w14:paraId="10ED1002" w14:textId="77777777" w:rsidR="00364EBE" w:rsidRPr="00364EBE" w:rsidRDefault="00364EBE" w:rsidP="00364EBE">
      <w:pPr>
        <w:pStyle w:val="a0"/>
        <w:numPr>
          <w:ilvl w:val="1"/>
          <w:numId w:val="1"/>
        </w:numPr>
        <w:snapToGrid w:val="0"/>
        <w:spacing w:before="100" w:beforeAutospacing="1" w:after="100" w:afterAutospacing="1"/>
        <w:ind w:leftChars="0" w:left="357" w:hanging="357"/>
        <w:jc w:val="both"/>
        <w:rPr>
          <w:rFonts w:ascii="Times New Roman" w:eastAsia="標楷體" w:hAnsi="Times New Roman"/>
          <w:sz w:val="28"/>
          <w:szCs w:val="28"/>
        </w:rPr>
      </w:pPr>
      <w:r w:rsidRPr="00364EBE">
        <w:rPr>
          <w:rFonts w:ascii="Times New Roman" w:eastAsia="標楷體" w:hAnsi="Times New Roman"/>
          <w:sz w:val="28"/>
          <w:szCs w:val="28"/>
        </w:rPr>
        <w:t>UNICEF, Implementation Handbook for the Convention on the Rights of the Child (3d ed. 2007).</w:t>
      </w:r>
    </w:p>
    <w:p w14:paraId="718BCC15" w14:textId="77777777" w:rsidR="00364EBE" w:rsidRPr="00364EBE" w:rsidRDefault="00364EBE" w:rsidP="00364EBE">
      <w:pPr>
        <w:pStyle w:val="a0"/>
        <w:numPr>
          <w:ilvl w:val="1"/>
          <w:numId w:val="1"/>
        </w:numPr>
        <w:snapToGrid w:val="0"/>
        <w:spacing w:before="100" w:beforeAutospacing="1" w:after="100" w:afterAutospacing="1"/>
        <w:ind w:leftChars="0" w:left="357" w:hanging="357"/>
        <w:jc w:val="both"/>
        <w:rPr>
          <w:rFonts w:ascii="Times New Roman" w:eastAsia="標楷體" w:hAnsi="Times New Roman"/>
          <w:sz w:val="28"/>
          <w:szCs w:val="28"/>
        </w:rPr>
      </w:pPr>
      <w:r w:rsidRPr="00364EBE">
        <w:rPr>
          <w:rFonts w:ascii="Times New Roman" w:eastAsia="標楷體" w:hAnsi="Times New Roman"/>
          <w:sz w:val="28"/>
          <w:szCs w:val="28"/>
        </w:rPr>
        <w:t>兒童權利委員會第</w:t>
      </w:r>
      <w:r w:rsidRPr="00364EBE">
        <w:rPr>
          <w:rFonts w:ascii="Times New Roman" w:eastAsia="標楷體" w:hAnsi="Times New Roman"/>
          <w:sz w:val="28"/>
          <w:szCs w:val="28"/>
        </w:rPr>
        <w:t>10</w:t>
      </w:r>
      <w:r w:rsidRPr="00364EBE">
        <w:rPr>
          <w:rFonts w:ascii="Times New Roman" w:eastAsia="標楷體" w:hAnsi="Times New Roman"/>
          <w:sz w:val="28"/>
          <w:szCs w:val="28"/>
        </w:rPr>
        <w:t>號一般性意見「少年司法中的兒童權利」</w:t>
      </w:r>
      <w:r w:rsidRPr="00364EBE">
        <w:rPr>
          <w:rFonts w:ascii="Times New Roman" w:eastAsia="標楷體" w:hAnsi="Times New Roman"/>
          <w:sz w:val="28"/>
          <w:szCs w:val="28"/>
        </w:rPr>
        <w:t>(Committee on the Rights of the Child, General Comment No. 10: Children’s Rights in Juvenile Justice, U.N. Doc. CRC/C/GC/10 (Apr. 25, 2007)</w:t>
      </w:r>
    </w:p>
    <w:p w14:paraId="1B212AAE" w14:textId="77777777" w:rsidR="000F5857" w:rsidRPr="00364EBE" w:rsidRDefault="000F5857" w:rsidP="00364EBE">
      <w:pPr>
        <w:pStyle w:val="a0"/>
        <w:numPr>
          <w:ilvl w:val="1"/>
          <w:numId w:val="1"/>
        </w:numPr>
        <w:snapToGrid w:val="0"/>
        <w:spacing w:before="100" w:beforeAutospacing="1" w:after="100" w:afterAutospacing="1"/>
        <w:ind w:leftChars="0" w:left="357" w:hanging="357"/>
        <w:jc w:val="both"/>
        <w:rPr>
          <w:rFonts w:ascii="Times New Roman" w:eastAsia="標楷體" w:hAnsi="Times New Roman"/>
          <w:sz w:val="28"/>
          <w:szCs w:val="28"/>
        </w:rPr>
      </w:pPr>
      <w:r w:rsidRPr="005E758A">
        <w:rPr>
          <w:rFonts w:ascii="Times New Roman" w:eastAsia="標楷體" w:hAnsi="Times New Roman"/>
          <w:sz w:val="28"/>
          <w:szCs w:val="28"/>
        </w:rPr>
        <w:t>林沛君，兒少人權向前行，臺北市，台灣展翅協會，</w:t>
      </w:r>
      <w:r w:rsidRPr="005E758A">
        <w:rPr>
          <w:rFonts w:ascii="Times New Roman" w:eastAsia="標楷體" w:hAnsi="Times New Roman"/>
          <w:sz w:val="28"/>
          <w:szCs w:val="28"/>
        </w:rPr>
        <w:t>2015</w:t>
      </w:r>
      <w:r w:rsidRPr="005E758A">
        <w:rPr>
          <w:rFonts w:ascii="Times New Roman" w:eastAsia="標楷體" w:hAnsi="Times New Roman"/>
          <w:sz w:val="28"/>
          <w:szCs w:val="28"/>
        </w:rPr>
        <w:t>年</w:t>
      </w:r>
      <w:r w:rsidRPr="005E758A">
        <w:rPr>
          <w:rFonts w:ascii="Times New Roman" w:eastAsia="標楷體" w:hAnsi="Times New Roman"/>
          <w:sz w:val="28"/>
          <w:szCs w:val="28"/>
        </w:rPr>
        <w:t>4</w:t>
      </w:r>
      <w:r w:rsidRPr="005E758A">
        <w:rPr>
          <w:rFonts w:ascii="Times New Roman" w:eastAsia="標楷體" w:hAnsi="Times New Roman"/>
          <w:sz w:val="28"/>
          <w:szCs w:val="28"/>
        </w:rPr>
        <w:t>月。</w:t>
      </w:r>
    </w:p>
    <w:p w14:paraId="626F2229" w14:textId="77777777" w:rsidR="00364EBE" w:rsidRPr="00364EBE" w:rsidRDefault="00364EBE" w:rsidP="00364EBE">
      <w:pPr>
        <w:pStyle w:val="a0"/>
        <w:numPr>
          <w:ilvl w:val="1"/>
          <w:numId w:val="1"/>
        </w:numPr>
        <w:snapToGrid w:val="0"/>
        <w:spacing w:before="100" w:beforeAutospacing="1" w:after="100" w:afterAutospacing="1"/>
        <w:ind w:leftChars="0" w:left="357" w:hanging="357"/>
        <w:jc w:val="both"/>
        <w:rPr>
          <w:rFonts w:ascii="Times New Roman" w:eastAsia="標楷體" w:hAnsi="Times New Roman"/>
          <w:sz w:val="28"/>
          <w:szCs w:val="28"/>
        </w:rPr>
      </w:pPr>
      <w:r w:rsidRPr="00364EBE">
        <w:rPr>
          <w:rFonts w:ascii="Times New Roman" w:eastAsia="標楷體" w:hAnsi="Times New Roman"/>
          <w:sz w:val="28"/>
          <w:szCs w:val="28"/>
        </w:rPr>
        <w:t>聯合國少年司法最低限度標準規則（北京規則），第</w:t>
      </w:r>
      <w:r w:rsidRPr="00364EBE">
        <w:rPr>
          <w:rFonts w:ascii="Times New Roman" w:eastAsia="標楷體" w:hAnsi="Times New Roman"/>
          <w:sz w:val="28"/>
          <w:szCs w:val="28"/>
        </w:rPr>
        <w:t>21</w:t>
      </w:r>
      <w:r w:rsidRPr="00364EBE">
        <w:rPr>
          <w:rFonts w:ascii="Times New Roman" w:eastAsia="標楷體" w:hAnsi="Times New Roman"/>
          <w:sz w:val="28"/>
          <w:szCs w:val="28"/>
        </w:rPr>
        <w:t>條。</w:t>
      </w:r>
      <w:r w:rsidRPr="00364EBE">
        <w:rPr>
          <w:rFonts w:ascii="Times New Roman" w:eastAsia="標楷體" w:hAnsi="Times New Roman"/>
          <w:sz w:val="28"/>
          <w:szCs w:val="28"/>
        </w:rPr>
        <w:t>U.N. Standard Minimum Rules for the Administration of Juvenile Justice, G.A. Res. 40/33, Annex, Rule 21, U.N. Doc. A/RES/40/33 (Nov. 29, 1985).</w:t>
      </w:r>
    </w:p>
    <w:p w14:paraId="5C7E6DA3" w14:textId="77777777" w:rsidR="000F5857" w:rsidRPr="005E758A" w:rsidRDefault="000F5857" w:rsidP="000F5857"/>
    <w:p w14:paraId="7940F1E2" w14:textId="77777777" w:rsidR="000F5857" w:rsidRPr="005E758A" w:rsidRDefault="000F5857" w:rsidP="000F5857">
      <w:pPr>
        <w:snapToGrid w:val="0"/>
        <w:spacing w:before="100" w:beforeAutospacing="1" w:after="100" w:afterAutospacing="1"/>
        <w:jc w:val="both"/>
        <w:rPr>
          <w:sz w:val="28"/>
          <w:szCs w:val="28"/>
        </w:rPr>
      </w:pPr>
      <w:r w:rsidRPr="005E758A">
        <w:rPr>
          <w:sz w:val="28"/>
          <w:szCs w:val="28"/>
        </w:rPr>
        <w:t>關鍵字：少年司法、兒童最佳利益、程序保障、隱私權</w:t>
      </w:r>
    </w:p>
    <w:sectPr w:rsidR="000F5857" w:rsidRPr="005E758A">
      <w:footnotePr>
        <w:numRestart w:val="eachSect"/>
      </w:footnotePr>
      <w:endnotePr>
        <w:numFmt w:val="decimal"/>
        <w:numRestart w:val="eachSect"/>
      </w:endnotePr>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7E23AB" w14:textId="77777777" w:rsidR="00EE5529" w:rsidRDefault="00EE5529" w:rsidP="00653CC5">
      <w:r>
        <w:separator/>
      </w:r>
    </w:p>
  </w:endnote>
  <w:endnote w:type="continuationSeparator" w:id="0">
    <w:p w14:paraId="55C0DB90" w14:textId="77777777" w:rsidR="00EE5529" w:rsidRDefault="00EE5529" w:rsidP="00653CC5">
      <w:r>
        <w:continuationSeparator/>
      </w:r>
    </w:p>
  </w:endnote>
  <w:endnote w:id="1">
    <w:p w14:paraId="585653F9"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smallCaps/>
          <w:szCs w:val="24"/>
        </w:rPr>
        <w:t xml:space="preserve">UNICEF, Implementation Handbook for the Convention on the Rights of the Child 1 </w:t>
      </w:r>
      <w:r w:rsidRPr="003B6411">
        <w:rPr>
          <w:szCs w:val="24"/>
        </w:rPr>
        <w:t>(3d ed. 2007).</w:t>
      </w:r>
    </w:p>
  </w:endnote>
  <w:endnote w:id="2">
    <w:p w14:paraId="02E06934"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i/>
          <w:szCs w:val="24"/>
        </w:rPr>
        <w:t xml:space="preserve">Id. </w:t>
      </w:r>
      <w:r w:rsidRPr="003B6411">
        <w:rPr>
          <w:szCs w:val="24"/>
        </w:rPr>
        <w:t xml:space="preserve">at 2. </w:t>
      </w:r>
    </w:p>
  </w:endnote>
  <w:endnote w:id="3">
    <w:p w14:paraId="76309906"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i/>
          <w:szCs w:val="24"/>
        </w:rPr>
        <w:t xml:space="preserve">Id. </w:t>
      </w:r>
      <w:r w:rsidRPr="003B6411">
        <w:rPr>
          <w:szCs w:val="24"/>
        </w:rPr>
        <w:t>at 3.</w:t>
      </w:r>
    </w:p>
  </w:endnote>
  <w:endnote w:id="4">
    <w:p w14:paraId="416B70AB"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szCs w:val="24"/>
        </w:rPr>
        <w:t>兒童權利委員會，關於締約國根據兒童權利公約第</w:t>
      </w:r>
      <w:r w:rsidRPr="003B6411">
        <w:rPr>
          <w:szCs w:val="24"/>
        </w:rPr>
        <w:t>44</w:t>
      </w:r>
      <w:r w:rsidRPr="003B6411">
        <w:rPr>
          <w:szCs w:val="24"/>
        </w:rPr>
        <w:t>條第</w:t>
      </w:r>
      <w:r w:rsidRPr="003B6411">
        <w:rPr>
          <w:szCs w:val="24"/>
        </w:rPr>
        <w:t>1</w:t>
      </w:r>
      <w:r w:rsidRPr="003B6411">
        <w:rPr>
          <w:szCs w:val="24"/>
        </w:rPr>
        <w:t>款</w:t>
      </w:r>
      <w:r w:rsidRPr="003B6411">
        <w:rPr>
          <w:szCs w:val="24"/>
        </w:rPr>
        <w:t>(b)</w:t>
      </w:r>
      <w:r w:rsidRPr="003B6411">
        <w:rPr>
          <w:szCs w:val="24"/>
        </w:rPr>
        <w:t>項提交的定期報告的形式和內容的條約專要準則（</w:t>
      </w:r>
      <w:r w:rsidRPr="003B6411">
        <w:rPr>
          <w:szCs w:val="24"/>
        </w:rPr>
        <w:t>2015</w:t>
      </w:r>
      <w:r w:rsidRPr="003B6411">
        <w:rPr>
          <w:szCs w:val="24"/>
        </w:rPr>
        <w:t>年修訂版），第</w:t>
      </w:r>
      <w:r w:rsidRPr="003B6411">
        <w:rPr>
          <w:szCs w:val="24"/>
        </w:rPr>
        <w:t>22</w:t>
      </w:r>
      <w:r w:rsidRPr="003B6411">
        <w:rPr>
          <w:szCs w:val="24"/>
        </w:rPr>
        <w:t>段。</w:t>
      </w:r>
      <w:r w:rsidRPr="003B6411">
        <w:rPr>
          <w:szCs w:val="24"/>
        </w:rPr>
        <w:t>Committee on the Rights of the Child, Treaty-Specific Guidelines Regarding the Form and Content of Periodic Reports to Be Submitted by States Parties under Article 44, Paragraph 1 (b), of the Convention on the Rights of the Child, ¶ 22, U.N. Doc. CRC/C/58/Rev.3 (Mar. 3, 2015).</w:t>
      </w:r>
    </w:p>
  </w:endnote>
  <w:endnote w:id="5">
    <w:p w14:paraId="51CE39D8"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Committee on the Rights of the Child, Concluding Observations: Japan, ¶¶ 14-35, U.N. Doc. CRC/C/15/Add.90 (June 24, 1998).</w:t>
      </w:r>
    </w:p>
  </w:endnote>
  <w:endnote w:id="6">
    <w:p w14:paraId="6F8DF89F" w14:textId="77777777" w:rsidR="00E856B6" w:rsidRPr="003B6411" w:rsidRDefault="00E856B6" w:rsidP="00EA57D7">
      <w:pPr>
        <w:pStyle w:val="af1"/>
        <w:jc w:val="both"/>
        <w:rPr>
          <w:szCs w:val="24"/>
        </w:rPr>
      </w:pPr>
      <w:r w:rsidRPr="003B6411">
        <w:rPr>
          <w:rStyle w:val="af3"/>
        </w:rPr>
        <w:endnoteRef/>
      </w:r>
      <w:r w:rsidRPr="003B6411">
        <w:rPr>
          <w:szCs w:val="24"/>
        </w:rPr>
        <w:t xml:space="preserve"> </w:t>
      </w:r>
      <w:r w:rsidRPr="003B6411">
        <w:rPr>
          <w:szCs w:val="24"/>
        </w:rPr>
        <w:t>兒童權利委員會，關於締約國根據兒童權利公約第</w:t>
      </w:r>
      <w:r w:rsidRPr="003B6411">
        <w:rPr>
          <w:szCs w:val="24"/>
        </w:rPr>
        <w:t>44</w:t>
      </w:r>
      <w:r w:rsidRPr="003B6411">
        <w:rPr>
          <w:szCs w:val="24"/>
        </w:rPr>
        <w:t>條第</w:t>
      </w:r>
      <w:r w:rsidRPr="003B6411">
        <w:rPr>
          <w:szCs w:val="24"/>
        </w:rPr>
        <w:t>1</w:t>
      </w:r>
      <w:r w:rsidRPr="003B6411">
        <w:rPr>
          <w:szCs w:val="24"/>
        </w:rPr>
        <w:t>款</w:t>
      </w:r>
      <w:r w:rsidRPr="003B6411">
        <w:rPr>
          <w:szCs w:val="24"/>
        </w:rPr>
        <w:t>(b)</w:t>
      </w:r>
      <w:r w:rsidRPr="003B6411">
        <w:rPr>
          <w:szCs w:val="24"/>
        </w:rPr>
        <w:t>項提交的定期報告的形式和內容的條約專要準則（</w:t>
      </w:r>
      <w:r w:rsidRPr="003B6411">
        <w:rPr>
          <w:szCs w:val="24"/>
        </w:rPr>
        <w:t>1996</w:t>
      </w:r>
      <w:r w:rsidRPr="003B6411">
        <w:rPr>
          <w:szCs w:val="24"/>
        </w:rPr>
        <w:t>年版），第</w:t>
      </w:r>
      <w:r w:rsidRPr="003B6411">
        <w:rPr>
          <w:szCs w:val="24"/>
        </w:rPr>
        <w:t>22</w:t>
      </w:r>
      <w:r w:rsidRPr="003B6411">
        <w:rPr>
          <w:szCs w:val="24"/>
        </w:rPr>
        <w:t>段。</w:t>
      </w:r>
      <w:r w:rsidRPr="003B6411">
        <w:rPr>
          <w:szCs w:val="24"/>
        </w:rPr>
        <w:t>Committee on the Rights of the Child, Treaty-Specific Guidelines Regarding the Form and Content of Periodic Reports to Be Submitted by States Parties under Article 44, Paragraph 1 (b), of the Convention on the Rights of the Child, ¶ 24, U.N. Doc. CRC/C/58 (Nov. 20, 1996).</w:t>
      </w:r>
    </w:p>
  </w:endnote>
  <w:endnote w:id="7">
    <w:p w14:paraId="3487CDD8"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smallCaps/>
          <w:szCs w:val="24"/>
        </w:rPr>
        <w:t xml:space="preserve">UNICEF, </w:t>
      </w:r>
      <w:r w:rsidRPr="003B6411">
        <w:rPr>
          <w:i/>
          <w:szCs w:val="24"/>
        </w:rPr>
        <w:t>supra</w:t>
      </w:r>
      <w:r w:rsidRPr="003B6411">
        <w:rPr>
          <w:szCs w:val="24"/>
        </w:rPr>
        <w:t xml:space="preserve"> note </w:t>
      </w:r>
      <w:r w:rsidRPr="003B6411">
        <w:fldChar w:fldCharType="begin"/>
      </w:r>
      <w:r w:rsidRPr="003B6411">
        <w:instrText xml:space="preserve"> NOTEREF _Ref427058663 \h  \* MERGEFORMAT </w:instrText>
      </w:r>
      <w:r w:rsidRPr="003B6411">
        <w:fldChar w:fldCharType="separate"/>
      </w:r>
      <w:r w:rsidR="00DA394E">
        <w:t>1</w:t>
      </w:r>
      <w:r w:rsidRPr="003B6411">
        <w:fldChar w:fldCharType="end"/>
      </w:r>
      <w:r w:rsidRPr="003B6411">
        <w:rPr>
          <w:szCs w:val="24"/>
        </w:rPr>
        <w:t>, at 5.</w:t>
      </w:r>
    </w:p>
  </w:endnote>
  <w:endnote w:id="8">
    <w:p w14:paraId="58F0A877"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i/>
          <w:szCs w:val="24"/>
        </w:rPr>
        <w:t>Id</w:t>
      </w:r>
      <w:r w:rsidRPr="003B6411">
        <w:rPr>
          <w:szCs w:val="24"/>
        </w:rPr>
        <w:t>.</w:t>
      </w:r>
    </w:p>
  </w:endnote>
  <w:endnote w:id="9">
    <w:p w14:paraId="237BC4A2"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Dr Subramanian Swamy &amp; Ors v. Raju Thr. Member Juvenile Justice Board &amp; Anr, Mar. 28, 2014 (India), </w:t>
      </w:r>
      <w:r w:rsidRPr="003B6411">
        <w:rPr>
          <w:i/>
          <w:szCs w:val="24"/>
        </w:rPr>
        <w:t>available at</w:t>
      </w:r>
      <w:r w:rsidRPr="003B6411">
        <w:rPr>
          <w:szCs w:val="24"/>
        </w:rPr>
        <w:t xml:space="preserve"> http://judis.nic.in/supremecourt/imgs1.aspx?</w:t>
      </w:r>
      <w:r w:rsidRPr="003B6411">
        <w:rPr>
          <w:szCs w:val="24"/>
        </w:rPr>
        <w:br/>
        <w:t>filename=41356 (last visited Aug. 11, 2015).</w:t>
      </w:r>
    </w:p>
  </w:endnote>
  <w:endnote w:id="10">
    <w:p w14:paraId="5E3347CD"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The State (ex parte Stanford Kashuga) v. the Second Grade Magistrate Court (Thyolo) and Malawi Prison Service, Feb. 4, 2015 (Malawi), </w:t>
      </w:r>
      <w:r w:rsidRPr="003B6411">
        <w:rPr>
          <w:i/>
          <w:szCs w:val="24"/>
        </w:rPr>
        <w:t>available at</w:t>
      </w:r>
      <w:r w:rsidRPr="003B6411">
        <w:rPr>
          <w:szCs w:val="24"/>
        </w:rPr>
        <w:t xml:space="preserve"> https://www.crin.org/</w:t>
      </w:r>
      <w:r w:rsidRPr="003B6411">
        <w:rPr>
          <w:szCs w:val="24"/>
        </w:rPr>
        <w:br/>
        <w:t>en/library/legal-database/state-ex-parte-stanford-kashuga-v-second-grade-magistrate-court-thyolo-and (case summary) (last visited Aug. 11, 2015).</w:t>
      </w:r>
    </w:p>
  </w:endnote>
  <w:endnote w:id="11">
    <w:p w14:paraId="70567237" w14:textId="77777777" w:rsidR="00E856B6" w:rsidRPr="003B6411" w:rsidRDefault="00E856B6" w:rsidP="00EA57D7">
      <w:pPr>
        <w:pStyle w:val="af1"/>
        <w:jc w:val="both"/>
        <w:rPr>
          <w:szCs w:val="24"/>
        </w:rPr>
      </w:pPr>
      <w:r w:rsidRPr="003B6411">
        <w:rPr>
          <w:rStyle w:val="af3"/>
          <w:szCs w:val="24"/>
        </w:rPr>
        <w:endnoteRef/>
      </w:r>
      <w:r w:rsidRPr="003B6411">
        <w:rPr>
          <w:szCs w:val="24"/>
        </w:rPr>
        <w:t>兒童權利委員會第</w:t>
      </w:r>
      <w:r w:rsidRPr="003B6411">
        <w:rPr>
          <w:szCs w:val="24"/>
        </w:rPr>
        <w:t>5</w:t>
      </w:r>
      <w:r w:rsidRPr="003B6411">
        <w:rPr>
          <w:szCs w:val="24"/>
        </w:rPr>
        <w:t>號一般性意見「執行兒童權利公約的一般措施」，第</w:t>
      </w:r>
      <w:r w:rsidRPr="003B6411">
        <w:rPr>
          <w:szCs w:val="24"/>
        </w:rPr>
        <w:t>12</w:t>
      </w:r>
      <w:r w:rsidRPr="003B6411">
        <w:rPr>
          <w:szCs w:val="24"/>
        </w:rPr>
        <w:t>段。</w:t>
      </w:r>
      <w:r w:rsidRPr="003B6411">
        <w:rPr>
          <w:szCs w:val="24"/>
        </w:rPr>
        <w:t>Committee on the Rights of the Child, General Comment No. 5: General Measures of Implementation of the Convention on the Rights of the Child, ¶ 12, U.N. Doc. CRC/GC/2003/5 (Nov. 27, 2003).</w:t>
      </w:r>
    </w:p>
  </w:endnote>
  <w:endnote w:id="12">
    <w:p w14:paraId="3F6893A7"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Children Rights Information Network (CRIN),</w:t>
      </w:r>
      <w:r w:rsidRPr="003B6411">
        <w:rPr>
          <w:i/>
          <w:szCs w:val="24"/>
        </w:rPr>
        <w:t xml:space="preserve"> Guide to Non-Discrimination and the CRC</w:t>
      </w:r>
      <w:r w:rsidRPr="003B6411">
        <w:rPr>
          <w:szCs w:val="24"/>
        </w:rPr>
        <w:t xml:space="preserve"> (2009), https://www.crin.org/docs/CRC_Guide.pdf (last visited June 10, 2015).</w:t>
      </w:r>
    </w:p>
  </w:endnote>
  <w:endnote w:id="13">
    <w:p w14:paraId="29F54842"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szCs w:val="24"/>
        </w:rPr>
        <w:t>聯合國秘書長，「歧視之主要態樣與肇因備忘錄」，第</w:t>
      </w:r>
      <w:r w:rsidRPr="003B6411">
        <w:rPr>
          <w:szCs w:val="24"/>
        </w:rPr>
        <w:t>30</w:t>
      </w:r>
      <w:r w:rsidRPr="003B6411">
        <w:rPr>
          <w:szCs w:val="24"/>
        </w:rPr>
        <w:t>段。</w:t>
      </w:r>
      <w:r w:rsidRPr="003B6411">
        <w:rPr>
          <w:szCs w:val="24"/>
        </w:rPr>
        <w:t>U.N. Secretary-General The Main Types and Causes of Discrimination: Memorandum Submitted by the Secretary General, ¶ 30, UN Doc. E/CN.4/Sub.2/40/Rev.1 (1949).</w:t>
      </w:r>
    </w:p>
  </w:endnote>
  <w:endnote w:id="14">
    <w:p w14:paraId="41E1D69B"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smallCaps/>
          <w:szCs w:val="24"/>
        </w:rPr>
        <w:t>Bruce Abramson, A Commentary on the U.N Convention on the Rights of the Child: Article 2: The Right of Non-Discrimination</w:t>
      </w:r>
      <w:r w:rsidRPr="003B6411">
        <w:rPr>
          <w:szCs w:val="24"/>
        </w:rPr>
        <w:t xml:space="preserve"> 31-32 (André Alen et al. eds., 2008).</w:t>
      </w:r>
    </w:p>
  </w:endnote>
  <w:endnote w:id="15">
    <w:p w14:paraId="0FF2CEDB"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szCs w:val="24"/>
        </w:rPr>
        <w:t>兒童權利委員會，第</w:t>
      </w:r>
      <w:r w:rsidRPr="003B6411">
        <w:rPr>
          <w:szCs w:val="24"/>
        </w:rPr>
        <w:t>3</w:t>
      </w:r>
      <w:r w:rsidRPr="003B6411">
        <w:rPr>
          <w:szCs w:val="24"/>
        </w:rPr>
        <w:t>號一般性意見「愛滋病與兒童權利」，第</w:t>
      </w:r>
      <w:r w:rsidRPr="003B6411">
        <w:rPr>
          <w:szCs w:val="24"/>
        </w:rPr>
        <w:t>9</w:t>
      </w:r>
      <w:r w:rsidRPr="003B6411">
        <w:rPr>
          <w:szCs w:val="24"/>
        </w:rPr>
        <w:t>段。</w:t>
      </w:r>
      <w:r w:rsidRPr="003B6411">
        <w:rPr>
          <w:szCs w:val="24"/>
        </w:rPr>
        <w:t>Committee on the Rights of the Child, General Comment No. 3: HIV/AIDS and the Rights of the Child, ¶ 9, U.N. Doc. CRC/GC/2003/3 (Mar. 17, 2003).</w:t>
      </w:r>
    </w:p>
  </w:endnote>
  <w:endnote w:id="16">
    <w:p w14:paraId="70F6532A" w14:textId="77777777" w:rsidR="00E856B6" w:rsidRPr="003B6411" w:rsidRDefault="00E856B6" w:rsidP="00EA57D7">
      <w:pPr>
        <w:pStyle w:val="af1"/>
        <w:jc w:val="both"/>
        <w:rPr>
          <w:szCs w:val="24"/>
        </w:rPr>
      </w:pPr>
      <w:r w:rsidRPr="003B6411">
        <w:rPr>
          <w:rStyle w:val="af3"/>
          <w:szCs w:val="24"/>
        </w:rPr>
        <w:endnoteRef/>
      </w:r>
      <w:r w:rsidRPr="003B6411">
        <w:rPr>
          <w:szCs w:val="24"/>
        </w:rPr>
        <w:t>兒童權利委員會，第</w:t>
      </w:r>
      <w:r w:rsidRPr="003B6411">
        <w:rPr>
          <w:szCs w:val="24"/>
        </w:rPr>
        <w:t>11</w:t>
      </w:r>
      <w:r w:rsidRPr="003B6411">
        <w:rPr>
          <w:szCs w:val="24"/>
        </w:rPr>
        <w:t>號一般性意見「原住民兒童及其在公約下的權利」，第</w:t>
      </w:r>
      <w:r w:rsidRPr="003B6411">
        <w:rPr>
          <w:szCs w:val="24"/>
        </w:rPr>
        <w:t>5</w:t>
      </w:r>
      <w:r w:rsidRPr="003B6411">
        <w:rPr>
          <w:szCs w:val="24"/>
        </w:rPr>
        <w:t>段。</w:t>
      </w:r>
      <w:r w:rsidRPr="003B6411">
        <w:rPr>
          <w:szCs w:val="24"/>
        </w:rPr>
        <w:t>Committee on the Rights of the Child, General Comment No. 11: Indigenous Children and Their Rights under the Convention, ¶ 5, U.N. Doc. CRC/C/GC/11 (Feb. 12, 2009).</w:t>
      </w:r>
    </w:p>
  </w:endnote>
  <w:endnote w:id="17">
    <w:p w14:paraId="34E16786"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Atala Riffo and Daughters v. Chile, Merits, Reparations, and Costs, Judgment, Inter-Am. Ct. H.R. (ser. C) No. 239 (Feb. 24, 2012).</w:t>
      </w:r>
    </w:p>
  </w:endnote>
  <w:endnote w:id="18">
    <w:p w14:paraId="464D3D7F"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szCs w:val="24"/>
          <w:shd w:val="clear" w:color="auto" w:fill="FFFFFF"/>
        </w:rPr>
        <w:t xml:space="preserve">Saikō Saibansho [Sup. Ct.] June 4, 2008, 2006 (Gyo-Tsu) 135, 62 Minshu No. 6 (Japan), </w:t>
      </w:r>
      <w:r w:rsidRPr="003B6411">
        <w:rPr>
          <w:i/>
          <w:szCs w:val="24"/>
          <w:shd w:val="clear" w:color="auto" w:fill="FFFFFF"/>
        </w:rPr>
        <w:t>available at</w:t>
      </w:r>
      <w:r w:rsidRPr="003B6411">
        <w:rPr>
          <w:szCs w:val="24"/>
          <w:shd w:val="clear" w:color="auto" w:fill="FFFFFF"/>
        </w:rPr>
        <w:t xml:space="preserve"> http://www.courts.go.jp/app/hanrei_en/detail?id=955 (last visited June 10, 2015).</w:t>
      </w:r>
    </w:p>
  </w:endnote>
  <w:endnote w:id="19">
    <w:p w14:paraId="1C3D055C" w14:textId="77777777" w:rsidR="00E856B6" w:rsidRPr="003B6411" w:rsidRDefault="00E856B6" w:rsidP="00EA57D7">
      <w:pPr>
        <w:pStyle w:val="af1"/>
        <w:jc w:val="both"/>
      </w:pPr>
      <w:r w:rsidRPr="003B6411">
        <w:rPr>
          <w:rStyle w:val="af3"/>
        </w:rPr>
        <w:endnoteRef/>
      </w:r>
      <w:r w:rsidRPr="003B6411">
        <w:t xml:space="preserve"> </w:t>
      </w:r>
      <w:r w:rsidRPr="003B6411">
        <w:rPr>
          <w:szCs w:val="24"/>
        </w:rPr>
        <w:t>Children Rights Information Network (CRIN),</w:t>
      </w:r>
      <w:r w:rsidRPr="003B6411">
        <w:rPr>
          <w:i/>
          <w:szCs w:val="24"/>
        </w:rPr>
        <w:t xml:space="preserve"> </w:t>
      </w:r>
      <w:r w:rsidRPr="003B6411">
        <w:rPr>
          <w:i/>
        </w:rPr>
        <w:t>supra</w:t>
      </w:r>
      <w:r w:rsidRPr="003B6411">
        <w:t xml:space="preserve"> note </w:t>
      </w:r>
      <w:r w:rsidRPr="003B6411">
        <w:fldChar w:fldCharType="begin"/>
      </w:r>
      <w:r w:rsidRPr="003B6411">
        <w:instrText xml:space="preserve"> NOTEREF _Ref429390202 \h  \* MERGEFORMAT </w:instrText>
      </w:r>
      <w:r w:rsidRPr="003B6411">
        <w:fldChar w:fldCharType="separate"/>
      </w:r>
      <w:r w:rsidR="00DA394E">
        <w:t>2</w:t>
      </w:r>
      <w:r w:rsidRPr="003B6411">
        <w:fldChar w:fldCharType="end"/>
      </w:r>
      <w:r w:rsidRPr="003B6411">
        <w:t>.</w:t>
      </w:r>
    </w:p>
  </w:endnote>
  <w:endnote w:id="20">
    <w:p w14:paraId="6C035430" w14:textId="77777777" w:rsidR="00E856B6" w:rsidRPr="003B6411" w:rsidRDefault="00E856B6" w:rsidP="00EA57D7">
      <w:pPr>
        <w:pStyle w:val="af1"/>
        <w:jc w:val="both"/>
      </w:pPr>
      <w:r w:rsidRPr="003B6411">
        <w:rPr>
          <w:rStyle w:val="af3"/>
        </w:rPr>
        <w:endnoteRef/>
      </w:r>
      <w:r w:rsidRPr="003B6411">
        <w:t xml:space="preserve"> Jaap Doek, </w:t>
      </w:r>
      <w:r w:rsidRPr="003B6411">
        <w:rPr>
          <w:i/>
        </w:rPr>
        <w:t>The CRC General Principles</w:t>
      </w:r>
      <w:r w:rsidRPr="003B6411">
        <w:t xml:space="preserve">, </w:t>
      </w:r>
      <w:r w:rsidRPr="003B6411">
        <w:rPr>
          <w:i/>
        </w:rPr>
        <w:t>in</w:t>
      </w:r>
      <w:r w:rsidRPr="003B6411">
        <w:t xml:space="preserve"> </w:t>
      </w:r>
      <w:r w:rsidRPr="003B6411">
        <w:rPr>
          <w:smallCaps/>
        </w:rPr>
        <w:t>18 Candles: The Convention on the Rights of the Child Recheas Majority</w:t>
      </w:r>
      <w:r w:rsidRPr="003B6411">
        <w:t xml:space="preserve"> 31, 33 (Jane Connors et al. eds., 2010), </w:t>
      </w:r>
      <w:r w:rsidRPr="003B6411">
        <w:rPr>
          <w:i/>
        </w:rPr>
        <w:t>available</w:t>
      </w:r>
      <w:r w:rsidRPr="003B6411">
        <w:t xml:space="preserve"> at http://www.ohchr.org/Documents/Publications/crc18.pdf (last visited June 9, 2015).</w:t>
      </w:r>
    </w:p>
  </w:endnote>
  <w:endnote w:id="21">
    <w:p w14:paraId="56C1B75D"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smallCaps/>
          <w:szCs w:val="24"/>
        </w:rPr>
        <w:t>Michael Freeman, A Commentary on the U.N Convention on the Rights of the Child: Article 3. The Best Interests of the Child</w:t>
      </w:r>
      <w:r w:rsidRPr="003B6411">
        <w:rPr>
          <w:szCs w:val="24"/>
        </w:rPr>
        <w:t xml:space="preserve"> 1, 32 (André Alen et al. eds., 2007). </w:t>
      </w:r>
    </w:p>
  </w:endnote>
  <w:endnote w:id="22">
    <w:p w14:paraId="60A4436C"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szCs w:val="24"/>
        </w:rPr>
        <w:t>例如，英國</w:t>
      </w:r>
      <w:r w:rsidRPr="003B6411">
        <w:rPr>
          <w:szCs w:val="24"/>
        </w:rPr>
        <w:t>1989</w:t>
      </w:r>
      <w:r w:rsidRPr="003B6411">
        <w:rPr>
          <w:szCs w:val="24"/>
        </w:rPr>
        <w:t>年的兒童法</w:t>
      </w:r>
      <w:r w:rsidRPr="003B6411">
        <w:rPr>
          <w:szCs w:val="24"/>
        </w:rPr>
        <w:t>(Children Act)</w:t>
      </w:r>
      <w:r w:rsidRPr="003B6411">
        <w:rPr>
          <w:szCs w:val="24"/>
        </w:rPr>
        <w:t>，但在成為公約的原則之後，則必須從國際法的立場予以詮釋。</w:t>
      </w:r>
    </w:p>
  </w:endnote>
  <w:endnote w:id="23">
    <w:p w14:paraId="18BB81DE"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szCs w:val="24"/>
        </w:rPr>
        <w:t>兒童權利委員會，第</w:t>
      </w:r>
      <w:r w:rsidRPr="003B6411">
        <w:rPr>
          <w:szCs w:val="24"/>
        </w:rPr>
        <w:t>14</w:t>
      </w:r>
      <w:r w:rsidRPr="003B6411">
        <w:rPr>
          <w:szCs w:val="24"/>
        </w:rPr>
        <w:t>號一般性意見「兒童最佳利益」，第</w:t>
      </w:r>
      <w:r w:rsidRPr="003B6411">
        <w:rPr>
          <w:szCs w:val="24"/>
        </w:rPr>
        <w:t>6</w:t>
      </w:r>
      <w:r w:rsidRPr="003B6411">
        <w:rPr>
          <w:szCs w:val="24"/>
        </w:rPr>
        <w:t>段。</w:t>
      </w:r>
      <w:r w:rsidRPr="003B6411">
        <w:rPr>
          <w:szCs w:val="24"/>
        </w:rPr>
        <w:t>Committee on the Rights of the Child, General Comment No. 14 on the Right of the Child to Have His or Her Best Interests Taken as a Primary Consideration (art. 3, para. 1), ¶ 6, U.N. Doc. CRC/C/GC/14 (May 29, 2013) [hereinafter General Comment No. 14].</w:t>
      </w:r>
      <w:r w:rsidRPr="003B6411">
        <w:rPr>
          <w:szCs w:val="24"/>
        </w:rPr>
        <w:t xml:space="preserve">　</w:t>
      </w:r>
    </w:p>
  </w:endnote>
  <w:endnote w:id="24">
    <w:p w14:paraId="6C71F03F"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i/>
          <w:szCs w:val="24"/>
        </w:rPr>
        <w:t>Id.</w:t>
      </w:r>
      <w:r w:rsidRPr="003B6411">
        <w:rPr>
          <w:szCs w:val="24"/>
        </w:rPr>
        <w:t xml:space="preserve"> ¶ 12.</w:t>
      </w:r>
    </w:p>
  </w:endnote>
  <w:endnote w:id="25">
    <w:p w14:paraId="6A1A8F7B"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General Comment No. 14, </w:t>
      </w:r>
      <w:r w:rsidRPr="003B6411">
        <w:rPr>
          <w:i/>
          <w:szCs w:val="24"/>
        </w:rPr>
        <w:t xml:space="preserve">supra </w:t>
      </w:r>
      <w:r w:rsidRPr="003B6411">
        <w:rPr>
          <w:szCs w:val="24"/>
        </w:rPr>
        <w:t xml:space="preserve">note </w:t>
      </w:r>
      <w:r w:rsidRPr="003B6411">
        <w:fldChar w:fldCharType="begin"/>
      </w:r>
      <w:r w:rsidRPr="003B6411">
        <w:instrText xml:space="preserve"> NOTEREF _Ref427230690 \h  \* MERGEFORMAT </w:instrText>
      </w:r>
      <w:r w:rsidRPr="003B6411">
        <w:fldChar w:fldCharType="separate"/>
      </w:r>
      <w:r w:rsidR="00DA394E">
        <w:t>3</w:t>
      </w:r>
      <w:r w:rsidRPr="003B6411">
        <w:fldChar w:fldCharType="end"/>
      </w:r>
      <w:r w:rsidRPr="003B6411">
        <w:rPr>
          <w:szCs w:val="24"/>
        </w:rPr>
        <w:t>, ¶ 6.</w:t>
      </w:r>
    </w:p>
  </w:endnote>
  <w:endnote w:id="26">
    <w:p w14:paraId="17FF3F6C"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United Nations High Commissioner for Refugees (UNHCR), </w:t>
      </w:r>
      <w:r w:rsidRPr="003B6411">
        <w:rPr>
          <w:i/>
          <w:szCs w:val="24"/>
        </w:rPr>
        <w:t>UNHCR Guidelines on Determining the Best Interests of the Child</w:t>
      </w:r>
      <w:r w:rsidRPr="003B6411">
        <w:rPr>
          <w:szCs w:val="24"/>
        </w:rPr>
        <w:t xml:space="preserve">, at 15 (May 2008), </w:t>
      </w:r>
      <w:r w:rsidRPr="003B6411">
        <w:rPr>
          <w:i/>
          <w:szCs w:val="24"/>
        </w:rPr>
        <w:t>available at</w:t>
      </w:r>
      <w:r w:rsidRPr="003B6411">
        <w:rPr>
          <w:szCs w:val="24"/>
        </w:rPr>
        <w:t xml:space="preserve"> http://www.unhcr.org/4566b16b2.pdf (last visited July 28, 2015).</w:t>
      </w:r>
    </w:p>
  </w:endnote>
  <w:endnote w:id="27">
    <w:p w14:paraId="3630CEA1"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General Comment No. 14, </w:t>
      </w:r>
      <w:r w:rsidRPr="003B6411">
        <w:rPr>
          <w:i/>
          <w:szCs w:val="24"/>
        </w:rPr>
        <w:t xml:space="preserve">supra </w:t>
      </w:r>
      <w:r w:rsidRPr="003B6411">
        <w:rPr>
          <w:szCs w:val="24"/>
        </w:rPr>
        <w:t xml:space="preserve">note </w:t>
      </w:r>
      <w:r w:rsidRPr="003B6411">
        <w:fldChar w:fldCharType="begin"/>
      </w:r>
      <w:r w:rsidRPr="003B6411">
        <w:instrText xml:space="preserve"> NOTEREF _Ref427230690 \h  \* MERGEFORMAT </w:instrText>
      </w:r>
      <w:r w:rsidRPr="003B6411">
        <w:fldChar w:fldCharType="separate"/>
      </w:r>
      <w:r w:rsidR="00DA394E">
        <w:t>3</w:t>
      </w:r>
      <w:r w:rsidRPr="003B6411">
        <w:fldChar w:fldCharType="end"/>
      </w:r>
      <w:r w:rsidRPr="003B6411">
        <w:rPr>
          <w:szCs w:val="24"/>
        </w:rPr>
        <w:t>, ¶ 46.</w:t>
      </w:r>
    </w:p>
  </w:endnote>
  <w:endnote w:id="28">
    <w:p w14:paraId="0973B967"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i/>
          <w:szCs w:val="24"/>
        </w:rPr>
        <w:t>Id.</w:t>
      </w:r>
      <w:r w:rsidRPr="003B6411">
        <w:rPr>
          <w:szCs w:val="24"/>
        </w:rPr>
        <w:t xml:space="preserve"> ¶ 47.</w:t>
      </w:r>
    </w:p>
  </w:endnote>
  <w:endnote w:id="29">
    <w:p w14:paraId="379C5FC3"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i/>
          <w:szCs w:val="24"/>
        </w:rPr>
        <w:t>Id.</w:t>
      </w:r>
      <w:r w:rsidRPr="003B6411">
        <w:rPr>
          <w:szCs w:val="24"/>
        </w:rPr>
        <w:t xml:space="preserve"> ¶¶ 53-79.</w:t>
      </w:r>
    </w:p>
  </w:endnote>
  <w:endnote w:id="30">
    <w:p w14:paraId="0512904A"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i/>
          <w:szCs w:val="24"/>
        </w:rPr>
        <w:t>Id.</w:t>
      </w:r>
      <w:r w:rsidRPr="003B6411">
        <w:rPr>
          <w:szCs w:val="24"/>
        </w:rPr>
        <w:t xml:space="preserve"> ¶ 17.</w:t>
      </w:r>
    </w:p>
  </w:endnote>
  <w:endnote w:id="31">
    <w:p w14:paraId="34360F32"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i/>
          <w:szCs w:val="24"/>
        </w:rPr>
        <w:t>Id.</w:t>
      </w:r>
      <w:r w:rsidRPr="003B6411">
        <w:rPr>
          <w:szCs w:val="24"/>
        </w:rPr>
        <w:t xml:space="preserve"> ¶ 38.</w:t>
      </w:r>
    </w:p>
  </w:endnote>
  <w:endnote w:id="32">
    <w:p w14:paraId="18F1C05E"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UNICEF &amp; UNHCR, </w:t>
      </w:r>
      <w:r w:rsidRPr="003B6411">
        <w:rPr>
          <w:i/>
          <w:szCs w:val="24"/>
        </w:rPr>
        <w:t>Judicial Implementation of Article 3 of the Convention on the Rights of the Child in Europe: The Case of Migrant Children Including Unaccompanied Children</w:t>
      </w:r>
      <w:r w:rsidRPr="003B6411">
        <w:rPr>
          <w:szCs w:val="24"/>
        </w:rPr>
        <w:t xml:space="preserve">, at 10, </w:t>
      </w:r>
      <w:r w:rsidRPr="003B6411">
        <w:rPr>
          <w:i/>
          <w:szCs w:val="24"/>
        </w:rPr>
        <w:t>available at</w:t>
      </w:r>
      <w:r w:rsidRPr="003B6411">
        <w:rPr>
          <w:szCs w:val="24"/>
        </w:rPr>
        <w:t xml:space="preserve"> http://www.statewatch.org/news/2012/</w:t>
      </w:r>
      <w:r w:rsidRPr="003B6411">
        <w:rPr>
          <w:szCs w:val="24"/>
        </w:rPr>
        <w:br/>
        <w:t>nov/rights-the-child-in-europe.pdf (last visited July 31, 2015).</w:t>
      </w:r>
    </w:p>
  </w:endnote>
  <w:endnote w:id="33">
    <w:p w14:paraId="0D6D8967"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i/>
          <w:szCs w:val="24"/>
        </w:rPr>
        <w:t>Id.</w:t>
      </w:r>
      <w:r w:rsidRPr="003B6411">
        <w:rPr>
          <w:szCs w:val="24"/>
        </w:rPr>
        <w:t xml:space="preserve"> at 10.</w:t>
      </w:r>
    </w:p>
  </w:endnote>
  <w:endnote w:id="34">
    <w:p w14:paraId="3E3CF12F"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smallCaps/>
          <w:szCs w:val="24"/>
        </w:rPr>
        <w:t xml:space="preserve">UNICEF, Implementation Handbook for the Convention on the Rights of the Child </w:t>
      </w:r>
      <w:r w:rsidRPr="003B6411">
        <w:rPr>
          <w:szCs w:val="24"/>
        </w:rPr>
        <w:t>41 (3d ed. 2007).</w:t>
      </w:r>
    </w:p>
  </w:endnote>
  <w:endnote w:id="35">
    <w:p w14:paraId="42FD7DD4"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smallCaps/>
          <w:szCs w:val="24"/>
        </w:rPr>
        <w:t xml:space="preserve">Freeman, </w:t>
      </w:r>
      <w:r w:rsidRPr="003B6411">
        <w:rPr>
          <w:i/>
          <w:szCs w:val="24"/>
        </w:rPr>
        <w:t>supra</w:t>
      </w:r>
      <w:r w:rsidRPr="003B6411">
        <w:rPr>
          <w:szCs w:val="24"/>
        </w:rPr>
        <w:t xml:space="preserve"> note </w:t>
      </w:r>
      <w:r w:rsidRPr="003B6411">
        <w:fldChar w:fldCharType="begin"/>
      </w:r>
      <w:r w:rsidRPr="003B6411">
        <w:instrText xml:space="preserve"> NOTEREF _Ref427229701 \h  \* MERGEFORMAT </w:instrText>
      </w:r>
      <w:r w:rsidRPr="003B6411">
        <w:fldChar w:fldCharType="separate"/>
      </w:r>
      <w:r w:rsidR="00DA394E">
        <w:t>1</w:t>
      </w:r>
      <w:r w:rsidRPr="003B6411">
        <w:fldChar w:fldCharType="end"/>
      </w:r>
      <w:r w:rsidRPr="003B6411">
        <w:rPr>
          <w:szCs w:val="24"/>
        </w:rPr>
        <w:t>, at 75.</w:t>
      </w:r>
    </w:p>
  </w:endnote>
  <w:endnote w:id="36">
    <w:p w14:paraId="11D0FB1F"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szCs w:val="24"/>
        </w:rPr>
        <w:t>兒童權利委員會，第</w:t>
      </w:r>
      <w:r w:rsidRPr="003B6411">
        <w:rPr>
          <w:szCs w:val="24"/>
        </w:rPr>
        <w:t>7</w:t>
      </w:r>
      <w:r w:rsidRPr="003B6411">
        <w:rPr>
          <w:szCs w:val="24"/>
        </w:rPr>
        <w:t>號一般性意見「在幼兒期落實兒童權利」，第</w:t>
      </w:r>
      <w:r w:rsidRPr="003B6411">
        <w:rPr>
          <w:szCs w:val="24"/>
        </w:rPr>
        <w:t>32</w:t>
      </w:r>
      <w:r w:rsidRPr="003B6411">
        <w:rPr>
          <w:szCs w:val="24"/>
        </w:rPr>
        <w:t>段。</w:t>
      </w:r>
      <w:r w:rsidRPr="003B6411">
        <w:rPr>
          <w:szCs w:val="24"/>
        </w:rPr>
        <w:t>Committee on the Rights of the Child, General Comment No. 7: Implementing Child Rights in Early Childhood, ¶ 32, U.N. Doc. CRC/C/GC/7/Rev.1 (Sept. 20, 2006).</w:t>
      </w:r>
    </w:p>
  </w:endnote>
  <w:endnote w:id="37">
    <w:p w14:paraId="193E8438"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S. L. and J. L. v. Croatia, App. No. 13712/11, </w:t>
      </w:r>
      <w:r w:rsidRPr="003B6411">
        <w:rPr>
          <w:i/>
          <w:szCs w:val="24"/>
        </w:rPr>
        <w:t>available at</w:t>
      </w:r>
      <w:r w:rsidRPr="003B6411">
        <w:rPr>
          <w:szCs w:val="24"/>
        </w:rPr>
        <w:t xml:space="preserve"> http://hudoc.echr.coe.int/</w:t>
      </w:r>
      <w:r w:rsidRPr="003B6411">
        <w:rPr>
          <w:szCs w:val="24"/>
        </w:rPr>
        <w:br/>
        <w:t>sites/eng/pages/search.aspx?i=001-154162 (last visited July 31, 2015).</w:t>
      </w:r>
    </w:p>
  </w:endnote>
  <w:endnote w:id="38">
    <w:p w14:paraId="0E63156A"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Constitutionality of Article 127(1)(10) of the Family Code of Russian Federation on Account of the Complaint Lodged by the Citizen S. A. Anikiev, Jan. 31, 2014, </w:t>
      </w:r>
      <w:r w:rsidRPr="003B6411">
        <w:rPr>
          <w:i/>
          <w:szCs w:val="24"/>
        </w:rPr>
        <w:t xml:space="preserve">available at </w:t>
      </w:r>
      <w:r w:rsidRPr="003B6411">
        <w:rPr>
          <w:szCs w:val="24"/>
        </w:rPr>
        <w:t>https://www.crin.org/en/library/legal-database/constitutionality-article-</w:t>
      </w:r>
      <w:r w:rsidRPr="003B6411">
        <w:rPr>
          <w:szCs w:val="24"/>
        </w:rPr>
        <w:br/>
        <w:t>127110-family-code-russian-federation-account (case summary) (last visited July 31, 2015).</w:t>
      </w:r>
    </w:p>
  </w:endnote>
  <w:endnote w:id="39">
    <w:p w14:paraId="0A393869"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General Comment No. 1, </w:t>
      </w:r>
      <w:r w:rsidRPr="003B6411">
        <w:rPr>
          <w:i/>
          <w:szCs w:val="24"/>
        </w:rPr>
        <w:t>supra</w:t>
      </w:r>
      <w:r w:rsidRPr="003B6411">
        <w:rPr>
          <w:szCs w:val="24"/>
        </w:rPr>
        <w:t xml:space="preserve"> note </w:t>
      </w:r>
      <w:r w:rsidRPr="003B6411">
        <w:t>3,</w:t>
      </w:r>
      <w:r w:rsidRPr="003B6411">
        <w:rPr>
          <w:i/>
          <w:szCs w:val="24"/>
        </w:rPr>
        <w:t xml:space="preserve"> </w:t>
      </w:r>
      <w:r w:rsidRPr="003B6411">
        <w:rPr>
          <w:szCs w:val="24"/>
        </w:rPr>
        <w:t>¶ 39.</w:t>
      </w:r>
    </w:p>
  </w:endnote>
  <w:endnote w:id="40">
    <w:p w14:paraId="5035D0C3"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i/>
          <w:szCs w:val="24"/>
        </w:rPr>
        <w:t xml:space="preserve">See </w:t>
      </w:r>
      <w:r w:rsidRPr="003B6411">
        <w:rPr>
          <w:smallCaps/>
          <w:szCs w:val="24"/>
        </w:rPr>
        <w:t xml:space="preserve">Freeman, </w:t>
      </w:r>
      <w:r w:rsidRPr="003B6411">
        <w:rPr>
          <w:i/>
          <w:szCs w:val="24"/>
        </w:rPr>
        <w:t>supra</w:t>
      </w:r>
      <w:r w:rsidRPr="003B6411">
        <w:rPr>
          <w:szCs w:val="24"/>
        </w:rPr>
        <w:t xml:space="preserve"> note </w:t>
      </w:r>
      <w:r w:rsidRPr="003B6411">
        <w:fldChar w:fldCharType="begin"/>
      </w:r>
      <w:r w:rsidRPr="003B6411">
        <w:instrText xml:space="preserve"> NOTEREF _Ref427229701 \h  \* MERGEFORMAT </w:instrText>
      </w:r>
      <w:r w:rsidRPr="003B6411">
        <w:fldChar w:fldCharType="separate"/>
      </w:r>
      <w:r w:rsidR="00DA394E">
        <w:t>1</w:t>
      </w:r>
      <w:r w:rsidRPr="003B6411">
        <w:fldChar w:fldCharType="end"/>
      </w:r>
      <w:r w:rsidRPr="003B6411">
        <w:t xml:space="preserve">, </w:t>
      </w:r>
      <w:r w:rsidRPr="003B6411">
        <w:rPr>
          <w:szCs w:val="24"/>
        </w:rPr>
        <w:t>at 33-72.</w:t>
      </w:r>
    </w:p>
  </w:endnote>
  <w:endnote w:id="41">
    <w:p w14:paraId="3B96A0A8"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smallCaps/>
          <w:szCs w:val="24"/>
        </w:rPr>
        <w:t xml:space="preserve">Freeman, </w:t>
      </w:r>
      <w:r w:rsidRPr="003B6411">
        <w:rPr>
          <w:i/>
          <w:szCs w:val="24"/>
        </w:rPr>
        <w:t>supra</w:t>
      </w:r>
      <w:r w:rsidRPr="003B6411">
        <w:rPr>
          <w:szCs w:val="24"/>
        </w:rPr>
        <w:t xml:space="preserve"> note </w:t>
      </w:r>
      <w:r w:rsidRPr="003B6411">
        <w:fldChar w:fldCharType="begin"/>
      </w:r>
      <w:r w:rsidRPr="003B6411">
        <w:instrText xml:space="preserve"> NOTEREF _Ref427229701 \h  \* MERGEFORMAT </w:instrText>
      </w:r>
      <w:r w:rsidRPr="003B6411">
        <w:fldChar w:fldCharType="separate"/>
      </w:r>
      <w:r w:rsidR="00DA394E">
        <w:t>1</w:t>
      </w:r>
      <w:r w:rsidRPr="003B6411">
        <w:fldChar w:fldCharType="end"/>
      </w:r>
      <w:r w:rsidRPr="003B6411">
        <w:rPr>
          <w:szCs w:val="24"/>
        </w:rPr>
        <w:t>, at 32.</w:t>
      </w:r>
    </w:p>
  </w:endnote>
  <w:endnote w:id="42">
    <w:p w14:paraId="1C9E2261"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szCs w:val="24"/>
        </w:rPr>
        <w:t>兒童權利委員會，第</w:t>
      </w:r>
      <w:r w:rsidRPr="003B6411">
        <w:rPr>
          <w:szCs w:val="24"/>
        </w:rPr>
        <w:t>5</w:t>
      </w:r>
      <w:r w:rsidRPr="003B6411">
        <w:rPr>
          <w:szCs w:val="24"/>
        </w:rPr>
        <w:t>號一般性意見「執行兒童權利公約的一般措施」，第</w:t>
      </w:r>
      <w:r w:rsidRPr="003B6411">
        <w:rPr>
          <w:szCs w:val="24"/>
        </w:rPr>
        <w:t>1</w:t>
      </w:r>
      <w:r w:rsidRPr="003B6411">
        <w:rPr>
          <w:szCs w:val="24"/>
        </w:rPr>
        <w:t>段。</w:t>
      </w:r>
      <w:r w:rsidRPr="003B6411">
        <w:rPr>
          <w:szCs w:val="24"/>
        </w:rPr>
        <w:t>Committee on the Rights of the Child, General Comment No. 5: General Measures of Implementation of the Convention on the Rights of the Child (Arts. 4, 42 and 44, Para. 6), ¶ 1, U.N. Doc. CRC/GC/2003/5 (Nov. 27, 2003) [hereinafter General Comment No. 5].</w:t>
      </w:r>
    </w:p>
  </w:endnote>
  <w:endnote w:id="43">
    <w:p w14:paraId="79999271"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szCs w:val="24"/>
        </w:rPr>
        <w:t>兒童權利委員會，關於締約國根據兒童權利公約第</w:t>
      </w:r>
      <w:r w:rsidRPr="003B6411">
        <w:rPr>
          <w:szCs w:val="24"/>
        </w:rPr>
        <w:t>44</w:t>
      </w:r>
      <w:r w:rsidRPr="003B6411">
        <w:rPr>
          <w:szCs w:val="24"/>
        </w:rPr>
        <w:t>條第</w:t>
      </w:r>
      <w:r w:rsidRPr="003B6411">
        <w:rPr>
          <w:szCs w:val="24"/>
        </w:rPr>
        <w:t>1</w:t>
      </w:r>
      <w:r w:rsidRPr="003B6411">
        <w:rPr>
          <w:szCs w:val="24"/>
        </w:rPr>
        <w:t>款</w:t>
      </w:r>
      <w:r w:rsidRPr="003B6411">
        <w:rPr>
          <w:szCs w:val="24"/>
        </w:rPr>
        <w:t>(a)</w:t>
      </w:r>
      <w:r w:rsidRPr="003B6411">
        <w:rPr>
          <w:szCs w:val="24"/>
        </w:rPr>
        <w:t>項提交的首次報告的形式和內容的一般準則，第</w:t>
      </w:r>
      <w:r w:rsidRPr="003B6411">
        <w:rPr>
          <w:szCs w:val="24"/>
        </w:rPr>
        <w:t>9</w:t>
      </w:r>
      <w:r w:rsidRPr="003B6411">
        <w:rPr>
          <w:szCs w:val="24"/>
        </w:rPr>
        <w:t>段。</w:t>
      </w:r>
      <w:r w:rsidRPr="003B6411">
        <w:rPr>
          <w:szCs w:val="24"/>
        </w:rPr>
        <w:t>Committee on the Rights of the Child, General Guidelines Regarding the Form and Content of Initial Reports to Be Submitted by States Parties under Article 44, Paragraph 1(a), of the Convention, ¶ 9, U.N. Doc. CRC/C/5 (Oct. 30, 1991).</w:t>
      </w:r>
    </w:p>
  </w:endnote>
  <w:endnote w:id="44">
    <w:p w14:paraId="1393E387"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szCs w:val="24"/>
        </w:rPr>
        <w:t>兒童權利委員會，關於締約國根據兒童權利公約第</w:t>
      </w:r>
      <w:r w:rsidRPr="003B6411">
        <w:rPr>
          <w:szCs w:val="24"/>
        </w:rPr>
        <w:t>44</w:t>
      </w:r>
      <w:r w:rsidRPr="003B6411">
        <w:rPr>
          <w:szCs w:val="24"/>
        </w:rPr>
        <w:t>條第</w:t>
      </w:r>
      <w:r w:rsidRPr="003B6411">
        <w:rPr>
          <w:szCs w:val="24"/>
        </w:rPr>
        <w:t>1</w:t>
      </w:r>
      <w:r w:rsidRPr="003B6411">
        <w:rPr>
          <w:szCs w:val="24"/>
        </w:rPr>
        <w:t>款</w:t>
      </w:r>
      <w:r w:rsidRPr="003B6411">
        <w:rPr>
          <w:szCs w:val="24"/>
        </w:rPr>
        <w:t>(b)</w:t>
      </w:r>
      <w:r w:rsidRPr="003B6411">
        <w:rPr>
          <w:szCs w:val="24"/>
        </w:rPr>
        <w:t>項提交的定期報告的形式和內容的條約專要準則，第</w:t>
      </w:r>
      <w:r w:rsidRPr="003B6411">
        <w:rPr>
          <w:szCs w:val="24"/>
        </w:rPr>
        <w:t>19</w:t>
      </w:r>
      <w:r w:rsidRPr="003B6411">
        <w:rPr>
          <w:szCs w:val="24"/>
        </w:rPr>
        <w:t>段。</w:t>
      </w:r>
      <w:r w:rsidRPr="003B6411">
        <w:rPr>
          <w:szCs w:val="24"/>
        </w:rPr>
        <w:t>Committee on the Rights of the Child, Treaty-Specific Guidelines Regarding the Form and Content of Periodic Reports to Be Submitted by States Parties under Article 44, Paragraph 1 (b), of the Convention on the Rights of the Child, ¶ 19, U.N. Doc. CRC/C/58/Rev.3 (Mar. 3, 2015).</w:t>
      </w:r>
    </w:p>
  </w:endnote>
  <w:endnote w:id="45">
    <w:p w14:paraId="2B8C69DE"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General Comment No. 5, </w:t>
      </w:r>
      <w:r w:rsidRPr="003B6411">
        <w:rPr>
          <w:i/>
          <w:szCs w:val="24"/>
        </w:rPr>
        <w:t xml:space="preserve">supra </w:t>
      </w:r>
      <w:r w:rsidRPr="003B6411">
        <w:rPr>
          <w:szCs w:val="24"/>
        </w:rPr>
        <w:t xml:space="preserve">note </w:t>
      </w:r>
      <w:r w:rsidRPr="003B6411">
        <w:rPr>
          <w:szCs w:val="24"/>
        </w:rPr>
        <w:fldChar w:fldCharType="begin"/>
      </w:r>
      <w:r w:rsidRPr="003B6411">
        <w:rPr>
          <w:szCs w:val="24"/>
        </w:rPr>
        <w:instrText xml:space="preserve"> NOTEREF _Ref430688266 \h  \* MERGEFORMAT </w:instrText>
      </w:r>
      <w:r w:rsidRPr="003B6411">
        <w:rPr>
          <w:szCs w:val="24"/>
        </w:rPr>
      </w:r>
      <w:r w:rsidRPr="003B6411">
        <w:rPr>
          <w:szCs w:val="24"/>
        </w:rPr>
        <w:fldChar w:fldCharType="separate"/>
      </w:r>
      <w:r w:rsidR="00DA394E">
        <w:rPr>
          <w:szCs w:val="24"/>
        </w:rPr>
        <w:t>1</w:t>
      </w:r>
      <w:r w:rsidRPr="003B6411">
        <w:rPr>
          <w:szCs w:val="24"/>
        </w:rPr>
        <w:fldChar w:fldCharType="end"/>
      </w:r>
      <w:r w:rsidRPr="003B6411">
        <w:rPr>
          <w:szCs w:val="24"/>
        </w:rPr>
        <w:t>, ¶ 9.</w:t>
      </w:r>
    </w:p>
  </w:endnote>
  <w:endnote w:id="46">
    <w:p w14:paraId="44C6297D"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smallCaps/>
          <w:szCs w:val="24"/>
        </w:rPr>
        <w:t xml:space="preserve">Mervat Rishmawi, A Commentary on the United Nations Convention on the Rights of the Child: Article 4. The Nature of States Parties’ Obligations 27 </w:t>
      </w:r>
      <w:r w:rsidRPr="003B6411">
        <w:rPr>
          <w:szCs w:val="24"/>
        </w:rPr>
        <w:t>(André Alen et al. eds., 2006).</w:t>
      </w:r>
    </w:p>
  </w:endnote>
  <w:endnote w:id="47">
    <w:p w14:paraId="013270F6"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i/>
          <w:szCs w:val="24"/>
        </w:rPr>
        <w:t>Id.</w:t>
      </w:r>
      <w:r w:rsidRPr="003B6411">
        <w:rPr>
          <w:szCs w:val="24"/>
        </w:rPr>
        <w:t xml:space="preserve"> at 24-25.</w:t>
      </w:r>
    </w:p>
  </w:endnote>
  <w:endnote w:id="48">
    <w:p w14:paraId="07244AF6"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General Comment No. 5, </w:t>
      </w:r>
      <w:r w:rsidRPr="003B6411">
        <w:rPr>
          <w:i/>
          <w:szCs w:val="24"/>
        </w:rPr>
        <w:t xml:space="preserve">supra </w:t>
      </w:r>
      <w:r w:rsidRPr="003B6411">
        <w:rPr>
          <w:szCs w:val="24"/>
        </w:rPr>
        <w:t xml:space="preserve">note </w:t>
      </w:r>
      <w:r w:rsidRPr="003B6411">
        <w:rPr>
          <w:szCs w:val="24"/>
        </w:rPr>
        <w:fldChar w:fldCharType="begin"/>
      </w:r>
      <w:r w:rsidRPr="003B6411">
        <w:rPr>
          <w:szCs w:val="24"/>
        </w:rPr>
        <w:instrText xml:space="preserve"> NOTEREF _Ref430688266 \h  \* MERGEFORMAT </w:instrText>
      </w:r>
      <w:r w:rsidRPr="003B6411">
        <w:rPr>
          <w:szCs w:val="24"/>
        </w:rPr>
      </w:r>
      <w:r w:rsidRPr="003B6411">
        <w:rPr>
          <w:szCs w:val="24"/>
        </w:rPr>
        <w:fldChar w:fldCharType="separate"/>
      </w:r>
      <w:r w:rsidR="00DA394E">
        <w:rPr>
          <w:szCs w:val="24"/>
        </w:rPr>
        <w:t>1</w:t>
      </w:r>
      <w:r w:rsidRPr="003B6411">
        <w:rPr>
          <w:szCs w:val="24"/>
        </w:rPr>
        <w:fldChar w:fldCharType="end"/>
      </w:r>
      <w:r w:rsidRPr="003B6411">
        <w:rPr>
          <w:szCs w:val="24"/>
        </w:rPr>
        <w:t>, ¶¶ 6-7.</w:t>
      </w:r>
    </w:p>
  </w:endnote>
  <w:endnote w:id="49">
    <w:p w14:paraId="165C7EB0"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i/>
          <w:szCs w:val="24"/>
        </w:rPr>
        <w:t>Id.</w:t>
      </w:r>
      <w:r w:rsidRPr="003B6411">
        <w:rPr>
          <w:szCs w:val="24"/>
        </w:rPr>
        <w:t xml:space="preserve"> ¶ 8.</w:t>
      </w:r>
    </w:p>
  </w:endnote>
  <w:endnote w:id="50">
    <w:p w14:paraId="7574D135"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szCs w:val="24"/>
        </w:rPr>
        <w:t>兒童權利委員會，第</w:t>
      </w:r>
      <w:r w:rsidRPr="003B6411">
        <w:rPr>
          <w:szCs w:val="24"/>
        </w:rPr>
        <w:t>22</w:t>
      </w:r>
      <w:r w:rsidRPr="003B6411">
        <w:rPr>
          <w:szCs w:val="24"/>
        </w:rPr>
        <w:t>屆會議報告，第</w:t>
      </w:r>
      <w:r w:rsidRPr="003B6411">
        <w:rPr>
          <w:szCs w:val="24"/>
        </w:rPr>
        <w:t>291(o)</w:t>
      </w:r>
      <w:r w:rsidRPr="003B6411">
        <w:rPr>
          <w:szCs w:val="24"/>
        </w:rPr>
        <w:t>段。</w:t>
      </w:r>
      <w:r w:rsidRPr="003B6411">
        <w:rPr>
          <w:szCs w:val="24"/>
        </w:rPr>
        <w:t>Committee on the Rights of the Child, Report on the Twenty-Second Session, ¶ 291(o), U.N. Doc. CRC/C/87 (July 30, 1999).</w:t>
      </w:r>
    </w:p>
  </w:endnote>
  <w:endnote w:id="51">
    <w:p w14:paraId="1D8AC758"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smallCaps/>
          <w:szCs w:val="24"/>
        </w:rPr>
        <w:t xml:space="preserve">Rishmawi, </w:t>
      </w:r>
      <w:r w:rsidRPr="003B6411">
        <w:rPr>
          <w:i/>
          <w:szCs w:val="24"/>
        </w:rPr>
        <w:t xml:space="preserve">supra </w:t>
      </w:r>
      <w:r w:rsidRPr="003B6411">
        <w:rPr>
          <w:szCs w:val="24"/>
        </w:rPr>
        <w:t xml:space="preserve">note </w:t>
      </w:r>
      <w:r w:rsidRPr="003B6411">
        <w:rPr>
          <w:szCs w:val="24"/>
        </w:rPr>
        <w:fldChar w:fldCharType="begin"/>
      </w:r>
      <w:r w:rsidRPr="003B6411">
        <w:rPr>
          <w:szCs w:val="24"/>
        </w:rPr>
        <w:instrText xml:space="preserve"> NOTEREF _Ref430692652 \h  \* MERGEFORMAT </w:instrText>
      </w:r>
      <w:r w:rsidRPr="003B6411">
        <w:rPr>
          <w:szCs w:val="24"/>
        </w:rPr>
      </w:r>
      <w:r w:rsidRPr="003B6411">
        <w:rPr>
          <w:szCs w:val="24"/>
        </w:rPr>
        <w:fldChar w:fldCharType="separate"/>
      </w:r>
      <w:r w:rsidR="00DA394E">
        <w:rPr>
          <w:szCs w:val="24"/>
        </w:rPr>
        <w:t>5</w:t>
      </w:r>
      <w:r w:rsidRPr="003B6411">
        <w:rPr>
          <w:szCs w:val="24"/>
        </w:rPr>
        <w:fldChar w:fldCharType="end"/>
      </w:r>
      <w:r w:rsidRPr="003B6411">
        <w:rPr>
          <w:szCs w:val="24"/>
        </w:rPr>
        <w:t>, at 29-30.</w:t>
      </w:r>
    </w:p>
  </w:endnote>
  <w:endnote w:id="52">
    <w:p w14:paraId="700E382F"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i/>
          <w:szCs w:val="24"/>
        </w:rPr>
        <w:t>Id.</w:t>
      </w:r>
      <w:r w:rsidRPr="003B6411">
        <w:rPr>
          <w:szCs w:val="24"/>
        </w:rPr>
        <w:t xml:space="preserve"> at 35.</w:t>
      </w:r>
    </w:p>
  </w:endnote>
  <w:endnote w:id="53">
    <w:p w14:paraId="6C8E4C45"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i/>
          <w:szCs w:val="24"/>
        </w:rPr>
        <w:t>Id.</w:t>
      </w:r>
      <w:r w:rsidRPr="003B6411">
        <w:rPr>
          <w:szCs w:val="24"/>
        </w:rPr>
        <w:t xml:space="preserve"> </w:t>
      </w:r>
    </w:p>
  </w:endnote>
  <w:endnote w:id="54">
    <w:p w14:paraId="2A10F42B"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i/>
          <w:szCs w:val="24"/>
        </w:rPr>
        <w:t>Id.</w:t>
      </w:r>
      <w:r w:rsidRPr="003B6411">
        <w:rPr>
          <w:szCs w:val="24"/>
        </w:rPr>
        <w:t xml:space="preserve"> at 42.</w:t>
      </w:r>
    </w:p>
  </w:endnote>
  <w:endnote w:id="55">
    <w:p w14:paraId="6773EE42"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G.A. Res. 63/241, U.N. Doc. A/RES/63/241 (Dec. 28, 2008).</w:t>
      </w:r>
    </w:p>
  </w:endnote>
  <w:endnote w:id="56">
    <w:p w14:paraId="6588559B"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Society for Un-Aided Private Schools of Rajasthan v. Union of India &amp; Another, Writ Petition (C) No. 95 of 2010 (India).</w:t>
      </w:r>
    </w:p>
  </w:endnote>
  <w:endnote w:id="57">
    <w:p w14:paraId="3A491046"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szCs w:val="24"/>
        </w:rPr>
        <w:t>兒童權利委員會，第</w:t>
      </w:r>
      <w:r w:rsidRPr="003B6411">
        <w:rPr>
          <w:szCs w:val="24"/>
        </w:rPr>
        <w:t>7</w:t>
      </w:r>
      <w:r w:rsidRPr="003B6411">
        <w:rPr>
          <w:szCs w:val="24"/>
        </w:rPr>
        <w:t>號一般性意見「在幼兒期落實兒童權利」，第</w:t>
      </w:r>
      <w:r w:rsidRPr="003B6411">
        <w:rPr>
          <w:szCs w:val="24"/>
        </w:rPr>
        <w:t>5</w:t>
      </w:r>
      <w:r w:rsidRPr="003B6411">
        <w:rPr>
          <w:szCs w:val="24"/>
        </w:rPr>
        <w:t>段。</w:t>
      </w:r>
      <w:r w:rsidRPr="003B6411">
        <w:rPr>
          <w:szCs w:val="24"/>
        </w:rPr>
        <w:t>Committee on the Rights of the Child, General Comment No. 7: Implementing Child Rights in Early Childhood, ¶ 5, U.N. Doc. CRC/C/GC/7/Rev.1 (Sept. 20, 2006) [hereinafter General Comment No. 7]..</w:t>
      </w:r>
    </w:p>
  </w:endnote>
  <w:endnote w:id="58">
    <w:p w14:paraId="200215AA"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smallCaps/>
          <w:szCs w:val="24"/>
        </w:rPr>
        <w:t xml:space="preserve">Garton Kamchedzera, A Commentary on the United Nations Convention on the Rights of the Child: Article 5. The Child's Right to Appropridate Direction and Guidance 14 </w:t>
      </w:r>
      <w:r w:rsidRPr="003B6411">
        <w:rPr>
          <w:szCs w:val="24"/>
        </w:rPr>
        <w:t>(André Alen et al. eds., 2012).</w:t>
      </w:r>
    </w:p>
  </w:endnote>
  <w:endnote w:id="59">
    <w:p w14:paraId="0B05D222"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smallCaps/>
          <w:szCs w:val="24"/>
        </w:rPr>
        <w:t xml:space="preserve">UNICEF, Implementation Handbook for the Convention on the Rights of the Child 76 </w:t>
      </w:r>
      <w:r w:rsidRPr="003B6411">
        <w:rPr>
          <w:szCs w:val="24"/>
        </w:rPr>
        <w:t>(3d. 2007).</w:t>
      </w:r>
    </w:p>
  </w:endnote>
  <w:endnote w:id="60">
    <w:p w14:paraId="795B1EBE"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General Comment No. 7, </w:t>
      </w:r>
      <w:r w:rsidRPr="003B6411">
        <w:rPr>
          <w:i/>
          <w:szCs w:val="24"/>
        </w:rPr>
        <w:t xml:space="preserve">supra </w:t>
      </w:r>
      <w:r w:rsidRPr="003B6411">
        <w:rPr>
          <w:szCs w:val="24"/>
        </w:rPr>
        <w:t xml:space="preserve">note </w:t>
      </w:r>
      <w:r w:rsidRPr="003B6411">
        <w:rPr>
          <w:szCs w:val="24"/>
        </w:rPr>
        <w:fldChar w:fldCharType="begin"/>
      </w:r>
      <w:r w:rsidRPr="003B6411">
        <w:rPr>
          <w:szCs w:val="24"/>
        </w:rPr>
        <w:instrText xml:space="preserve"> NOTEREF _Ref430705023 \h  \* MERGEFORMAT </w:instrText>
      </w:r>
      <w:r w:rsidRPr="003B6411">
        <w:rPr>
          <w:szCs w:val="24"/>
        </w:rPr>
      </w:r>
      <w:r w:rsidRPr="003B6411">
        <w:rPr>
          <w:szCs w:val="24"/>
        </w:rPr>
        <w:fldChar w:fldCharType="separate"/>
      </w:r>
      <w:r w:rsidR="00DA394E">
        <w:rPr>
          <w:szCs w:val="24"/>
        </w:rPr>
        <w:t>1</w:t>
      </w:r>
      <w:r w:rsidRPr="003B6411">
        <w:rPr>
          <w:szCs w:val="24"/>
        </w:rPr>
        <w:fldChar w:fldCharType="end"/>
      </w:r>
      <w:r w:rsidRPr="003B6411">
        <w:rPr>
          <w:szCs w:val="24"/>
        </w:rPr>
        <w:t>, ¶ 15.</w:t>
      </w:r>
    </w:p>
  </w:endnote>
  <w:endnote w:id="61">
    <w:p w14:paraId="37B7484C"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i/>
          <w:szCs w:val="24"/>
        </w:rPr>
        <w:t xml:space="preserve">Id. </w:t>
      </w:r>
      <w:r w:rsidRPr="003B6411">
        <w:rPr>
          <w:szCs w:val="24"/>
        </w:rPr>
        <w:t>¶ 19.</w:t>
      </w:r>
    </w:p>
  </w:endnote>
  <w:endnote w:id="62">
    <w:p w14:paraId="0D5D6D65"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smallCaps/>
          <w:szCs w:val="24"/>
        </w:rPr>
        <w:t xml:space="preserve">UNICEF, </w:t>
      </w:r>
      <w:r w:rsidRPr="003B6411">
        <w:rPr>
          <w:i/>
          <w:szCs w:val="24"/>
        </w:rPr>
        <w:t xml:space="preserve">supra </w:t>
      </w:r>
      <w:r w:rsidRPr="003B6411">
        <w:rPr>
          <w:szCs w:val="24"/>
        </w:rPr>
        <w:t xml:space="preserve">note </w:t>
      </w:r>
      <w:r w:rsidRPr="003B6411">
        <w:rPr>
          <w:szCs w:val="24"/>
        </w:rPr>
        <w:fldChar w:fldCharType="begin"/>
      </w:r>
      <w:r w:rsidRPr="003B6411">
        <w:rPr>
          <w:szCs w:val="24"/>
        </w:rPr>
        <w:instrText xml:space="preserve"> NOTEREF _Ref430704856 \h  \* MERGEFORMAT </w:instrText>
      </w:r>
      <w:r w:rsidRPr="003B6411">
        <w:rPr>
          <w:szCs w:val="24"/>
        </w:rPr>
      </w:r>
      <w:r w:rsidRPr="003B6411">
        <w:rPr>
          <w:szCs w:val="24"/>
        </w:rPr>
        <w:fldChar w:fldCharType="separate"/>
      </w:r>
      <w:r w:rsidR="00DA394E">
        <w:rPr>
          <w:szCs w:val="24"/>
        </w:rPr>
        <w:t>3</w:t>
      </w:r>
      <w:r w:rsidRPr="003B6411">
        <w:rPr>
          <w:szCs w:val="24"/>
        </w:rPr>
        <w:fldChar w:fldCharType="end"/>
      </w:r>
      <w:r w:rsidRPr="003B6411">
        <w:rPr>
          <w:szCs w:val="24"/>
        </w:rPr>
        <w:t>, at 75.</w:t>
      </w:r>
    </w:p>
  </w:endnote>
  <w:endnote w:id="63">
    <w:p w14:paraId="543A70BD"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General Comment No. 7, </w:t>
      </w:r>
      <w:r w:rsidRPr="003B6411">
        <w:rPr>
          <w:i/>
          <w:szCs w:val="24"/>
        </w:rPr>
        <w:t xml:space="preserve">supra </w:t>
      </w:r>
      <w:r w:rsidRPr="003B6411">
        <w:rPr>
          <w:szCs w:val="24"/>
        </w:rPr>
        <w:t xml:space="preserve">note </w:t>
      </w:r>
      <w:r w:rsidRPr="003B6411">
        <w:rPr>
          <w:szCs w:val="24"/>
        </w:rPr>
        <w:fldChar w:fldCharType="begin"/>
      </w:r>
      <w:r w:rsidRPr="003B6411">
        <w:rPr>
          <w:szCs w:val="24"/>
        </w:rPr>
        <w:instrText xml:space="preserve"> NOTEREF _Ref430705023 \h  \* MERGEFORMAT </w:instrText>
      </w:r>
      <w:r w:rsidRPr="003B6411">
        <w:rPr>
          <w:szCs w:val="24"/>
        </w:rPr>
      </w:r>
      <w:r w:rsidRPr="003B6411">
        <w:rPr>
          <w:szCs w:val="24"/>
        </w:rPr>
        <w:fldChar w:fldCharType="separate"/>
      </w:r>
      <w:r w:rsidR="00DA394E">
        <w:rPr>
          <w:szCs w:val="24"/>
        </w:rPr>
        <w:t>1</w:t>
      </w:r>
      <w:r w:rsidRPr="003B6411">
        <w:rPr>
          <w:szCs w:val="24"/>
        </w:rPr>
        <w:fldChar w:fldCharType="end"/>
      </w:r>
      <w:r w:rsidRPr="003B6411">
        <w:rPr>
          <w:szCs w:val="24"/>
        </w:rPr>
        <w:t>, ¶ 16.</w:t>
      </w:r>
    </w:p>
  </w:endnote>
  <w:endnote w:id="64">
    <w:p w14:paraId="6103F393"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i/>
          <w:szCs w:val="24"/>
        </w:rPr>
        <w:t xml:space="preserve">Id. </w:t>
      </w:r>
    </w:p>
  </w:endnote>
  <w:endnote w:id="65">
    <w:p w14:paraId="6FA44456"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On the Issue of Interim Measures with Respect to the Care of Minors in Relation to the Rights of Parents, Children and the Issue of a Fair Trial, IV.ÚS 2244/09 (Czech), </w:t>
      </w:r>
      <w:r w:rsidRPr="003B6411">
        <w:rPr>
          <w:i/>
          <w:szCs w:val="24"/>
        </w:rPr>
        <w:t>available at</w:t>
      </w:r>
      <w:r w:rsidRPr="003B6411">
        <w:rPr>
          <w:szCs w:val="24"/>
        </w:rPr>
        <w:t xml:space="preserve"> https://www.crin.org/en/library/legal-database/issue-interim-measures-respect-care-minors-relation-rights-parents-children (case summary) (last visited Sept. 15, 2015).</w:t>
      </w:r>
    </w:p>
  </w:endnote>
  <w:endnote w:id="66">
    <w:p w14:paraId="0BDE93B4"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SJCSJ-AF0083, Marco Antonio Izaguirre Bertrand vs. Diana Barcenas Ulloa, Suprema de Justicia de Honduras, Certifcado del 13 Enero de 2004 (Hon.), </w:t>
      </w:r>
      <w:r w:rsidRPr="003B6411">
        <w:rPr>
          <w:i/>
          <w:szCs w:val="24"/>
        </w:rPr>
        <w:t>available at</w:t>
      </w:r>
      <w:r w:rsidRPr="003B6411">
        <w:rPr>
          <w:szCs w:val="24"/>
        </w:rPr>
        <w:t xml:space="preserve"> https://www.crin.org/en/library/legal-database/bertrand-v-ulloa (case summary) (last visited Sept. 15, 2015).</w:t>
      </w:r>
    </w:p>
  </w:endnote>
  <w:endnote w:id="67">
    <w:p w14:paraId="74D508A0"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smallCaps/>
          <w:szCs w:val="24"/>
        </w:rPr>
        <w:t xml:space="preserve">Kamchedzera, </w:t>
      </w:r>
      <w:r w:rsidRPr="003B6411">
        <w:rPr>
          <w:i/>
          <w:szCs w:val="24"/>
        </w:rPr>
        <w:t xml:space="preserve">supra </w:t>
      </w:r>
      <w:r w:rsidRPr="003B6411">
        <w:rPr>
          <w:szCs w:val="24"/>
        </w:rPr>
        <w:t xml:space="preserve">note </w:t>
      </w:r>
      <w:r w:rsidRPr="003B6411">
        <w:rPr>
          <w:szCs w:val="24"/>
        </w:rPr>
        <w:fldChar w:fldCharType="begin"/>
      </w:r>
      <w:r w:rsidRPr="003B6411">
        <w:rPr>
          <w:szCs w:val="24"/>
        </w:rPr>
        <w:instrText xml:space="preserve"> NOTEREF _Ref430704170 \h  \* MERGEFORMAT </w:instrText>
      </w:r>
      <w:r w:rsidRPr="003B6411">
        <w:rPr>
          <w:szCs w:val="24"/>
        </w:rPr>
      </w:r>
      <w:r w:rsidRPr="003B6411">
        <w:rPr>
          <w:szCs w:val="24"/>
        </w:rPr>
        <w:fldChar w:fldCharType="separate"/>
      </w:r>
      <w:r w:rsidR="00DA394E">
        <w:rPr>
          <w:szCs w:val="24"/>
        </w:rPr>
        <w:t>2</w:t>
      </w:r>
      <w:r w:rsidRPr="003B6411">
        <w:rPr>
          <w:szCs w:val="24"/>
        </w:rPr>
        <w:fldChar w:fldCharType="end"/>
      </w:r>
      <w:r w:rsidRPr="003B6411">
        <w:rPr>
          <w:szCs w:val="24"/>
        </w:rPr>
        <w:t>, at 23.</w:t>
      </w:r>
    </w:p>
  </w:endnote>
  <w:endnote w:id="68">
    <w:p w14:paraId="2BB8D0B9"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smallCaps/>
          <w:szCs w:val="24"/>
        </w:rPr>
        <w:t>Manfred Nowak, A Commentary on the United Nations Convention on the Rights of the Child: Article 6. The Right to Life, Survival and Development</w:t>
      </w:r>
      <w:r w:rsidRPr="003B6411">
        <w:rPr>
          <w:szCs w:val="24"/>
        </w:rPr>
        <w:t xml:space="preserve"> 1 (André Alen et al. eds., 2005).</w:t>
      </w:r>
    </w:p>
  </w:endnote>
  <w:endnote w:id="69">
    <w:p w14:paraId="6C2C0094"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szCs w:val="24"/>
        </w:rPr>
        <w:t>兒童權利委員會，第</w:t>
      </w:r>
      <w:r w:rsidRPr="003B6411">
        <w:rPr>
          <w:szCs w:val="24"/>
        </w:rPr>
        <w:t>6</w:t>
      </w:r>
      <w:r w:rsidRPr="003B6411">
        <w:rPr>
          <w:szCs w:val="24"/>
        </w:rPr>
        <w:t>號一般性意見「遠離原籍國無人陪伴和無父母陪伴的兒童待遇」，第</w:t>
      </w:r>
      <w:r w:rsidRPr="003B6411">
        <w:rPr>
          <w:szCs w:val="24"/>
        </w:rPr>
        <w:t>5</w:t>
      </w:r>
      <w:r w:rsidRPr="003B6411">
        <w:rPr>
          <w:szCs w:val="24"/>
        </w:rPr>
        <w:t>段。</w:t>
      </w:r>
      <w:r w:rsidRPr="003B6411">
        <w:rPr>
          <w:szCs w:val="24"/>
        </w:rPr>
        <w:t>Committee on the Rights of the Child, General Comment No. 6: Treatment of Unaccompanied and Separated Children Outside Their Country of Origin, ¶ 5, U.N. Doc. CRC/GC/2005/6 (Sept. 1, 2005).</w:t>
      </w:r>
    </w:p>
  </w:endnote>
  <w:endnote w:id="70">
    <w:p w14:paraId="6F1F1085"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szCs w:val="24"/>
        </w:rPr>
        <w:t>林沛君，兒少人權向前行，臺北市，台灣展翅協會，</w:t>
      </w:r>
      <w:r w:rsidRPr="003B6411">
        <w:rPr>
          <w:szCs w:val="24"/>
        </w:rPr>
        <w:t>2015</w:t>
      </w:r>
      <w:r w:rsidRPr="003B6411">
        <w:rPr>
          <w:szCs w:val="24"/>
        </w:rPr>
        <w:t>年</w:t>
      </w:r>
      <w:r w:rsidRPr="003B6411">
        <w:rPr>
          <w:szCs w:val="24"/>
        </w:rPr>
        <w:t>4</w:t>
      </w:r>
      <w:r w:rsidRPr="003B6411">
        <w:rPr>
          <w:szCs w:val="24"/>
        </w:rPr>
        <w:t>月，頁</w:t>
      </w:r>
      <w:r w:rsidRPr="003B6411">
        <w:rPr>
          <w:szCs w:val="24"/>
        </w:rPr>
        <w:t>40</w:t>
      </w:r>
      <w:r w:rsidRPr="003B6411">
        <w:rPr>
          <w:szCs w:val="24"/>
        </w:rPr>
        <w:t>。</w:t>
      </w:r>
    </w:p>
  </w:endnote>
  <w:endnote w:id="71">
    <w:p w14:paraId="15C9A7BE"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szCs w:val="24"/>
        </w:rPr>
        <w:t>同前註，頁</w:t>
      </w:r>
      <w:r w:rsidRPr="003B6411">
        <w:rPr>
          <w:szCs w:val="24"/>
        </w:rPr>
        <w:t>40</w:t>
      </w:r>
      <w:r w:rsidRPr="003B6411">
        <w:rPr>
          <w:szCs w:val="24"/>
        </w:rPr>
        <w:t>。</w:t>
      </w:r>
    </w:p>
  </w:endnote>
  <w:endnote w:id="72">
    <w:p w14:paraId="7434ED60"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szCs w:val="24"/>
        </w:rPr>
        <w:t>兒童權利委員會，關於締約國根據兒童權利公約第</w:t>
      </w:r>
      <w:r w:rsidRPr="003B6411">
        <w:rPr>
          <w:szCs w:val="24"/>
        </w:rPr>
        <w:t>44</w:t>
      </w:r>
      <w:r w:rsidRPr="003B6411">
        <w:rPr>
          <w:szCs w:val="24"/>
        </w:rPr>
        <w:t>條第</w:t>
      </w:r>
      <w:r w:rsidRPr="003B6411">
        <w:rPr>
          <w:szCs w:val="24"/>
        </w:rPr>
        <w:t>1</w:t>
      </w:r>
      <w:r w:rsidRPr="003B6411">
        <w:rPr>
          <w:szCs w:val="24"/>
        </w:rPr>
        <w:t>款</w:t>
      </w:r>
      <w:r w:rsidRPr="003B6411">
        <w:rPr>
          <w:szCs w:val="24"/>
        </w:rPr>
        <w:t>(b)</w:t>
      </w:r>
      <w:r w:rsidRPr="003B6411">
        <w:rPr>
          <w:szCs w:val="24"/>
        </w:rPr>
        <w:t>項提交的定期報告的形式和內容的一般準則，第</w:t>
      </w:r>
      <w:r w:rsidRPr="003B6411">
        <w:rPr>
          <w:szCs w:val="24"/>
        </w:rPr>
        <w:t>40</w:t>
      </w:r>
      <w:r w:rsidRPr="003B6411">
        <w:rPr>
          <w:szCs w:val="24"/>
        </w:rPr>
        <w:t>段。</w:t>
      </w:r>
      <w:r w:rsidRPr="003B6411">
        <w:rPr>
          <w:szCs w:val="24"/>
        </w:rPr>
        <w:t>Committee on the Rights of the Child, Treaty-Specific Guidelines Regarding the Form and Content of Periodic Reports to Be Submitted by States Parties under Article 44, Paragraph 1 (b), of the Convention on the Rights of the Child, ¶ 40, U.N. Doc. CRC/C/58 (Nov. 20, 1996).</w:t>
      </w:r>
    </w:p>
  </w:endnote>
  <w:endnote w:id="73">
    <w:p w14:paraId="2D837569"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smallCaps/>
          <w:szCs w:val="24"/>
        </w:rPr>
        <w:t xml:space="preserve">Nowak, </w:t>
      </w:r>
      <w:r w:rsidRPr="003B6411">
        <w:rPr>
          <w:i/>
          <w:szCs w:val="24"/>
        </w:rPr>
        <w:t xml:space="preserve">supra </w:t>
      </w:r>
      <w:r w:rsidRPr="003B6411">
        <w:rPr>
          <w:szCs w:val="24"/>
        </w:rPr>
        <w:t xml:space="preserve">note </w:t>
      </w:r>
      <w:r w:rsidRPr="003B6411">
        <w:rPr>
          <w:szCs w:val="24"/>
        </w:rPr>
        <w:fldChar w:fldCharType="begin"/>
      </w:r>
      <w:r w:rsidRPr="003B6411">
        <w:rPr>
          <w:szCs w:val="24"/>
        </w:rPr>
        <w:instrText xml:space="preserve"> NOTEREF _Ref427232870 \h  \* MERGEFORMAT </w:instrText>
      </w:r>
      <w:r w:rsidRPr="003B6411">
        <w:rPr>
          <w:szCs w:val="24"/>
        </w:rPr>
      </w:r>
      <w:r w:rsidRPr="003B6411">
        <w:rPr>
          <w:szCs w:val="24"/>
        </w:rPr>
        <w:fldChar w:fldCharType="separate"/>
      </w:r>
      <w:r w:rsidR="00DA394E">
        <w:rPr>
          <w:szCs w:val="24"/>
        </w:rPr>
        <w:t>1</w:t>
      </w:r>
      <w:r w:rsidRPr="003B6411">
        <w:rPr>
          <w:szCs w:val="24"/>
        </w:rPr>
        <w:fldChar w:fldCharType="end"/>
      </w:r>
      <w:r w:rsidRPr="003B6411">
        <w:rPr>
          <w:szCs w:val="24"/>
        </w:rPr>
        <w:t>, at 47.</w:t>
      </w:r>
    </w:p>
  </w:endnote>
  <w:endnote w:id="74">
    <w:p w14:paraId="273C0899"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szCs w:val="24"/>
        </w:rPr>
        <w:t>兒童權利委員會，第</w:t>
      </w:r>
      <w:r w:rsidRPr="003B6411">
        <w:rPr>
          <w:szCs w:val="24"/>
        </w:rPr>
        <w:t>35</w:t>
      </w:r>
      <w:r w:rsidRPr="003B6411">
        <w:rPr>
          <w:szCs w:val="24"/>
        </w:rPr>
        <w:t>屆會議報告，頁</w:t>
      </w:r>
      <w:r w:rsidRPr="003B6411">
        <w:rPr>
          <w:szCs w:val="24"/>
        </w:rPr>
        <w:t>132-33</w:t>
      </w:r>
      <w:r w:rsidRPr="003B6411">
        <w:rPr>
          <w:szCs w:val="24"/>
        </w:rPr>
        <w:t>。</w:t>
      </w:r>
      <w:r w:rsidRPr="003B6411">
        <w:rPr>
          <w:szCs w:val="24"/>
        </w:rPr>
        <w:t>Committee on the Rights of the Child, Report on the Thirty-Fifth Session, at 132-33, U.N. Doc. CRC/C/137 (May 11, 2004).</w:t>
      </w:r>
    </w:p>
  </w:endnote>
  <w:endnote w:id="75">
    <w:p w14:paraId="4522AC0D"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smallCaps/>
          <w:szCs w:val="24"/>
        </w:rPr>
        <w:t>UNICEF, Implementation Handbook for the Convention on the Rights of the Child 93</w:t>
      </w:r>
      <w:r w:rsidRPr="003B6411">
        <w:rPr>
          <w:szCs w:val="24"/>
        </w:rPr>
        <w:t xml:space="preserve"> (3d ed. 2007).</w:t>
      </w:r>
    </w:p>
  </w:endnote>
  <w:endnote w:id="76">
    <w:p w14:paraId="5E2F39B9"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Gomez Paquiyauri Brothers v. Peru, Merits, Reparations, and Costs, Judgment, Inter-Am. Ct. H.R. (ser. C) No. 110 (July 8, 2004).</w:t>
      </w:r>
    </w:p>
  </w:endnote>
  <w:endnote w:id="77">
    <w:p w14:paraId="54C66797"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Constitutionality of Part 1 of Article 6.21 of the Code of Administrative Offences of the Russian Federation in Relation to the Complaint Lodged by Citizens Alexeev N. A., Evtuschenko Y.N. and Isakov D.A., Sept. 23, 2014, </w:t>
      </w:r>
      <w:r w:rsidRPr="003B6411">
        <w:rPr>
          <w:i/>
          <w:szCs w:val="24"/>
        </w:rPr>
        <w:t>available at</w:t>
      </w:r>
      <w:r w:rsidRPr="003B6411">
        <w:rPr>
          <w:szCs w:val="24"/>
        </w:rPr>
        <w:t xml:space="preserve"> https://www.crin.org/</w:t>
      </w:r>
      <w:r w:rsidRPr="003B6411">
        <w:rPr>
          <w:szCs w:val="24"/>
        </w:rPr>
        <w:br/>
        <w:t>en/library/legal-database/constitutionality-part-1-article-621-code-administrative-offences-russian (case summary) (last visited July 31, 2015).</w:t>
      </w:r>
    </w:p>
  </w:endnote>
  <w:endnote w:id="78">
    <w:p w14:paraId="5A80EF95"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Child Rights International Network, Article 7: Name and Nationality, https://www.</w:t>
      </w:r>
      <w:r w:rsidRPr="003B6411">
        <w:rPr>
          <w:szCs w:val="24"/>
        </w:rPr>
        <w:br/>
        <w:t>crin.org/en/home/rights/convention/articles/article-7-name-and-nationality (last visited: July 2, 2015).</w:t>
      </w:r>
    </w:p>
  </w:endnote>
  <w:endnote w:id="79">
    <w:p w14:paraId="1F741E44"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smallCaps/>
          <w:szCs w:val="24"/>
        </w:rPr>
        <w:t xml:space="preserve">UNICEF, Implementation Handbook for the Convention on the Rights of the Child </w:t>
      </w:r>
      <w:r w:rsidRPr="003B6411">
        <w:rPr>
          <w:szCs w:val="24"/>
        </w:rPr>
        <w:t>2 (3d ed. 2007).</w:t>
      </w:r>
    </w:p>
  </w:endnote>
  <w:endnote w:id="80">
    <w:p w14:paraId="44B9E933"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i/>
          <w:szCs w:val="24"/>
        </w:rPr>
        <w:t>Id.</w:t>
      </w:r>
      <w:r w:rsidRPr="003B6411">
        <w:rPr>
          <w:szCs w:val="24"/>
        </w:rPr>
        <w:t xml:space="preserve"> at 98.</w:t>
      </w:r>
    </w:p>
  </w:endnote>
  <w:endnote w:id="81">
    <w:p w14:paraId="2B3422D8"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i/>
          <w:szCs w:val="24"/>
        </w:rPr>
        <w:t>Id.</w:t>
      </w:r>
    </w:p>
  </w:endnote>
  <w:endnote w:id="82">
    <w:p w14:paraId="0A297FBB"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bCs/>
          <w:szCs w:val="24"/>
        </w:rPr>
        <w:t>Committee on the Rights of the Child</w:t>
      </w:r>
      <w:r w:rsidRPr="003B6411">
        <w:rPr>
          <w:szCs w:val="24"/>
        </w:rPr>
        <w:t xml:space="preserve">, </w:t>
      </w:r>
      <w:r w:rsidRPr="003B6411">
        <w:rPr>
          <w:bCs/>
          <w:szCs w:val="24"/>
        </w:rPr>
        <w:t>Concluding Observations: Algeria,</w:t>
      </w:r>
      <w:r w:rsidRPr="003B6411">
        <w:rPr>
          <w:szCs w:val="24"/>
        </w:rPr>
        <w:t xml:space="preserve"> ¶ 37,</w:t>
      </w:r>
      <w:r w:rsidRPr="003B6411">
        <w:rPr>
          <w:bCs/>
          <w:szCs w:val="24"/>
        </w:rPr>
        <w:t xml:space="preserve"> U.N. Doc. </w:t>
      </w:r>
      <w:r w:rsidRPr="003B6411">
        <w:rPr>
          <w:szCs w:val="24"/>
        </w:rPr>
        <w:t>CRC/C/DZA/CO/3-4 (July 18, 2012).</w:t>
      </w:r>
    </w:p>
  </w:endnote>
  <w:endnote w:id="83">
    <w:p w14:paraId="7515D271"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smallCaps/>
          <w:szCs w:val="24"/>
        </w:rPr>
        <w:t xml:space="preserve">UNICEF, </w:t>
      </w:r>
      <w:r w:rsidRPr="003B6411">
        <w:rPr>
          <w:i/>
          <w:szCs w:val="24"/>
        </w:rPr>
        <w:t>supra</w:t>
      </w:r>
      <w:r w:rsidRPr="003B6411">
        <w:rPr>
          <w:szCs w:val="24"/>
        </w:rPr>
        <w:t xml:space="preserve"> note 2, p.101</w:t>
      </w:r>
    </w:p>
  </w:endnote>
  <w:endnote w:id="84">
    <w:p w14:paraId="61372B04"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i/>
          <w:szCs w:val="24"/>
        </w:rPr>
        <w:t xml:space="preserve">Id. </w:t>
      </w:r>
      <w:r w:rsidRPr="003B6411">
        <w:rPr>
          <w:szCs w:val="24"/>
        </w:rPr>
        <w:t>at 100.</w:t>
      </w:r>
    </w:p>
  </w:endnote>
  <w:endnote w:id="85">
    <w:p w14:paraId="1C7A1CEF"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i/>
          <w:szCs w:val="24"/>
        </w:rPr>
        <w:t xml:space="preserve">Id. </w:t>
      </w:r>
      <w:r w:rsidRPr="003B6411">
        <w:rPr>
          <w:szCs w:val="24"/>
        </w:rPr>
        <w:t>at 101.</w:t>
      </w:r>
    </w:p>
  </w:endnote>
  <w:endnote w:id="86">
    <w:p w14:paraId="13B4C68F"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bCs/>
          <w:szCs w:val="24"/>
        </w:rPr>
        <w:t>Committee on the Rights of the Child</w:t>
      </w:r>
      <w:r w:rsidRPr="003B6411">
        <w:rPr>
          <w:szCs w:val="24"/>
        </w:rPr>
        <w:t xml:space="preserve">, </w:t>
      </w:r>
      <w:r w:rsidRPr="003B6411">
        <w:rPr>
          <w:i/>
          <w:szCs w:val="24"/>
        </w:rPr>
        <w:t>supra</w:t>
      </w:r>
      <w:r w:rsidRPr="003B6411">
        <w:rPr>
          <w:szCs w:val="24"/>
        </w:rPr>
        <w:t xml:space="preserve"> note </w:t>
      </w:r>
      <w:r w:rsidRPr="003B6411">
        <w:rPr>
          <w:szCs w:val="24"/>
        </w:rPr>
        <w:fldChar w:fldCharType="begin"/>
      </w:r>
      <w:r w:rsidRPr="003B6411">
        <w:rPr>
          <w:szCs w:val="24"/>
        </w:rPr>
        <w:instrText xml:space="preserve"> NOTEREF _Ref430776813 \h  \* MERGEFORMAT </w:instrText>
      </w:r>
      <w:r w:rsidRPr="003B6411">
        <w:rPr>
          <w:szCs w:val="24"/>
        </w:rPr>
      </w:r>
      <w:r w:rsidRPr="003B6411">
        <w:rPr>
          <w:szCs w:val="24"/>
        </w:rPr>
        <w:fldChar w:fldCharType="separate"/>
      </w:r>
      <w:r w:rsidR="00DA394E">
        <w:rPr>
          <w:szCs w:val="24"/>
        </w:rPr>
        <w:t>5</w:t>
      </w:r>
      <w:r w:rsidRPr="003B6411">
        <w:rPr>
          <w:szCs w:val="24"/>
        </w:rPr>
        <w:fldChar w:fldCharType="end"/>
      </w:r>
      <w:r w:rsidRPr="003B6411">
        <w:rPr>
          <w:bCs/>
          <w:szCs w:val="24"/>
        </w:rPr>
        <w:t>,</w:t>
      </w:r>
      <w:r w:rsidRPr="003B6411">
        <w:rPr>
          <w:szCs w:val="24"/>
        </w:rPr>
        <w:t xml:space="preserve"> ¶</w:t>
      </w:r>
      <w:r w:rsidRPr="003B6411">
        <w:rPr>
          <w:smallCaps/>
          <w:szCs w:val="24"/>
        </w:rPr>
        <w:t xml:space="preserve"> </w:t>
      </w:r>
      <w:r w:rsidRPr="003B6411">
        <w:rPr>
          <w:szCs w:val="24"/>
        </w:rPr>
        <w:t>40.</w:t>
      </w:r>
    </w:p>
  </w:endnote>
  <w:endnote w:id="87">
    <w:p w14:paraId="1932053D"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Human Rights Committee, </w:t>
      </w:r>
      <w:r w:rsidRPr="003B6411">
        <w:rPr>
          <w:bCs/>
          <w:szCs w:val="24"/>
        </w:rPr>
        <w:t>General Comment No. 17: The Right of Everyone to Benefit from the Protection of the Moral and Material Interests Resulting from Any Scientific, Literary or Artistic Production of Which He or She Is the Author (Art. 15)</w:t>
      </w:r>
      <w:r w:rsidRPr="003B6411">
        <w:rPr>
          <w:szCs w:val="24"/>
        </w:rPr>
        <w:t>, ¶ 8, U.N. Doc. HRI/GEN/1/Rev.9(Vol. I), at 195 (May 27, 2008).</w:t>
      </w:r>
    </w:p>
  </w:endnote>
  <w:endnote w:id="88">
    <w:p w14:paraId="2EFFABDC"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Human Rights Council, Report of the Working Group on the Universal Periodic Review: Bulgaria, ¶¶ 79-80, U.N. Doc. A/HRC/16/9 (Jan. 4, 2011).</w:t>
      </w:r>
    </w:p>
  </w:endnote>
  <w:endnote w:id="89">
    <w:p w14:paraId="2170E154"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smallCaps/>
          <w:szCs w:val="24"/>
        </w:rPr>
        <w:t xml:space="preserve">UNICEF, </w:t>
      </w:r>
      <w:r w:rsidRPr="003B6411">
        <w:rPr>
          <w:i/>
          <w:szCs w:val="24"/>
        </w:rPr>
        <w:t>supra</w:t>
      </w:r>
      <w:r w:rsidRPr="003B6411">
        <w:rPr>
          <w:szCs w:val="24"/>
        </w:rPr>
        <w:t xml:space="preserve"> note </w:t>
      </w:r>
      <w:r w:rsidRPr="003B6411">
        <w:rPr>
          <w:szCs w:val="24"/>
        </w:rPr>
        <w:fldChar w:fldCharType="begin"/>
      </w:r>
      <w:r w:rsidRPr="003B6411">
        <w:rPr>
          <w:szCs w:val="24"/>
        </w:rPr>
        <w:instrText xml:space="preserve"> NOTEREF _Ref430776958 \h  \* MERGEFORMAT </w:instrText>
      </w:r>
      <w:r w:rsidRPr="003B6411">
        <w:rPr>
          <w:szCs w:val="24"/>
        </w:rPr>
      </w:r>
      <w:r w:rsidRPr="003B6411">
        <w:rPr>
          <w:szCs w:val="24"/>
        </w:rPr>
        <w:fldChar w:fldCharType="separate"/>
      </w:r>
      <w:r w:rsidR="00DA394E">
        <w:rPr>
          <w:szCs w:val="24"/>
        </w:rPr>
        <w:t>2</w:t>
      </w:r>
      <w:r w:rsidRPr="003B6411">
        <w:rPr>
          <w:szCs w:val="24"/>
        </w:rPr>
        <w:fldChar w:fldCharType="end"/>
      </w:r>
      <w:r w:rsidRPr="003B6411">
        <w:rPr>
          <w:szCs w:val="24"/>
        </w:rPr>
        <w:t>, at 104</w:t>
      </w:r>
    </w:p>
  </w:endnote>
  <w:endnote w:id="90">
    <w:p w14:paraId="02811528"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bCs/>
          <w:szCs w:val="24"/>
        </w:rPr>
        <w:t>Committee on the Rights of the Child</w:t>
      </w:r>
      <w:r w:rsidRPr="003B6411">
        <w:rPr>
          <w:szCs w:val="24"/>
        </w:rPr>
        <w:t xml:space="preserve">, </w:t>
      </w:r>
      <w:r w:rsidRPr="003B6411">
        <w:rPr>
          <w:i/>
          <w:szCs w:val="24"/>
        </w:rPr>
        <w:t>supra</w:t>
      </w:r>
      <w:r w:rsidRPr="003B6411">
        <w:rPr>
          <w:szCs w:val="24"/>
        </w:rPr>
        <w:t xml:space="preserve"> note </w:t>
      </w:r>
      <w:r w:rsidRPr="003B6411">
        <w:rPr>
          <w:szCs w:val="24"/>
        </w:rPr>
        <w:fldChar w:fldCharType="begin"/>
      </w:r>
      <w:r w:rsidRPr="003B6411">
        <w:rPr>
          <w:szCs w:val="24"/>
        </w:rPr>
        <w:instrText xml:space="preserve"> NOTEREF _Ref430776813 \h  \* MERGEFORMAT </w:instrText>
      </w:r>
      <w:r w:rsidRPr="003B6411">
        <w:rPr>
          <w:szCs w:val="24"/>
        </w:rPr>
      </w:r>
      <w:r w:rsidRPr="003B6411">
        <w:rPr>
          <w:szCs w:val="24"/>
        </w:rPr>
        <w:fldChar w:fldCharType="separate"/>
      </w:r>
      <w:r w:rsidR="00DA394E">
        <w:rPr>
          <w:szCs w:val="24"/>
        </w:rPr>
        <w:t>5</w:t>
      </w:r>
      <w:r w:rsidRPr="003B6411">
        <w:rPr>
          <w:szCs w:val="24"/>
        </w:rPr>
        <w:fldChar w:fldCharType="end"/>
      </w:r>
      <w:r w:rsidRPr="003B6411">
        <w:rPr>
          <w:bCs/>
          <w:szCs w:val="24"/>
        </w:rPr>
        <w:t>,</w:t>
      </w:r>
      <w:r w:rsidRPr="003B6411">
        <w:rPr>
          <w:szCs w:val="24"/>
        </w:rPr>
        <w:t xml:space="preserve"> ¶</w:t>
      </w:r>
      <w:r w:rsidRPr="003B6411">
        <w:rPr>
          <w:smallCaps/>
          <w:szCs w:val="24"/>
        </w:rPr>
        <w:t xml:space="preserve"> </w:t>
      </w:r>
      <w:r w:rsidRPr="003B6411">
        <w:rPr>
          <w:szCs w:val="24"/>
        </w:rPr>
        <w:t>40.</w:t>
      </w:r>
    </w:p>
  </w:endnote>
  <w:endnote w:id="91">
    <w:p w14:paraId="2D155781"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szCs w:val="24"/>
        </w:rPr>
        <w:t>惟公約第</w:t>
      </w:r>
      <w:r w:rsidRPr="003B6411">
        <w:rPr>
          <w:szCs w:val="24"/>
        </w:rPr>
        <w:t>41</w:t>
      </w:r>
      <w:r w:rsidRPr="003B6411">
        <w:rPr>
          <w:szCs w:val="24"/>
        </w:rPr>
        <w:t>條規定，若對締約國有效之其他國際法規範對兒童更有利，則優先適用該規範。</w:t>
      </w:r>
      <w:r w:rsidRPr="003B6411">
        <w:rPr>
          <w:i/>
          <w:szCs w:val="24"/>
        </w:rPr>
        <w:t>See</w:t>
      </w:r>
      <w:r w:rsidRPr="003B6411">
        <w:rPr>
          <w:szCs w:val="24"/>
        </w:rPr>
        <w:t xml:space="preserve"> </w:t>
      </w:r>
      <w:r w:rsidRPr="003B6411">
        <w:rPr>
          <w:smallCaps/>
          <w:szCs w:val="24"/>
        </w:rPr>
        <w:t xml:space="preserve">UNICEF, </w:t>
      </w:r>
      <w:r w:rsidRPr="003B6411">
        <w:rPr>
          <w:i/>
          <w:szCs w:val="24"/>
        </w:rPr>
        <w:t>supra</w:t>
      </w:r>
      <w:r w:rsidRPr="003B6411">
        <w:rPr>
          <w:szCs w:val="24"/>
        </w:rPr>
        <w:t xml:space="preserve"> note </w:t>
      </w:r>
      <w:r w:rsidRPr="003B6411">
        <w:rPr>
          <w:szCs w:val="24"/>
        </w:rPr>
        <w:fldChar w:fldCharType="begin"/>
      </w:r>
      <w:r w:rsidRPr="003B6411">
        <w:rPr>
          <w:szCs w:val="24"/>
        </w:rPr>
        <w:instrText xml:space="preserve"> NOTEREF _Ref430776958 \h  \* MERGEFORMAT </w:instrText>
      </w:r>
      <w:r w:rsidRPr="003B6411">
        <w:rPr>
          <w:szCs w:val="24"/>
        </w:rPr>
      </w:r>
      <w:r w:rsidRPr="003B6411">
        <w:rPr>
          <w:szCs w:val="24"/>
        </w:rPr>
        <w:fldChar w:fldCharType="separate"/>
      </w:r>
      <w:r w:rsidR="00DA394E">
        <w:rPr>
          <w:szCs w:val="24"/>
        </w:rPr>
        <w:t>2</w:t>
      </w:r>
      <w:r w:rsidRPr="003B6411">
        <w:rPr>
          <w:szCs w:val="24"/>
        </w:rPr>
        <w:fldChar w:fldCharType="end"/>
      </w:r>
      <w:r w:rsidRPr="003B6411">
        <w:rPr>
          <w:szCs w:val="24"/>
        </w:rPr>
        <w:t>, at 104.</w:t>
      </w:r>
    </w:p>
  </w:endnote>
  <w:endnote w:id="92">
    <w:p w14:paraId="26CABDA5"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smallCaps/>
          <w:szCs w:val="24"/>
        </w:rPr>
        <w:t xml:space="preserve">UNICEF, </w:t>
      </w:r>
      <w:r w:rsidRPr="003B6411">
        <w:rPr>
          <w:i/>
          <w:szCs w:val="24"/>
        </w:rPr>
        <w:t>supra</w:t>
      </w:r>
      <w:r w:rsidRPr="003B6411">
        <w:rPr>
          <w:szCs w:val="24"/>
        </w:rPr>
        <w:t xml:space="preserve"> note 2, pp.110-111</w:t>
      </w:r>
    </w:p>
  </w:endnote>
  <w:endnote w:id="93">
    <w:p w14:paraId="4ADA1BE3"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Keegan v. Ireland, 18 EHRR 342 [1994].</w:t>
      </w:r>
    </w:p>
  </w:endnote>
  <w:endnote w:id="94">
    <w:p w14:paraId="2C6CAF1B"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ZH v Secretary of State for the Home Department, [2011] UKSC 4.</w:t>
      </w:r>
    </w:p>
  </w:endnote>
  <w:endnote w:id="95">
    <w:p w14:paraId="608657E7"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smallCaps/>
          <w:szCs w:val="24"/>
        </w:rPr>
        <w:t xml:space="preserve">UNICEF, </w:t>
      </w:r>
      <w:r w:rsidRPr="003B6411">
        <w:rPr>
          <w:i/>
          <w:szCs w:val="24"/>
        </w:rPr>
        <w:t>supra</w:t>
      </w:r>
      <w:r w:rsidRPr="003B6411">
        <w:rPr>
          <w:szCs w:val="24"/>
        </w:rPr>
        <w:t xml:space="preserve"> note </w:t>
      </w:r>
      <w:r w:rsidRPr="003B6411">
        <w:rPr>
          <w:szCs w:val="24"/>
        </w:rPr>
        <w:fldChar w:fldCharType="begin"/>
      </w:r>
      <w:r w:rsidRPr="003B6411">
        <w:rPr>
          <w:szCs w:val="24"/>
        </w:rPr>
        <w:instrText xml:space="preserve"> NOTEREF _Ref430776958 \h  \* MERGEFORMAT </w:instrText>
      </w:r>
      <w:r w:rsidRPr="003B6411">
        <w:rPr>
          <w:szCs w:val="24"/>
        </w:rPr>
      </w:r>
      <w:r w:rsidRPr="003B6411">
        <w:rPr>
          <w:szCs w:val="24"/>
        </w:rPr>
        <w:fldChar w:fldCharType="separate"/>
      </w:r>
      <w:r w:rsidR="00DA394E">
        <w:rPr>
          <w:szCs w:val="24"/>
        </w:rPr>
        <w:t>2</w:t>
      </w:r>
      <w:r w:rsidRPr="003B6411">
        <w:rPr>
          <w:szCs w:val="24"/>
        </w:rPr>
        <w:fldChar w:fldCharType="end"/>
      </w:r>
      <w:r w:rsidRPr="003B6411">
        <w:rPr>
          <w:szCs w:val="24"/>
        </w:rPr>
        <w:t>, at 97</w:t>
      </w:r>
      <w:r w:rsidRPr="003B6411">
        <w:rPr>
          <w:smallCaps/>
          <w:szCs w:val="24"/>
        </w:rPr>
        <w:t xml:space="preserve"> </w:t>
      </w:r>
    </w:p>
  </w:endnote>
  <w:endnote w:id="96">
    <w:p w14:paraId="1CE7227F"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Child Rights International Network, </w:t>
      </w:r>
      <w:r w:rsidRPr="003B6411">
        <w:rPr>
          <w:i/>
          <w:szCs w:val="24"/>
        </w:rPr>
        <w:t>supra</w:t>
      </w:r>
      <w:r w:rsidRPr="003B6411">
        <w:rPr>
          <w:szCs w:val="24"/>
        </w:rPr>
        <w:t xml:space="preserve"> note </w:t>
      </w:r>
      <w:r w:rsidRPr="003B6411">
        <w:rPr>
          <w:szCs w:val="24"/>
        </w:rPr>
        <w:fldChar w:fldCharType="begin"/>
      </w:r>
      <w:r w:rsidRPr="003B6411">
        <w:rPr>
          <w:szCs w:val="24"/>
        </w:rPr>
        <w:instrText xml:space="preserve"> NOTEREF _Ref430776979 \h  \* MERGEFORMAT </w:instrText>
      </w:r>
      <w:r w:rsidRPr="003B6411">
        <w:rPr>
          <w:szCs w:val="24"/>
        </w:rPr>
      </w:r>
      <w:r w:rsidRPr="003B6411">
        <w:rPr>
          <w:szCs w:val="24"/>
        </w:rPr>
        <w:fldChar w:fldCharType="separate"/>
      </w:r>
      <w:r w:rsidR="00DA394E">
        <w:rPr>
          <w:szCs w:val="24"/>
        </w:rPr>
        <w:t>1</w:t>
      </w:r>
      <w:r w:rsidRPr="003B6411">
        <w:rPr>
          <w:szCs w:val="24"/>
        </w:rPr>
        <w:fldChar w:fldCharType="end"/>
      </w:r>
      <w:r w:rsidRPr="003B6411">
        <w:rPr>
          <w:szCs w:val="24"/>
        </w:rPr>
        <w:t>.</w:t>
      </w:r>
    </w:p>
  </w:endnote>
  <w:endnote w:id="97">
    <w:p w14:paraId="6A2312FD"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smallCaps/>
          <w:szCs w:val="24"/>
        </w:rPr>
        <w:t>Jaap Doek, A Commentary on the United Nations Convention on the Rights of the Child: Article 8. The Right to Preservation of Identity, and Article 9. The Right Not to Be Separated from His or Her Parents 7-8</w:t>
      </w:r>
      <w:r w:rsidRPr="003B6411">
        <w:rPr>
          <w:szCs w:val="24"/>
        </w:rPr>
        <w:t xml:space="preserve"> (André Alen et al. eds., 2006). </w:t>
      </w:r>
      <w:r w:rsidRPr="003B6411">
        <w:rPr>
          <w:i/>
          <w:szCs w:val="24"/>
        </w:rPr>
        <w:t>See also</w:t>
      </w:r>
      <w:r w:rsidRPr="003B6411">
        <w:rPr>
          <w:szCs w:val="24"/>
        </w:rPr>
        <w:t xml:space="preserve"> Alfred de Zayas, </w:t>
      </w:r>
      <w:r w:rsidRPr="003B6411">
        <w:rPr>
          <w:i/>
          <w:szCs w:val="24"/>
        </w:rPr>
        <w:t>The CRC in Litigation under the ICCPR</w:t>
      </w:r>
      <w:r w:rsidRPr="003B6411">
        <w:rPr>
          <w:szCs w:val="24"/>
        </w:rPr>
        <w:t xml:space="preserve">, </w:t>
      </w:r>
      <w:r w:rsidRPr="003B6411">
        <w:rPr>
          <w:i/>
          <w:szCs w:val="24"/>
        </w:rPr>
        <w:t>in</w:t>
      </w:r>
      <w:r w:rsidRPr="003B6411">
        <w:rPr>
          <w:szCs w:val="24"/>
        </w:rPr>
        <w:t xml:space="preserve"> </w:t>
      </w:r>
      <w:r w:rsidRPr="003B6411">
        <w:rPr>
          <w:smallCaps/>
          <w:szCs w:val="24"/>
        </w:rPr>
        <w:t>Litigating the Rights of the Child: The UN Convention on the Rights of the Child in Domestic and International Jurisprudence</w:t>
      </w:r>
      <w:r w:rsidRPr="003B6411">
        <w:rPr>
          <w:szCs w:val="24"/>
        </w:rPr>
        <w:t xml:space="preserve"> 177, 182 (Ton Liefaard &amp; Jaap E. Doek eds., 2014).</w:t>
      </w:r>
    </w:p>
  </w:endnote>
  <w:endnote w:id="98">
    <w:p w14:paraId="5E9C5E3B"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smallCaps/>
          <w:szCs w:val="24"/>
        </w:rPr>
        <w:t>Doek</w:t>
      </w:r>
      <w:r w:rsidRPr="003B6411">
        <w:rPr>
          <w:szCs w:val="24"/>
        </w:rPr>
        <w:t xml:space="preserve">, </w:t>
      </w:r>
      <w:r w:rsidRPr="003B6411">
        <w:rPr>
          <w:i/>
          <w:szCs w:val="24"/>
        </w:rPr>
        <w:t xml:space="preserve">supra </w:t>
      </w:r>
      <w:r w:rsidRPr="003B6411">
        <w:rPr>
          <w:szCs w:val="24"/>
        </w:rPr>
        <w:t>note 1, at 10-11.</w:t>
      </w:r>
    </w:p>
  </w:endnote>
  <w:endnote w:id="99">
    <w:p w14:paraId="2FD7F3F9"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smallCaps/>
          <w:szCs w:val="24"/>
        </w:rPr>
        <w:t xml:space="preserve">UNICEF, Implementation Handbook for the Convention on the Rights of the Child 114 </w:t>
      </w:r>
      <w:r w:rsidRPr="003B6411">
        <w:rPr>
          <w:szCs w:val="24"/>
        </w:rPr>
        <w:t>(3d. 2007).</w:t>
      </w:r>
    </w:p>
  </w:endnote>
  <w:endnote w:id="100">
    <w:p w14:paraId="0AB75893"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Committee on the Rights of the Child, Concluding Observations: Australia, ¶¶ 14, 30, U.N. Doc. CRC/C/15/Add.79 (Oct. 21, 1997).</w:t>
      </w:r>
    </w:p>
  </w:endnote>
  <w:endnote w:id="101">
    <w:p w14:paraId="36CDACF6"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Committee on the Rights of the Child, Concluding Observations: Algeria, ¶¶ 39, 40, U.N. Doc. CRC/C/DZA/CO/3-4 (July 18, 2012).</w:t>
      </w:r>
    </w:p>
  </w:endnote>
  <w:endnote w:id="102">
    <w:p w14:paraId="0B711DA1"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smallCaps/>
          <w:szCs w:val="24"/>
        </w:rPr>
        <w:t xml:space="preserve">UNICEF, </w:t>
      </w:r>
      <w:r w:rsidRPr="003B6411">
        <w:rPr>
          <w:i/>
          <w:szCs w:val="24"/>
        </w:rPr>
        <w:t xml:space="preserve">supra </w:t>
      </w:r>
      <w:r w:rsidRPr="003B6411">
        <w:rPr>
          <w:szCs w:val="24"/>
        </w:rPr>
        <w:t>note 3, at 114.</w:t>
      </w:r>
    </w:p>
  </w:endnote>
  <w:endnote w:id="103">
    <w:p w14:paraId="0D8A6F2D"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smallCaps/>
          <w:szCs w:val="24"/>
        </w:rPr>
        <w:t>Doek</w:t>
      </w:r>
      <w:r w:rsidRPr="003B6411">
        <w:rPr>
          <w:szCs w:val="24"/>
        </w:rPr>
        <w:t xml:space="preserve">, </w:t>
      </w:r>
      <w:r w:rsidRPr="003B6411">
        <w:rPr>
          <w:i/>
          <w:szCs w:val="24"/>
        </w:rPr>
        <w:t xml:space="preserve">supra </w:t>
      </w:r>
      <w:r w:rsidRPr="003B6411">
        <w:rPr>
          <w:szCs w:val="24"/>
        </w:rPr>
        <w:t>note 1, at 10-11.</w:t>
      </w:r>
    </w:p>
  </w:endnote>
  <w:endnote w:id="104">
    <w:p w14:paraId="12D7C1FB"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smallCaps/>
          <w:szCs w:val="24"/>
        </w:rPr>
        <w:t xml:space="preserve">UNICEF, </w:t>
      </w:r>
      <w:r w:rsidRPr="003B6411">
        <w:rPr>
          <w:i/>
          <w:szCs w:val="24"/>
        </w:rPr>
        <w:t xml:space="preserve">supra </w:t>
      </w:r>
      <w:r w:rsidRPr="003B6411">
        <w:rPr>
          <w:szCs w:val="24"/>
        </w:rPr>
        <w:t>note 3, at 115.</w:t>
      </w:r>
    </w:p>
  </w:endnote>
  <w:endnote w:id="105">
    <w:p w14:paraId="7A39693C"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Committee on the Rights of the Child, Concluding Observations: El Salvador, ¶ 32, U.N. Doc. CRC/C/15/Add.232 (June 30, 2004).</w:t>
      </w:r>
    </w:p>
  </w:endnote>
  <w:endnote w:id="106">
    <w:p w14:paraId="078725B3"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smallCaps/>
          <w:szCs w:val="24"/>
        </w:rPr>
        <w:t xml:space="preserve">UNICEF, </w:t>
      </w:r>
      <w:r w:rsidRPr="003B6411">
        <w:rPr>
          <w:i/>
          <w:szCs w:val="24"/>
        </w:rPr>
        <w:t xml:space="preserve">supra </w:t>
      </w:r>
      <w:r w:rsidRPr="003B6411">
        <w:rPr>
          <w:szCs w:val="24"/>
        </w:rPr>
        <w:t>note 3, at 120.</w:t>
      </w:r>
    </w:p>
  </w:endnote>
  <w:endnote w:id="107">
    <w:p w14:paraId="66BE0417"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Serrano-Cruz Sisters v. El Salvador, Judgment of March 1, 2005, Inter-Am. Ct. H.R., (Ser. C) No. 120.</w:t>
      </w:r>
    </w:p>
  </w:endnote>
  <w:endnote w:id="108">
    <w:p w14:paraId="22AFCBCF"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Constitutionality of Article 139 of the Family Code of Russian Federation and Article 47 of the Federal Law “On the Acts of Civil Status” on account of complaint lodged by the citizens G. F. Grubich and T. G. Guschina, June 16, 2015 (Russ.), </w:t>
      </w:r>
      <w:r w:rsidRPr="003B6411">
        <w:rPr>
          <w:i/>
          <w:szCs w:val="24"/>
        </w:rPr>
        <w:t xml:space="preserve">available at </w:t>
      </w:r>
      <w:r w:rsidRPr="003B6411">
        <w:rPr>
          <w:szCs w:val="24"/>
        </w:rPr>
        <w:t>https://www.crin.org/en/library/legal-database/constitutionality-article-</w:t>
      </w:r>
      <w:r w:rsidRPr="003B6411">
        <w:rPr>
          <w:szCs w:val="24"/>
        </w:rPr>
        <w:br/>
        <w:t>139-family-code-russian-federation-and-article-47 (case summary) (lat visited Sept. 15, 2015).</w:t>
      </w:r>
    </w:p>
  </w:endnote>
  <w:endnote w:id="109">
    <w:p w14:paraId="4D2A9BCA"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szCs w:val="24"/>
        </w:rPr>
        <w:t>聯合國人權事務高級專員辦事處，兒童權利公約立法歷史，頁</w:t>
      </w:r>
      <w:r w:rsidRPr="003B6411">
        <w:rPr>
          <w:szCs w:val="24"/>
        </w:rPr>
        <w:t>407</w:t>
      </w:r>
      <w:r w:rsidRPr="003B6411">
        <w:rPr>
          <w:szCs w:val="24"/>
        </w:rPr>
        <w:t>。</w:t>
      </w:r>
      <w:r w:rsidRPr="003B6411">
        <w:rPr>
          <w:smallCaps/>
          <w:szCs w:val="24"/>
        </w:rPr>
        <w:t>Office of the United Nations High Commissioner for Human Rights (OHCHR), 1 Legislative History of the Convention on the Rights of the Child</w:t>
      </w:r>
      <w:r w:rsidRPr="003B6411">
        <w:rPr>
          <w:szCs w:val="24"/>
        </w:rPr>
        <w:t xml:space="preserve"> 407 (2007).</w:t>
      </w:r>
    </w:p>
  </w:endnote>
  <w:endnote w:id="110">
    <w:p w14:paraId="76A77B2E"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smallCaps/>
          <w:szCs w:val="24"/>
        </w:rPr>
        <w:t>Jaap Doek, A Commentary on the United Nations Convention on the Rights of the Child: Article 8. The Right to Preservation of Identity, and Article 9. The Right Not to Be Separated from His or Her Parents 21</w:t>
      </w:r>
      <w:r w:rsidRPr="003B6411">
        <w:rPr>
          <w:szCs w:val="24"/>
        </w:rPr>
        <w:t xml:space="preserve"> (André Alen et al. eds., 2006).</w:t>
      </w:r>
    </w:p>
  </w:endnote>
  <w:endnote w:id="111">
    <w:p w14:paraId="122D9C02"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i/>
          <w:szCs w:val="24"/>
        </w:rPr>
        <w:t>E.g.</w:t>
      </w:r>
      <w:r w:rsidRPr="003B6411">
        <w:rPr>
          <w:szCs w:val="24"/>
        </w:rPr>
        <w:t>, Committee on the Rights of the Child, Concluding Observations: Norway, ¶ 24, U.N. Doc. CRC/C/15/Add.263 (Sept. 21, 2005); Committee on the Rights of the Child, Concluding Observations: Kyrgyzstan, ¶ 40, U.N. Doc. CRC/C/15/Add.244 (Nov. 3, 2004).</w:t>
      </w:r>
    </w:p>
  </w:endnote>
  <w:endnote w:id="112">
    <w:p w14:paraId="7AC6BBC9"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Committee on the Rights of the Child, Concluding Observations: Maldives, ¶ 37, U.N. Doc. CRC/C/15/Add.91 (June 24, 1998).</w:t>
      </w:r>
    </w:p>
  </w:endnote>
  <w:endnote w:id="113">
    <w:p w14:paraId="351EFDAA"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smallCaps/>
          <w:szCs w:val="24"/>
        </w:rPr>
        <w:t xml:space="preserve">UNICEF, Implementation Handbook for the Convention on the Rights of the Child 127-28 </w:t>
      </w:r>
      <w:r w:rsidRPr="003B6411">
        <w:rPr>
          <w:szCs w:val="24"/>
        </w:rPr>
        <w:t>(3d. 2007).</w:t>
      </w:r>
    </w:p>
  </w:endnote>
  <w:endnote w:id="114">
    <w:p w14:paraId="00F62F1D"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smallCaps/>
          <w:szCs w:val="24"/>
        </w:rPr>
        <w:t>Doek,</w:t>
      </w:r>
      <w:r w:rsidRPr="003B6411">
        <w:rPr>
          <w:szCs w:val="24"/>
        </w:rPr>
        <w:t xml:space="preserve"> </w:t>
      </w:r>
      <w:r w:rsidRPr="003B6411">
        <w:rPr>
          <w:i/>
          <w:szCs w:val="24"/>
        </w:rPr>
        <w:t>supra</w:t>
      </w:r>
      <w:r w:rsidRPr="003B6411">
        <w:rPr>
          <w:szCs w:val="24"/>
        </w:rPr>
        <w:t xml:space="preserve"> note </w:t>
      </w:r>
      <w:r w:rsidRPr="003B6411">
        <w:rPr>
          <w:szCs w:val="24"/>
        </w:rPr>
        <w:fldChar w:fldCharType="begin"/>
      </w:r>
      <w:r w:rsidRPr="003B6411">
        <w:rPr>
          <w:szCs w:val="24"/>
        </w:rPr>
        <w:instrText xml:space="preserve"> NOTEREF _Ref430667971 \h  \* MERGEFORMAT </w:instrText>
      </w:r>
      <w:r w:rsidRPr="003B6411">
        <w:rPr>
          <w:szCs w:val="24"/>
        </w:rPr>
      </w:r>
      <w:r w:rsidRPr="003B6411">
        <w:rPr>
          <w:szCs w:val="24"/>
        </w:rPr>
        <w:fldChar w:fldCharType="separate"/>
      </w:r>
      <w:r w:rsidR="00DA394E">
        <w:rPr>
          <w:szCs w:val="24"/>
        </w:rPr>
        <w:t>2</w:t>
      </w:r>
      <w:r w:rsidRPr="003B6411">
        <w:rPr>
          <w:szCs w:val="24"/>
        </w:rPr>
        <w:fldChar w:fldCharType="end"/>
      </w:r>
      <w:r w:rsidRPr="003B6411">
        <w:rPr>
          <w:szCs w:val="24"/>
        </w:rPr>
        <w:t xml:space="preserve"> at</w:t>
      </w:r>
      <w:r w:rsidRPr="003B6411">
        <w:rPr>
          <w:smallCaps/>
          <w:szCs w:val="24"/>
        </w:rPr>
        <w:t xml:space="preserve"> 24.</w:t>
      </w:r>
    </w:p>
  </w:endnote>
  <w:endnote w:id="115">
    <w:p w14:paraId="7F7A2287"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Committee on the Rights of the Child, Concluding Observations: Nicaragua, ¶ 37(c), U.N. Doc. CRC/C/15/Add.265 (Sept. 21, 2005).</w:t>
      </w:r>
    </w:p>
  </w:endnote>
  <w:endnote w:id="116">
    <w:p w14:paraId="0B8BA1B0"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smallCaps/>
          <w:szCs w:val="24"/>
        </w:rPr>
        <w:t>UNICEF,</w:t>
      </w:r>
      <w:r w:rsidRPr="003B6411">
        <w:rPr>
          <w:szCs w:val="24"/>
        </w:rPr>
        <w:t xml:space="preserve"> </w:t>
      </w:r>
      <w:r w:rsidRPr="003B6411">
        <w:rPr>
          <w:i/>
          <w:szCs w:val="24"/>
        </w:rPr>
        <w:t>supra</w:t>
      </w:r>
      <w:r w:rsidRPr="003B6411">
        <w:rPr>
          <w:szCs w:val="24"/>
        </w:rPr>
        <w:t xml:space="preserve"> note </w:t>
      </w:r>
      <w:r w:rsidRPr="003B6411">
        <w:rPr>
          <w:szCs w:val="24"/>
        </w:rPr>
        <w:fldChar w:fldCharType="begin"/>
      </w:r>
      <w:r w:rsidRPr="003B6411">
        <w:rPr>
          <w:szCs w:val="24"/>
        </w:rPr>
        <w:instrText xml:space="preserve"> NOTEREF _Ref430651117 \h  \* MERGEFORMAT </w:instrText>
      </w:r>
      <w:r w:rsidRPr="003B6411">
        <w:rPr>
          <w:szCs w:val="24"/>
        </w:rPr>
      </w:r>
      <w:r w:rsidRPr="003B6411">
        <w:rPr>
          <w:szCs w:val="24"/>
        </w:rPr>
        <w:fldChar w:fldCharType="separate"/>
      </w:r>
      <w:r w:rsidR="00DA394E">
        <w:rPr>
          <w:szCs w:val="24"/>
        </w:rPr>
        <w:t>5</w:t>
      </w:r>
      <w:r w:rsidRPr="003B6411">
        <w:rPr>
          <w:szCs w:val="24"/>
        </w:rPr>
        <w:fldChar w:fldCharType="end"/>
      </w:r>
      <w:r w:rsidRPr="003B6411">
        <w:rPr>
          <w:szCs w:val="24"/>
        </w:rPr>
        <w:t>, at</w:t>
      </w:r>
      <w:r w:rsidRPr="003B6411">
        <w:rPr>
          <w:smallCaps/>
          <w:szCs w:val="24"/>
        </w:rPr>
        <w:t xml:space="preserve"> 123-27</w:t>
      </w:r>
      <w:r w:rsidRPr="003B6411">
        <w:rPr>
          <w:szCs w:val="24"/>
        </w:rPr>
        <w:t>.</w:t>
      </w:r>
    </w:p>
  </w:endnote>
  <w:endnote w:id="117">
    <w:p w14:paraId="06C699B5"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i/>
          <w:szCs w:val="24"/>
        </w:rPr>
        <w:t>Id.</w:t>
      </w:r>
      <w:r w:rsidRPr="003B6411">
        <w:rPr>
          <w:szCs w:val="24"/>
        </w:rPr>
        <w:t>, at</w:t>
      </w:r>
      <w:r w:rsidRPr="003B6411">
        <w:rPr>
          <w:smallCaps/>
          <w:szCs w:val="24"/>
        </w:rPr>
        <w:t xml:space="preserve"> 129</w:t>
      </w:r>
      <w:r w:rsidRPr="003B6411">
        <w:rPr>
          <w:szCs w:val="24"/>
        </w:rPr>
        <w:t>.</w:t>
      </w:r>
    </w:p>
  </w:endnote>
  <w:endnote w:id="118">
    <w:p w14:paraId="0C037426"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Committee on the Rights of the Child, Concluding Observations: Liechtenstein, ¶ 19, U.N. Doc. CRC/C/LIE/CO/2 (Apr. 16, 2006).</w:t>
      </w:r>
    </w:p>
  </w:endnote>
  <w:endnote w:id="119">
    <w:p w14:paraId="7B8B7C8A"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smallCaps/>
          <w:szCs w:val="24"/>
        </w:rPr>
        <w:t>Doek,</w:t>
      </w:r>
      <w:r w:rsidRPr="003B6411">
        <w:rPr>
          <w:szCs w:val="24"/>
        </w:rPr>
        <w:t xml:space="preserve"> </w:t>
      </w:r>
      <w:r w:rsidRPr="003B6411">
        <w:rPr>
          <w:i/>
          <w:szCs w:val="24"/>
        </w:rPr>
        <w:t>supra</w:t>
      </w:r>
      <w:r w:rsidRPr="003B6411">
        <w:rPr>
          <w:szCs w:val="24"/>
        </w:rPr>
        <w:t xml:space="preserve"> note </w:t>
      </w:r>
      <w:r w:rsidRPr="003B6411">
        <w:rPr>
          <w:szCs w:val="24"/>
        </w:rPr>
        <w:fldChar w:fldCharType="begin"/>
      </w:r>
      <w:r w:rsidRPr="003B6411">
        <w:rPr>
          <w:szCs w:val="24"/>
        </w:rPr>
        <w:instrText xml:space="preserve"> NOTEREF _Ref430667971 \h  \* MERGEFORMAT </w:instrText>
      </w:r>
      <w:r w:rsidRPr="003B6411">
        <w:rPr>
          <w:szCs w:val="24"/>
        </w:rPr>
      </w:r>
      <w:r w:rsidRPr="003B6411">
        <w:rPr>
          <w:szCs w:val="24"/>
        </w:rPr>
        <w:fldChar w:fldCharType="separate"/>
      </w:r>
      <w:r w:rsidR="00DA394E">
        <w:rPr>
          <w:szCs w:val="24"/>
        </w:rPr>
        <w:t>2</w:t>
      </w:r>
      <w:r w:rsidRPr="003B6411">
        <w:rPr>
          <w:szCs w:val="24"/>
        </w:rPr>
        <w:fldChar w:fldCharType="end"/>
      </w:r>
      <w:r w:rsidRPr="003B6411">
        <w:rPr>
          <w:szCs w:val="24"/>
        </w:rPr>
        <w:t xml:space="preserve"> at</w:t>
      </w:r>
      <w:r w:rsidRPr="003B6411">
        <w:rPr>
          <w:smallCaps/>
          <w:szCs w:val="24"/>
        </w:rPr>
        <w:t xml:space="preserve"> 28.</w:t>
      </w:r>
    </w:p>
  </w:endnote>
  <w:endnote w:id="120">
    <w:p w14:paraId="3135B6D1"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i/>
          <w:szCs w:val="24"/>
        </w:rPr>
        <w:t xml:space="preserve">Id. </w:t>
      </w:r>
      <w:r w:rsidRPr="003B6411">
        <w:rPr>
          <w:szCs w:val="24"/>
        </w:rPr>
        <w:t>at</w:t>
      </w:r>
      <w:r w:rsidRPr="003B6411">
        <w:rPr>
          <w:smallCaps/>
          <w:szCs w:val="24"/>
        </w:rPr>
        <w:t xml:space="preserve"> 30.</w:t>
      </w:r>
    </w:p>
  </w:endnote>
  <w:endnote w:id="121">
    <w:p w14:paraId="74B32CFD"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smallCaps/>
          <w:szCs w:val="24"/>
        </w:rPr>
        <w:t>UNICEF,</w:t>
      </w:r>
      <w:r w:rsidRPr="003B6411">
        <w:rPr>
          <w:szCs w:val="24"/>
        </w:rPr>
        <w:t xml:space="preserve"> </w:t>
      </w:r>
      <w:r w:rsidRPr="003B6411">
        <w:rPr>
          <w:i/>
          <w:szCs w:val="24"/>
        </w:rPr>
        <w:t>supra</w:t>
      </w:r>
      <w:r w:rsidRPr="003B6411">
        <w:rPr>
          <w:szCs w:val="24"/>
        </w:rPr>
        <w:t xml:space="preserve"> note </w:t>
      </w:r>
      <w:r w:rsidRPr="003B6411">
        <w:rPr>
          <w:szCs w:val="24"/>
        </w:rPr>
        <w:fldChar w:fldCharType="begin"/>
      </w:r>
      <w:r w:rsidRPr="003B6411">
        <w:rPr>
          <w:szCs w:val="24"/>
        </w:rPr>
        <w:instrText xml:space="preserve"> NOTEREF _Ref430651117 \h  \* MERGEFORMAT </w:instrText>
      </w:r>
      <w:r w:rsidRPr="003B6411">
        <w:rPr>
          <w:szCs w:val="24"/>
        </w:rPr>
      </w:r>
      <w:r w:rsidRPr="003B6411">
        <w:rPr>
          <w:szCs w:val="24"/>
        </w:rPr>
        <w:fldChar w:fldCharType="separate"/>
      </w:r>
      <w:r w:rsidR="00DA394E">
        <w:rPr>
          <w:szCs w:val="24"/>
        </w:rPr>
        <w:t>5</w:t>
      </w:r>
      <w:r w:rsidRPr="003B6411">
        <w:rPr>
          <w:szCs w:val="24"/>
        </w:rPr>
        <w:fldChar w:fldCharType="end"/>
      </w:r>
      <w:r w:rsidRPr="003B6411">
        <w:rPr>
          <w:szCs w:val="24"/>
        </w:rPr>
        <w:t>, at</w:t>
      </w:r>
      <w:r w:rsidRPr="003B6411">
        <w:rPr>
          <w:smallCaps/>
          <w:szCs w:val="24"/>
        </w:rPr>
        <w:t xml:space="preserve"> 131</w:t>
      </w:r>
      <w:r w:rsidRPr="003B6411">
        <w:rPr>
          <w:szCs w:val="24"/>
        </w:rPr>
        <w:t>.</w:t>
      </w:r>
    </w:p>
  </w:endnote>
  <w:endnote w:id="122">
    <w:p w14:paraId="18D1E78A"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i/>
          <w:szCs w:val="24"/>
        </w:rPr>
        <w:t xml:space="preserve">Id. </w:t>
      </w:r>
      <w:r w:rsidRPr="003B6411">
        <w:rPr>
          <w:szCs w:val="24"/>
        </w:rPr>
        <w:t>at</w:t>
      </w:r>
      <w:r w:rsidRPr="003B6411">
        <w:rPr>
          <w:smallCaps/>
          <w:szCs w:val="24"/>
        </w:rPr>
        <w:t xml:space="preserve"> 131</w:t>
      </w:r>
      <w:r w:rsidRPr="003B6411">
        <w:rPr>
          <w:szCs w:val="24"/>
        </w:rPr>
        <w:t>.</w:t>
      </w:r>
    </w:p>
  </w:endnote>
  <w:endnote w:id="123">
    <w:p w14:paraId="47AC55E6"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Thudinyane v. Edward, SA 17/2005 (Namib.).</w:t>
      </w:r>
    </w:p>
  </w:endnote>
  <w:endnote w:id="124">
    <w:p w14:paraId="39683E4F"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C v S [P Orders] [2006] NZFLR 745 (N.Z.).</w:t>
      </w:r>
    </w:p>
  </w:endnote>
  <w:endnote w:id="125">
    <w:p w14:paraId="6F2B29CC"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smallCaps/>
          <w:szCs w:val="24"/>
        </w:rPr>
        <w:t>Doek,</w:t>
      </w:r>
      <w:r w:rsidRPr="003B6411">
        <w:rPr>
          <w:szCs w:val="24"/>
        </w:rPr>
        <w:t xml:space="preserve"> </w:t>
      </w:r>
      <w:r w:rsidRPr="003B6411">
        <w:rPr>
          <w:i/>
          <w:szCs w:val="24"/>
        </w:rPr>
        <w:t>supra</w:t>
      </w:r>
      <w:r w:rsidRPr="003B6411">
        <w:rPr>
          <w:szCs w:val="24"/>
        </w:rPr>
        <w:t xml:space="preserve"> note </w:t>
      </w:r>
      <w:r w:rsidRPr="003B6411">
        <w:rPr>
          <w:szCs w:val="24"/>
        </w:rPr>
        <w:fldChar w:fldCharType="begin"/>
      </w:r>
      <w:r w:rsidRPr="003B6411">
        <w:rPr>
          <w:szCs w:val="24"/>
        </w:rPr>
        <w:instrText xml:space="preserve"> NOTEREF _Ref430667971 \h  \* MERGEFORMAT </w:instrText>
      </w:r>
      <w:r w:rsidRPr="003B6411">
        <w:rPr>
          <w:szCs w:val="24"/>
        </w:rPr>
      </w:r>
      <w:r w:rsidRPr="003B6411">
        <w:rPr>
          <w:szCs w:val="24"/>
        </w:rPr>
        <w:fldChar w:fldCharType="separate"/>
      </w:r>
      <w:r w:rsidR="00DA394E">
        <w:rPr>
          <w:szCs w:val="24"/>
        </w:rPr>
        <w:t>2</w:t>
      </w:r>
      <w:r w:rsidRPr="003B6411">
        <w:rPr>
          <w:szCs w:val="24"/>
        </w:rPr>
        <w:fldChar w:fldCharType="end"/>
      </w:r>
      <w:r w:rsidRPr="003B6411">
        <w:rPr>
          <w:szCs w:val="24"/>
        </w:rPr>
        <w:t xml:space="preserve"> at</w:t>
      </w:r>
      <w:r w:rsidRPr="003B6411">
        <w:rPr>
          <w:smallCaps/>
          <w:szCs w:val="24"/>
        </w:rPr>
        <w:t xml:space="preserve"> 25.</w:t>
      </w:r>
    </w:p>
  </w:endnote>
  <w:endnote w:id="126">
    <w:p w14:paraId="65EF73CA"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smallCaps/>
          <w:szCs w:val="24"/>
        </w:rPr>
        <w:t xml:space="preserve">Sharon Detrick, A Commentary on the United Nations Convention on the Rights of the Child </w:t>
      </w:r>
      <w:r w:rsidRPr="003B6411">
        <w:rPr>
          <w:szCs w:val="24"/>
        </w:rPr>
        <w:t>179 (1999)</w:t>
      </w:r>
      <w:r w:rsidRPr="003B6411">
        <w:rPr>
          <w:smallCaps/>
          <w:szCs w:val="24"/>
        </w:rPr>
        <w:t>.</w:t>
      </w:r>
    </w:p>
  </w:endnote>
  <w:endnote w:id="127">
    <w:p w14:paraId="2E39EFD0"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smallCaps/>
          <w:szCs w:val="24"/>
        </w:rPr>
        <w:t xml:space="preserve">UNICEF, Implementation Handbook for the Convention on the Rights of the Child 135 </w:t>
      </w:r>
      <w:r w:rsidRPr="003B6411">
        <w:rPr>
          <w:szCs w:val="24"/>
        </w:rPr>
        <w:t>(3d. 2007).</w:t>
      </w:r>
    </w:p>
  </w:endnote>
  <w:endnote w:id="128">
    <w:p w14:paraId="7FB1D9D2"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szCs w:val="24"/>
        </w:rPr>
        <w:t>聯合國人權事務高級專員辦事處，兒童權利公約立法歷史，頁</w:t>
      </w:r>
      <w:r w:rsidRPr="003B6411">
        <w:rPr>
          <w:szCs w:val="24"/>
        </w:rPr>
        <w:t>407</w:t>
      </w:r>
      <w:r w:rsidRPr="003B6411">
        <w:rPr>
          <w:szCs w:val="24"/>
        </w:rPr>
        <w:t>。</w:t>
      </w:r>
      <w:r w:rsidRPr="003B6411">
        <w:rPr>
          <w:smallCaps/>
          <w:szCs w:val="24"/>
        </w:rPr>
        <w:t>Office of the United Nations High Commissioner for Human Rights (OHCHR), 1 Legislative History of the Convention on the Rights of the Child</w:t>
      </w:r>
      <w:r w:rsidRPr="003B6411">
        <w:rPr>
          <w:szCs w:val="24"/>
        </w:rPr>
        <w:t xml:space="preserve"> 407 (2007).</w:t>
      </w:r>
    </w:p>
  </w:endnote>
  <w:endnote w:id="129">
    <w:p w14:paraId="64FE56A1"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smallCaps/>
          <w:szCs w:val="24"/>
        </w:rPr>
        <w:t xml:space="preserve">UNICEF, </w:t>
      </w:r>
      <w:r w:rsidRPr="003B6411">
        <w:rPr>
          <w:i/>
          <w:szCs w:val="24"/>
        </w:rPr>
        <w:t xml:space="preserve">supra </w:t>
      </w:r>
      <w:r w:rsidRPr="003B6411">
        <w:rPr>
          <w:szCs w:val="24"/>
        </w:rPr>
        <w:t xml:space="preserve">note </w:t>
      </w:r>
      <w:r w:rsidRPr="003B6411">
        <w:rPr>
          <w:szCs w:val="24"/>
        </w:rPr>
        <w:fldChar w:fldCharType="begin"/>
      </w:r>
      <w:r w:rsidRPr="003B6411">
        <w:rPr>
          <w:szCs w:val="24"/>
        </w:rPr>
        <w:instrText xml:space="preserve"> NOTEREF _Ref430670165 \h  \* MERGEFORMAT </w:instrText>
      </w:r>
      <w:r w:rsidRPr="003B6411">
        <w:rPr>
          <w:szCs w:val="24"/>
        </w:rPr>
      </w:r>
      <w:r w:rsidRPr="003B6411">
        <w:rPr>
          <w:szCs w:val="24"/>
        </w:rPr>
        <w:fldChar w:fldCharType="separate"/>
      </w:r>
      <w:r w:rsidR="00DA394E">
        <w:rPr>
          <w:szCs w:val="24"/>
        </w:rPr>
        <w:t>1</w:t>
      </w:r>
      <w:r w:rsidRPr="003B6411">
        <w:rPr>
          <w:szCs w:val="24"/>
        </w:rPr>
        <w:fldChar w:fldCharType="end"/>
      </w:r>
      <w:r w:rsidRPr="003B6411">
        <w:rPr>
          <w:szCs w:val="24"/>
        </w:rPr>
        <w:t>, at 135-36.</w:t>
      </w:r>
    </w:p>
  </w:endnote>
  <w:endnote w:id="130">
    <w:p w14:paraId="0C4E5CBF"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smallCaps/>
          <w:szCs w:val="24"/>
        </w:rPr>
        <w:t>Sharon Detrick, A Commentary on the United Nations Convention on the Rights of the Child 206</w:t>
      </w:r>
      <w:r w:rsidRPr="003B6411">
        <w:rPr>
          <w:szCs w:val="24"/>
        </w:rPr>
        <w:t xml:space="preserve"> (1999)</w:t>
      </w:r>
      <w:r w:rsidRPr="003B6411">
        <w:rPr>
          <w:smallCaps/>
          <w:szCs w:val="24"/>
        </w:rPr>
        <w:t>.</w:t>
      </w:r>
    </w:p>
  </w:endnote>
  <w:endnote w:id="131">
    <w:p w14:paraId="3548C156"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smallCaps/>
          <w:szCs w:val="24"/>
        </w:rPr>
        <w:t xml:space="preserve">UNICEF, </w:t>
      </w:r>
      <w:r w:rsidRPr="003B6411">
        <w:rPr>
          <w:i/>
          <w:szCs w:val="24"/>
        </w:rPr>
        <w:t xml:space="preserve">supra </w:t>
      </w:r>
      <w:r w:rsidRPr="003B6411">
        <w:rPr>
          <w:szCs w:val="24"/>
        </w:rPr>
        <w:t xml:space="preserve">note </w:t>
      </w:r>
      <w:r w:rsidRPr="003B6411">
        <w:rPr>
          <w:szCs w:val="24"/>
        </w:rPr>
        <w:fldChar w:fldCharType="begin"/>
      </w:r>
      <w:r w:rsidRPr="003B6411">
        <w:rPr>
          <w:szCs w:val="24"/>
        </w:rPr>
        <w:instrText xml:space="preserve"> NOTEREF _Ref430670165 \h  \* MERGEFORMAT </w:instrText>
      </w:r>
      <w:r w:rsidRPr="003B6411">
        <w:rPr>
          <w:szCs w:val="24"/>
        </w:rPr>
      </w:r>
      <w:r w:rsidRPr="003B6411">
        <w:rPr>
          <w:szCs w:val="24"/>
        </w:rPr>
        <w:fldChar w:fldCharType="separate"/>
      </w:r>
      <w:r w:rsidR="00DA394E">
        <w:rPr>
          <w:szCs w:val="24"/>
        </w:rPr>
        <w:t>1</w:t>
      </w:r>
      <w:r w:rsidRPr="003B6411">
        <w:rPr>
          <w:szCs w:val="24"/>
        </w:rPr>
        <w:fldChar w:fldCharType="end"/>
      </w:r>
      <w:r w:rsidRPr="003B6411">
        <w:rPr>
          <w:szCs w:val="24"/>
        </w:rPr>
        <w:t>, at 136.</w:t>
      </w:r>
    </w:p>
  </w:endnote>
  <w:endnote w:id="132">
    <w:p w14:paraId="432DD1B0"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szCs w:val="24"/>
        </w:rPr>
        <w:t>兒童權利委員會，第</w:t>
      </w:r>
      <w:r w:rsidRPr="003B6411">
        <w:rPr>
          <w:szCs w:val="24"/>
        </w:rPr>
        <w:t>6</w:t>
      </w:r>
      <w:r w:rsidRPr="003B6411">
        <w:rPr>
          <w:szCs w:val="24"/>
        </w:rPr>
        <w:t>號一般性意見「遠離原籍國無人陪伴和無父母陪伴的兒童待遇」，第</w:t>
      </w:r>
      <w:r w:rsidRPr="003B6411">
        <w:rPr>
          <w:szCs w:val="24"/>
        </w:rPr>
        <w:t>82-83</w:t>
      </w:r>
      <w:r w:rsidRPr="003B6411">
        <w:rPr>
          <w:szCs w:val="24"/>
        </w:rPr>
        <w:t>段。</w:t>
      </w:r>
      <w:r w:rsidRPr="003B6411">
        <w:rPr>
          <w:szCs w:val="24"/>
        </w:rPr>
        <w:t>Committee on the Rights of the Child, General Comment No. 6: Treatment of Unaccompanied and Separated Children Outside Their Country of Origin, ¶¶ 82-83, U.N. Doc. CRC/GC/2005/6 (Sept. 1, 2005).</w:t>
      </w:r>
    </w:p>
  </w:endnote>
  <w:endnote w:id="133">
    <w:p w14:paraId="4FD237C9"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smallCaps/>
          <w:szCs w:val="24"/>
        </w:rPr>
        <w:t xml:space="preserve">UNICEF, </w:t>
      </w:r>
      <w:r w:rsidRPr="003B6411">
        <w:rPr>
          <w:i/>
          <w:szCs w:val="24"/>
        </w:rPr>
        <w:t xml:space="preserve">supra </w:t>
      </w:r>
      <w:r w:rsidRPr="003B6411">
        <w:rPr>
          <w:szCs w:val="24"/>
        </w:rPr>
        <w:t xml:space="preserve">note </w:t>
      </w:r>
      <w:r w:rsidRPr="003B6411">
        <w:rPr>
          <w:szCs w:val="24"/>
        </w:rPr>
        <w:fldChar w:fldCharType="begin"/>
      </w:r>
      <w:r w:rsidRPr="003B6411">
        <w:rPr>
          <w:szCs w:val="24"/>
        </w:rPr>
        <w:instrText xml:space="preserve"> NOTEREF _Ref430670165 \h  \* MERGEFORMAT </w:instrText>
      </w:r>
      <w:r w:rsidRPr="003B6411">
        <w:rPr>
          <w:szCs w:val="24"/>
        </w:rPr>
      </w:r>
      <w:r w:rsidRPr="003B6411">
        <w:rPr>
          <w:szCs w:val="24"/>
        </w:rPr>
        <w:fldChar w:fldCharType="separate"/>
      </w:r>
      <w:r w:rsidR="00DA394E">
        <w:rPr>
          <w:szCs w:val="24"/>
        </w:rPr>
        <w:t>1</w:t>
      </w:r>
      <w:r w:rsidRPr="003B6411">
        <w:rPr>
          <w:szCs w:val="24"/>
        </w:rPr>
        <w:fldChar w:fldCharType="end"/>
      </w:r>
      <w:r w:rsidRPr="003B6411">
        <w:rPr>
          <w:szCs w:val="24"/>
        </w:rPr>
        <w:t>, at 138.</w:t>
      </w:r>
    </w:p>
  </w:endnote>
  <w:endnote w:id="134">
    <w:p w14:paraId="4EB2F49B"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i/>
          <w:szCs w:val="24"/>
        </w:rPr>
        <w:t>E.g.</w:t>
      </w:r>
      <w:r w:rsidRPr="003B6411">
        <w:rPr>
          <w:szCs w:val="24"/>
        </w:rPr>
        <w:t>, Committee on the Rights of the Child, Concluding Observations: Finland, ¶ 49, U.N. Doc. CRC/C/15/Add.272 (Oct. 20, 2005); Committee on the Rights of the Child, Concluding Observations: Spaion, ¶ 34, U.N. Doc. CRC/C/15/Add.185 (June 13, 2002).</w:t>
      </w:r>
    </w:p>
  </w:endnote>
  <w:endnote w:id="135">
    <w:p w14:paraId="425ECF4D"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smallCaps/>
          <w:szCs w:val="24"/>
        </w:rPr>
        <w:t xml:space="preserve">UNICEF, </w:t>
      </w:r>
      <w:r w:rsidRPr="003B6411">
        <w:rPr>
          <w:i/>
          <w:szCs w:val="24"/>
        </w:rPr>
        <w:t xml:space="preserve">supra </w:t>
      </w:r>
      <w:r w:rsidRPr="003B6411">
        <w:rPr>
          <w:szCs w:val="24"/>
        </w:rPr>
        <w:t xml:space="preserve">note </w:t>
      </w:r>
      <w:r w:rsidRPr="003B6411">
        <w:rPr>
          <w:szCs w:val="24"/>
        </w:rPr>
        <w:fldChar w:fldCharType="begin"/>
      </w:r>
      <w:r w:rsidRPr="003B6411">
        <w:rPr>
          <w:szCs w:val="24"/>
        </w:rPr>
        <w:instrText xml:space="preserve"> NOTEREF _Ref430670165 \h  \* MERGEFORMAT </w:instrText>
      </w:r>
      <w:r w:rsidRPr="003B6411">
        <w:rPr>
          <w:szCs w:val="24"/>
        </w:rPr>
      </w:r>
      <w:r w:rsidRPr="003B6411">
        <w:rPr>
          <w:szCs w:val="24"/>
        </w:rPr>
        <w:fldChar w:fldCharType="separate"/>
      </w:r>
      <w:r w:rsidR="00DA394E">
        <w:rPr>
          <w:szCs w:val="24"/>
        </w:rPr>
        <w:t>1</w:t>
      </w:r>
      <w:r w:rsidRPr="003B6411">
        <w:rPr>
          <w:szCs w:val="24"/>
        </w:rPr>
        <w:fldChar w:fldCharType="end"/>
      </w:r>
      <w:r w:rsidRPr="003B6411">
        <w:rPr>
          <w:szCs w:val="24"/>
        </w:rPr>
        <w:t>, at 139.</w:t>
      </w:r>
    </w:p>
  </w:endnote>
  <w:endnote w:id="136">
    <w:p w14:paraId="4A439384"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szCs w:val="24"/>
        </w:rPr>
        <w:t>人權事務委員會，第</w:t>
      </w:r>
      <w:r w:rsidRPr="003B6411">
        <w:rPr>
          <w:szCs w:val="24"/>
        </w:rPr>
        <w:t>27</w:t>
      </w:r>
      <w:r w:rsidRPr="003B6411">
        <w:rPr>
          <w:szCs w:val="24"/>
        </w:rPr>
        <w:t>號一般性意見「遷徙自由</w:t>
      </w:r>
      <w:r w:rsidRPr="003B6411">
        <w:rPr>
          <w:szCs w:val="24"/>
        </w:rPr>
        <w:t xml:space="preserve"> (</w:t>
      </w:r>
      <w:r w:rsidRPr="003B6411">
        <w:rPr>
          <w:szCs w:val="24"/>
        </w:rPr>
        <w:t>公約第十二條</w:t>
      </w:r>
      <w:r w:rsidRPr="003B6411">
        <w:rPr>
          <w:szCs w:val="24"/>
        </w:rPr>
        <w:t>)</w:t>
      </w:r>
      <w:r w:rsidRPr="003B6411">
        <w:rPr>
          <w:szCs w:val="24"/>
        </w:rPr>
        <w:t>」，第</w:t>
      </w:r>
      <w:r w:rsidRPr="003B6411">
        <w:rPr>
          <w:szCs w:val="24"/>
        </w:rPr>
        <w:t>20</w:t>
      </w:r>
      <w:r w:rsidRPr="003B6411">
        <w:rPr>
          <w:szCs w:val="24"/>
        </w:rPr>
        <w:t>段。</w:t>
      </w:r>
      <w:r w:rsidRPr="003B6411">
        <w:rPr>
          <w:szCs w:val="24"/>
        </w:rPr>
        <w:t>Human Rights Committee, General Comment No. 27: Freedom of Movement (Article 12), ¶ 20, U.N. Doc. CCPR/C/21/Rev.1/Add.9 (Nov. 1, 1999).</w:t>
      </w:r>
    </w:p>
  </w:endnote>
  <w:endnote w:id="137">
    <w:p w14:paraId="1D7F00ED"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Human Rights Committee, Dernawi v. Libyan Arab Jamahiriya, Communication No. 1143/2002, U.N. Doc. CCPR/C/90/D/1143/2002 (Aug. 31, 2007).</w:t>
      </w:r>
    </w:p>
  </w:endnote>
  <w:endnote w:id="138">
    <w:p w14:paraId="2C535300"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E.U. Council Directive 2003/86/EC, 2003 OJ (L 251/12).</w:t>
      </w:r>
    </w:p>
  </w:endnote>
  <w:endnote w:id="139">
    <w:p w14:paraId="13A3E4BE"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smallCaps/>
          <w:szCs w:val="24"/>
        </w:rPr>
        <w:t>UNICEF, Implementation Handbook for the Convention on the Rights of the Child 143</w:t>
      </w:r>
      <w:r w:rsidRPr="003B6411">
        <w:rPr>
          <w:szCs w:val="24"/>
        </w:rPr>
        <w:t xml:space="preserve"> (3d ed. 2007).</w:t>
      </w:r>
    </w:p>
  </w:endnote>
  <w:endnote w:id="140">
    <w:p w14:paraId="118B1A47"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i/>
          <w:szCs w:val="24"/>
        </w:rPr>
        <w:t>Id.</w:t>
      </w:r>
      <w:r w:rsidRPr="003B6411">
        <w:rPr>
          <w:szCs w:val="24"/>
        </w:rPr>
        <w:t xml:space="preserve"> at 153.</w:t>
      </w:r>
    </w:p>
  </w:endnote>
  <w:endnote w:id="141">
    <w:p w14:paraId="207BD3B0"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i/>
          <w:szCs w:val="24"/>
        </w:rPr>
        <w:t xml:space="preserve">Id. </w:t>
      </w:r>
      <w:r w:rsidRPr="003B6411">
        <w:rPr>
          <w:szCs w:val="24"/>
        </w:rPr>
        <w:t>at 145.</w:t>
      </w:r>
    </w:p>
  </w:endnote>
  <w:endnote w:id="142">
    <w:p w14:paraId="4974BBC3"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i/>
          <w:szCs w:val="24"/>
        </w:rPr>
        <w:t>Id.</w:t>
      </w:r>
      <w:r w:rsidRPr="003B6411">
        <w:rPr>
          <w:szCs w:val="24"/>
        </w:rPr>
        <w:t xml:space="preserve"> at 144.</w:t>
      </w:r>
    </w:p>
  </w:endnote>
  <w:endnote w:id="143">
    <w:p w14:paraId="1E5403DB"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Gelman v. Uruguay, Merits and Reparations, Inter-Am Ct. H.R., Series C No. 221 (Feb. 24, 2011).</w:t>
      </w:r>
    </w:p>
  </w:endnote>
  <w:endnote w:id="144">
    <w:p w14:paraId="18249E23"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szCs w:val="24"/>
        </w:rPr>
        <w:t>兒童權利委員會，第</w:t>
      </w:r>
      <w:r w:rsidRPr="003B6411">
        <w:rPr>
          <w:szCs w:val="24"/>
        </w:rPr>
        <w:t>12</w:t>
      </w:r>
      <w:r w:rsidRPr="003B6411">
        <w:rPr>
          <w:szCs w:val="24"/>
        </w:rPr>
        <w:t>號一般性意見：兒童表達意見的權利，第</w:t>
      </w:r>
      <w:r w:rsidRPr="003B6411">
        <w:rPr>
          <w:szCs w:val="24"/>
        </w:rPr>
        <w:t>2</w:t>
      </w:r>
      <w:r w:rsidRPr="003B6411">
        <w:rPr>
          <w:szCs w:val="24"/>
        </w:rPr>
        <w:t>段。</w:t>
      </w:r>
      <w:r w:rsidRPr="003B6411">
        <w:rPr>
          <w:szCs w:val="24"/>
        </w:rPr>
        <w:t>Committee on the Rights of the Child, General Comment No. 12: The Right of the Child to Be Heard, ¶ 2, U.N. Doc. CRC/C/GC/12 (July 20, 2009) [hereinafter General Comment No. 12].</w:t>
      </w:r>
    </w:p>
  </w:endnote>
  <w:endnote w:id="145">
    <w:p w14:paraId="4FD35352"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i/>
          <w:szCs w:val="24"/>
        </w:rPr>
        <w:t>Id.</w:t>
      </w:r>
      <w:r w:rsidRPr="003B6411">
        <w:rPr>
          <w:szCs w:val="24"/>
        </w:rPr>
        <w:t xml:space="preserve"> ¶ 13.</w:t>
      </w:r>
    </w:p>
  </w:endnote>
  <w:endnote w:id="146">
    <w:p w14:paraId="793049E0"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i/>
          <w:szCs w:val="24"/>
        </w:rPr>
        <w:t>Id.</w:t>
      </w:r>
      <w:r w:rsidRPr="003B6411">
        <w:rPr>
          <w:szCs w:val="24"/>
        </w:rPr>
        <w:t xml:space="preserve"> ¶ 19.</w:t>
      </w:r>
    </w:p>
  </w:endnote>
  <w:endnote w:id="147">
    <w:p w14:paraId="4C8F1574"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i/>
          <w:szCs w:val="24"/>
        </w:rPr>
        <w:t>Id.</w:t>
      </w:r>
      <w:r w:rsidRPr="003B6411">
        <w:rPr>
          <w:szCs w:val="24"/>
        </w:rPr>
        <w:t xml:space="preserve"> ¶ 20.</w:t>
      </w:r>
    </w:p>
  </w:endnote>
  <w:endnote w:id="148">
    <w:p w14:paraId="2836DF61"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i/>
          <w:szCs w:val="24"/>
        </w:rPr>
        <w:t>Id.</w:t>
      </w:r>
      <w:r w:rsidRPr="003B6411">
        <w:rPr>
          <w:szCs w:val="24"/>
        </w:rPr>
        <w:t xml:space="preserve"> ¶ 21.</w:t>
      </w:r>
    </w:p>
  </w:endnote>
  <w:endnote w:id="149">
    <w:p w14:paraId="5C2456B7"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i/>
          <w:szCs w:val="24"/>
        </w:rPr>
        <w:t>Id.</w:t>
      </w:r>
      <w:r w:rsidRPr="003B6411">
        <w:rPr>
          <w:szCs w:val="24"/>
        </w:rPr>
        <w:t xml:space="preserve"> ¶¶ 26-27.</w:t>
      </w:r>
    </w:p>
  </w:endnote>
  <w:endnote w:id="150">
    <w:p w14:paraId="791F9972"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Committee on the Rights of the Child, Concluding Observations: Cambodia, ¶ 34, U.N. Doc. CRC/C/15/Add.128 (June 28, 2000).</w:t>
      </w:r>
    </w:p>
  </w:endnote>
  <w:endnote w:id="151">
    <w:p w14:paraId="4C4EAAFE"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General Comment No. 12, </w:t>
      </w:r>
      <w:r w:rsidRPr="003B6411">
        <w:rPr>
          <w:i/>
          <w:szCs w:val="24"/>
        </w:rPr>
        <w:t xml:space="preserve">supra </w:t>
      </w:r>
      <w:r w:rsidRPr="003B6411">
        <w:rPr>
          <w:szCs w:val="24"/>
        </w:rPr>
        <w:t xml:space="preserve">note </w:t>
      </w:r>
      <w:r w:rsidRPr="003B6411">
        <w:fldChar w:fldCharType="begin"/>
      </w:r>
      <w:r w:rsidRPr="003B6411">
        <w:instrText xml:space="preserve"> NOTEREF _Ref422440553 \h  \* MERGEFORMAT </w:instrText>
      </w:r>
      <w:r w:rsidRPr="003B6411">
        <w:fldChar w:fldCharType="separate"/>
      </w:r>
      <w:r w:rsidR="00DA394E">
        <w:t>1</w:t>
      </w:r>
      <w:r w:rsidRPr="003B6411">
        <w:fldChar w:fldCharType="end"/>
      </w:r>
      <w:r w:rsidRPr="003B6411">
        <w:rPr>
          <w:szCs w:val="24"/>
        </w:rPr>
        <w:t>, ¶¶ 22-25.</w:t>
      </w:r>
    </w:p>
  </w:endnote>
  <w:endnote w:id="152">
    <w:p w14:paraId="0102A06E"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i/>
          <w:szCs w:val="24"/>
        </w:rPr>
        <w:t>Id.</w:t>
      </w:r>
      <w:r w:rsidRPr="003B6411">
        <w:rPr>
          <w:szCs w:val="24"/>
        </w:rPr>
        <w:t xml:space="preserve"> ¶¶ 28-30.</w:t>
      </w:r>
    </w:p>
  </w:endnote>
  <w:endnote w:id="153">
    <w:p w14:paraId="5CD13A61"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ARTICLE 19, </w:t>
      </w:r>
      <w:r w:rsidRPr="003B6411">
        <w:rPr>
          <w:i/>
          <w:szCs w:val="24"/>
        </w:rPr>
        <w:t>Kid’s Talk: Freedom of Expression and the UN Convention on the Rights of the Child</w:t>
      </w:r>
      <w:r w:rsidRPr="003B6411">
        <w:rPr>
          <w:szCs w:val="24"/>
        </w:rPr>
        <w:t>, at 13 (1999), http://www.article19.org/data/files/pdfs/publications/</w:t>
      </w:r>
      <w:r w:rsidRPr="003B6411">
        <w:rPr>
          <w:szCs w:val="24"/>
        </w:rPr>
        <w:br/>
        <w:t>children-kid-s-talk.pdf (last visited July 20, 2015).</w:t>
      </w:r>
    </w:p>
  </w:endnote>
  <w:endnote w:id="154">
    <w:p w14:paraId="61B991B3"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General Comment No. 12, </w:t>
      </w:r>
      <w:r w:rsidRPr="003B6411">
        <w:rPr>
          <w:i/>
          <w:szCs w:val="24"/>
        </w:rPr>
        <w:t xml:space="preserve">supra </w:t>
      </w:r>
      <w:r w:rsidRPr="003B6411">
        <w:rPr>
          <w:szCs w:val="24"/>
        </w:rPr>
        <w:t xml:space="preserve">note </w:t>
      </w:r>
      <w:r w:rsidRPr="003B6411">
        <w:fldChar w:fldCharType="begin"/>
      </w:r>
      <w:r w:rsidRPr="003B6411">
        <w:instrText xml:space="preserve"> NOTEREF _Ref422440553 \h  \* MERGEFORMAT </w:instrText>
      </w:r>
      <w:r w:rsidRPr="003B6411">
        <w:fldChar w:fldCharType="separate"/>
      </w:r>
      <w:r w:rsidR="00DA394E">
        <w:t>1</w:t>
      </w:r>
      <w:r w:rsidRPr="003B6411">
        <w:fldChar w:fldCharType="end"/>
      </w:r>
      <w:r w:rsidRPr="003B6411">
        <w:rPr>
          <w:szCs w:val="24"/>
        </w:rPr>
        <w:t>, ¶¶ 32-33.</w:t>
      </w:r>
    </w:p>
  </w:endnote>
  <w:endnote w:id="155">
    <w:p w14:paraId="27176C00"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i/>
          <w:szCs w:val="24"/>
        </w:rPr>
        <w:t>Id.</w:t>
      </w:r>
      <w:r w:rsidRPr="003B6411">
        <w:rPr>
          <w:szCs w:val="24"/>
        </w:rPr>
        <w:t xml:space="preserve"> ¶ 34.</w:t>
      </w:r>
    </w:p>
  </w:endnote>
  <w:endnote w:id="156">
    <w:p w14:paraId="48970C06"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i/>
          <w:szCs w:val="24"/>
        </w:rPr>
        <w:t>Id.</w:t>
      </w:r>
      <w:r w:rsidRPr="003B6411">
        <w:rPr>
          <w:szCs w:val="24"/>
        </w:rPr>
        <w:t xml:space="preserve"> ¶¶ 38-39.</w:t>
      </w:r>
    </w:p>
  </w:endnote>
  <w:endnote w:id="157">
    <w:p w14:paraId="65B51BB8"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i/>
          <w:szCs w:val="24"/>
        </w:rPr>
        <w:t>Id.</w:t>
      </w:r>
      <w:r w:rsidRPr="003B6411">
        <w:rPr>
          <w:szCs w:val="24"/>
        </w:rPr>
        <w:t xml:space="preserve"> ¶¶ 36-37.</w:t>
      </w:r>
    </w:p>
  </w:endnote>
  <w:endnote w:id="158">
    <w:p w14:paraId="6FF53E01"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Mabon v. Mabon [2005] EWCA Civ 634.</w:t>
      </w:r>
    </w:p>
  </w:endnote>
  <w:endnote w:id="159">
    <w:p w14:paraId="2E58963D"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Re C (Abduction: Separation Representation of Children) [2008] 2 FLR 6.</w:t>
      </w:r>
    </w:p>
  </w:endnote>
  <w:endnote w:id="160">
    <w:p w14:paraId="17886EF7"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Re P-S (Children) [2013] EWCA Civ 223.</w:t>
      </w:r>
    </w:p>
  </w:endnote>
  <w:endnote w:id="161">
    <w:p w14:paraId="6815B42C"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A &amp; B v Children’s Court of Victoria &amp; Ors [2012] VSC 589 (Dec. 5, 2012).</w:t>
      </w:r>
    </w:p>
  </w:endnote>
  <w:endnote w:id="162">
    <w:p w14:paraId="23ADEFE7"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i/>
          <w:szCs w:val="24"/>
        </w:rPr>
        <w:t>See, e.g.</w:t>
      </w:r>
      <w:r w:rsidRPr="003B6411">
        <w:rPr>
          <w:szCs w:val="24"/>
        </w:rPr>
        <w:t>, Re Beth [2013] VSC 189 (Apr. 23, 2013).</w:t>
      </w:r>
    </w:p>
  </w:endnote>
  <w:endnote w:id="163">
    <w:p w14:paraId="62D92451"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Universal Declaration of Human Rights art. 19, G.A. Res. 217 (III) A, U.N. Doc. A/RES/217(III) (Dec. 10, 1948).</w:t>
      </w:r>
    </w:p>
  </w:endnote>
  <w:endnote w:id="164">
    <w:p w14:paraId="3F53287E"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International Covenant on Civil and Political Rights art. 19, Dec. 16, 1966, 999 U.N.T.S. 171.</w:t>
      </w:r>
    </w:p>
  </w:endnote>
  <w:endnote w:id="165">
    <w:p w14:paraId="74454748"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Frank La Rue, Report of the Special Rapporteur on the Promotion and Protection of the Right to Freedom of Opinion and Expression, ¶ 14, U.N. Doc. A/69/335 (Aug. 21, 2014) [hereinafter Report of the Special Rapporteur].</w:t>
      </w:r>
    </w:p>
  </w:endnote>
  <w:endnote w:id="166">
    <w:p w14:paraId="20CC895F"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ARTICLE 19, </w:t>
      </w:r>
      <w:r w:rsidRPr="003B6411">
        <w:rPr>
          <w:i/>
          <w:szCs w:val="24"/>
        </w:rPr>
        <w:t>Kid’s Talk: Freedom of Expression and the UN Convention on the Rights of the Child</w:t>
      </w:r>
      <w:r w:rsidRPr="003B6411">
        <w:rPr>
          <w:szCs w:val="24"/>
        </w:rPr>
        <w:t>, at 16 (1999), http://www.article19.org/data/files/pdfs/publications/</w:t>
      </w:r>
      <w:r w:rsidRPr="003B6411">
        <w:rPr>
          <w:szCs w:val="24"/>
        </w:rPr>
        <w:br/>
        <w:t>children-kid-s-talk.pdf (last visited June 15, 2015).</w:t>
      </w:r>
    </w:p>
  </w:endnote>
  <w:endnote w:id="167">
    <w:p w14:paraId="61BED0DC"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Human Rights Committee, General Comment No. 34: Article 19: Freedoms of Opinion and Expression, ¶¶ 18-19, U.N. Doc. CCPR/C/GC/34 (Sept. 12, 2011) [hereinafter Human Rights Committee General Comment No. 34].</w:t>
      </w:r>
    </w:p>
  </w:endnote>
  <w:endnote w:id="168">
    <w:p w14:paraId="705F6F78"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i/>
          <w:szCs w:val="24"/>
        </w:rPr>
        <w:t>See, e.g.</w:t>
      </w:r>
      <w:r w:rsidRPr="003B6411">
        <w:rPr>
          <w:szCs w:val="24"/>
        </w:rPr>
        <w:t>, Committee on the Rights of the Child, Concluding Observations: Armenia, ¶ 38, U.N. Doc. CRC/C/15/Add.225 (Feb. 26, 2004); Committee on the Rights of the Child, Concluding Observations: Slovenia, ¶ 35, U.N. Doc. CRC/C/15/Add.230 (Feb. 26, 2004); Committee on the Rights of the Child, Concluding Observations: Tajikistan, ¶ 36, U.N. Doc. CRC/C/TJK/CO/2 (Feb. 5, 2010).</w:t>
      </w:r>
    </w:p>
  </w:endnote>
  <w:endnote w:id="169">
    <w:p w14:paraId="18444FD9"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i/>
          <w:szCs w:val="24"/>
        </w:rPr>
        <w:t>See, e.g.</w:t>
      </w:r>
      <w:r w:rsidRPr="003B6411">
        <w:rPr>
          <w:szCs w:val="24"/>
        </w:rPr>
        <w:t>, Committee on the Rights of the Child, Concluding Observations: Marshall Islands, ¶ 35, U.N. Doc. CRC/C/15/Add.169 (Oct. 26, 2000); Committee on the Rights of the Child, Concluding Observations: Mozambique, ¶ 44, U.N. Doc. CRC/C/MOZ/CO/2 (Nov. 4, 2009).</w:t>
      </w:r>
    </w:p>
  </w:endnote>
  <w:endnote w:id="170">
    <w:p w14:paraId="0FB7F80D"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Report of the Special Rapporteur, </w:t>
      </w:r>
      <w:r w:rsidRPr="003B6411">
        <w:rPr>
          <w:i/>
          <w:szCs w:val="24"/>
        </w:rPr>
        <w:t xml:space="preserve">supra </w:t>
      </w:r>
      <w:r w:rsidRPr="003B6411">
        <w:rPr>
          <w:szCs w:val="24"/>
        </w:rPr>
        <w:t xml:space="preserve">note </w:t>
      </w:r>
      <w:r w:rsidRPr="003B6411">
        <w:fldChar w:fldCharType="begin"/>
      </w:r>
      <w:r w:rsidRPr="003B6411">
        <w:instrText xml:space="preserve"> NOTEREF _Ref422476532 \h  \* MERGEFORMAT </w:instrText>
      </w:r>
      <w:r w:rsidRPr="003B6411">
        <w:fldChar w:fldCharType="separate"/>
      </w:r>
      <w:r w:rsidR="00DA394E">
        <w:t>3</w:t>
      </w:r>
      <w:r w:rsidRPr="003B6411">
        <w:fldChar w:fldCharType="end"/>
      </w:r>
      <w:r w:rsidRPr="003B6411">
        <w:rPr>
          <w:szCs w:val="24"/>
        </w:rPr>
        <w:t>, ¶¶ 19-20.</w:t>
      </w:r>
    </w:p>
  </w:endnote>
  <w:endnote w:id="171">
    <w:p w14:paraId="1FB3B163"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smallCaps/>
          <w:szCs w:val="24"/>
        </w:rPr>
        <w:t>Herdís Thorgeirsdóttir, A Commentary on the United Nations Convention on the Rights of the Child: Article 13. The Right to Freedom of Expression</w:t>
      </w:r>
      <w:r w:rsidRPr="003B6411">
        <w:rPr>
          <w:szCs w:val="24"/>
        </w:rPr>
        <w:t xml:space="preserve"> 38 (André Alen et al. eds., 2006).</w:t>
      </w:r>
    </w:p>
  </w:endnote>
  <w:endnote w:id="172">
    <w:p w14:paraId="4BA8F250"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i/>
          <w:szCs w:val="24"/>
        </w:rPr>
        <w:t>See, e.g.</w:t>
      </w:r>
      <w:r w:rsidRPr="003B6411">
        <w:rPr>
          <w:szCs w:val="24"/>
        </w:rPr>
        <w:t>, Committee on the Rights of the Child, Concluding Observations: Cambodia, ¶ 36, U.N. Doc. CRC/C/15/Add.128 (June 28, 2000); Committee on the Rights of the Child, Concluding Observations: France, ¶ 28, U.N. Doc. CRC/C/15/Add.240 (June 30, 2004); Committee on the Rights of the Child, Concluding Observations: Greece, ¶ 39, U.N. Doc. CRC/C/GRC/CO/2-3 (Aug. 13, 2014).</w:t>
      </w:r>
    </w:p>
  </w:endnote>
  <w:endnote w:id="173">
    <w:p w14:paraId="2B64CE9D"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smallCaps/>
          <w:szCs w:val="24"/>
        </w:rPr>
        <w:t>Thorgeirsdóttir</w:t>
      </w:r>
      <w:r w:rsidRPr="003B6411">
        <w:rPr>
          <w:szCs w:val="24"/>
        </w:rPr>
        <w:t>,</w:t>
      </w:r>
      <w:r w:rsidRPr="003B6411">
        <w:rPr>
          <w:i/>
          <w:szCs w:val="24"/>
        </w:rPr>
        <w:t xml:space="preserve"> supra </w:t>
      </w:r>
      <w:r w:rsidRPr="003B6411">
        <w:rPr>
          <w:szCs w:val="24"/>
        </w:rPr>
        <w:t xml:space="preserve">note </w:t>
      </w:r>
      <w:r w:rsidRPr="003B6411">
        <w:fldChar w:fldCharType="begin"/>
      </w:r>
      <w:r w:rsidRPr="003B6411">
        <w:instrText xml:space="preserve"> NOTEREF _Ref422479905 \h  \* MERGEFORMAT </w:instrText>
      </w:r>
      <w:r w:rsidRPr="003B6411">
        <w:fldChar w:fldCharType="separate"/>
      </w:r>
      <w:r w:rsidR="00DA394E">
        <w:t>9</w:t>
      </w:r>
      <w:r w:rsidRPr="003B6411">
        <w:fldChar w:fldCharType="end"/>
      </w:r>
      <w:r w:rsidRPr="003B6411">
        <w:rPr>
          <w:szCs w:val="24"/>
        </w:rPr>
        <w:t>, at 46.</w:t>
      </w:r>
    </w:p>
  </w:endnote>
  <w:endnote w:id="174">
    <w:p w14:paraId="555737EC"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Committee on the Rights of the Child, Concluding Observations: Syria, 47, U.N. Doc. CRC/C/SYR/CO/3-4 (Feb. 9, 2012).</w:t>
      </w:r>
    </w:p>
  </w:endnote>
  <w:endnote w:id="175">
    <w:p w14:paraId="0E093F3D"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Committee on the Rights of the Child, Concluding Observations: Egypt, ¶ 47, U.N. Doc. CRC/C/EGY/CO/3-4 (July 15, 2011).</w:t>
      </w:r>
    </w:p>
  </w:endnote>
  <w:endnote w:id="176">
    <w:p w14:paraId="13CBCD39"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Report of the Special Rapporteur, </w:t>
      </w:r>
      <w:r w:rsidRPr="003B6411">
        <w:rPr>
          <w:i/>
          <w:szCs w:val="24"/>
        </w:rPr>
        <w:t xml:space="preserve">supra </w:t>
      </w:r>
      <w:r w:rsidRPr="003B6411">
        <w:rPr>
          <w:szCs w:val="24"/>
        </w:rPr>
        <w:t xml:space="preserve">note </w:t>
      </w:r>
      <w:r w:rsidRPr="003B6411">
        <w:fldChar w:fldCharType="begin"/>
      </w:r>
      <w:r w:rsidRPr="003B6411">
        <w:instrText xml:space="preserve"> NOTEREF _Ref422476532 \h  \* MERGEFORMAT </w:instrText>
      </w:r>
      <w:r w:rsidRPr="003B6411">
        <w:fldChar w:fldCharType="separate"/>
      </w:r>
      <w:r w:rsidR="00DA394E">
        <w:t>3</w:t>
      </w:r>
      <w:r w:rsidRPr="003B6411">
        <w:fldChar w:fldCharType="end"/>
      </w:r>
      <w:r w:rsidRPr="003B6411">
        <w:rPr>
          <w:szCs w:val="24"/>
        </w:rPr>
        <w:t>, ¶¶ 22-23.</w:t>
      </w:r>
    </w:p>
  </w:endnote>
  <w:endnote w:id="177">
    <w:p w14:paraId="0C8CB0D1"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Human Rights Committee General Comment No. 34, </w:t>
      </w:r>
      <w:r w:rsidRPr="003B6411">
        <w:rPr>
          <w:i/>
          <w:szCs w:val="24"/>
        </w:rPr>
        <w:t xml:space="preserve">supra </w:t>
      </w:r>
      <w:r w:rsidRPr="003B6411">
        <w:rPr>
          <w:szCs w:val="24"/>
        </w:rPr>
        <w:t xml:space="preserve">note </w:t>
      </w:r>
      <w:r w:rsidRPr="003B6411">
        <w:fldChar w:fldCharType="begin"/>
      </w:r>
      <w:r w:rsidRPr="003B6411">
        <w:instrText xml:space="preserve"> NOTEREF _Ref422488020 \h  \* MERGEFORMAT </w:instrText>
      </w:r>
      <w:r w:rsidRPr="003B6411">
        <w:fldChar w:fldCharType="separate"/>
      </w:r>
      <w:r w:rsidR="00DA394E">
        <w:t>5</w:t>
      </w:r>
      <w:r w:rsidRPr="003B6411">
        <w:fldChar w:fldCharType="end"/>
      </w:r>
      <w:r w:rsidRPr="003B6411">
        <w:rPr>
          <w:szCs w:val="24"/>
        </w:rPr>
        <w:t>, ¶ 25.</w:t>
      </w:r>
    </w:p>
  </w:endnote>
  <w:endnote w:id="178">
    <w:p w14:paraId="0C6802BE"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Committee on the Rights of the Child, Concluding Observations: Iran, ¶¶ 33-34, U.N. Doc. CRC/C/15/Add.123 (June 28, 2000).</w:t>
      </w:r>
    </w:p>
  </w:endnote>
  <w:endnote w:id="179">
    <w:p w14:paraId="0D3DEB13"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Human Rights Committee General Comment No. 34, </w:t>
      </w:r>
      <w:r w:rsidRPr="003B6411">
        <w:rPr>
          <w:i/>
          <w:szCs w:val="24"/>
        </w:rPr>
        <w:t xml:space="preserve">supra </w:t>
      </w:r>
      <w:r w:rsidRPr="003B6411">
        <w:rPr>
          <w:szCs w:val="24"/>
        </w:rPr>
        <w:t xml:space="preserve">note </w:t>
      </w:r>
      <w:r w:rsidRPr="003B6411">
        <w:fldChar w:fldCharType="begin"/>
      </w:r>
      <w:r w:rsidRPr="003B6411">
        <w:instrText xml:space="preserve"> NOTEREF _Ref422488020 \h  \* MERGEFORMAT </w:instrText>
      </w:r>
      <w:r w:rsidRPr="003B6411">
        <w:fldChar w:fldCharType="separate"/>
      </w:r>
      <w:r w:rsidR="00DA394E">
        <w:t>5</w:t>
      </w:r>
      <w:r w:rsidRPr="003B6411">
        <w:fldChar w:fldCharType="end"/>
      </w:r>
      <w:r w:rsidRPr="003B6411">
        <w:rPr>
          <w:szCs w:val="24"/>
        </w:rPr>
        <w:t>, ¶ 28.</w:t>
      </w:r>
    </w:p>
  </w:endnote>
  <w:endnote w:id="180">
    <w:p w14:paraId="1B6FE649"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Michael O’Flaherty,</w:t>
      </w:r>
      <w:r w:rsidRPr="003B6411">
        <w:rPr>
          <w:i/>
          <w:szCs w:val="24"/>
        </w:rPr>
        <w:t xml:space="preserve"> Freedom of Expression: Article 19 of the International Covenant on Civil and Political Rights and the Human Rights Committee's General Comment No 34</w:t>
      </w:r>
      <w:r w:rsidRPr="003B6411">
        <w:rPr>
          <w:szCs w:val="24"/>
        </w:rPr>
        <w:t xml:space="preserve">, 12 </w:t>
      </w:r>
      <w:r w:rsidRPr="003B6411">
        <w:rPr>
          <w:smallCaps/>
          <w:szCs w:val="24"/>
        </w:rPr>
        <w:t>Hum. Rts. L. Rev.</w:t>
      </w:r>
      <w:r w:rsidRPr="003B6411">
        <w:rPr>
          <w:szCs w:val="24"/>
        </w:rPr>
        <w:t xml:space="preserve"> 628, 652.</w:t>
      </w:r>
    </w:p>
  </w:endnote>
  <w:endnote w:id="181">
    <w:p w14:paraId="2EE242B5"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Human Rights Committee General Comment No. 34, </w:t>
      </w:r>
      <w:r w:rsidRPr="003B6411">
        <w:rPr>
          <w:i/>
          <w:szCs w:val="24"/>
        </w:rPr>
        <w:t xml:space="preserve">supra </w:t>
      </w:r>
      <w:r w:rsidRPr="003B6411">
        <w:rPr>
          <w:szCs w:val="24"/>
        </w:rPr>
        <w:t xml:space="preserve">note </w:t>
      </w:r>
      <w:r w:rsidRPr="003B6411">
        <w:fldChar w:fldCharType="begin"/>
      </w:r>
      <w:r w:rsidRPr="003B6411">
        <w:instrText xml:space="preserve"> NOTEREF _Ref422488020 \h  \* MERGEFORMAT </w:instrText>
      </w:r>
      <w:r w:rsidRPr="003B6411">
        <w:fldChar w:fldCharType="separate"/>
      </w:r>
      <w:r w:rsidR="00DA394E">
        <w:t>5</w:t>
      </w:r>
      <w:r w:rsidRPr="003B6411">
        <w:fldChar w:fldCharType="end"/>
      </w:r>
      <w:r w:rsidRPr="003B6411">
        <w:rPr>
          <w:szCs w:val="24"/>
        </w:rPr>
        <w:t>, ¶ 34.</w:t>
      </w:r>
    </w:p>
  </w:endnote>
  <w:endnote w:id="182">
    <w:p w14:paraId="3925D878"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Tinker v. Des Moines Independent Community School Dist., 393 U.S. 503 (1969).</w:t>
      </w:r>
    </w:p>
  </w:endnote>
  <w:endnote w:id="183">
    <w:p w14:paraId="7BEE4EB4"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Bijoe Emmanuel v. State of Kerala, AIR 1987 SC 748 (India).</w:t>
      </w:r>
    </w:p>
  </w:endnote>
  <w:endnote w:id="184">
    <w:p w14:paraId="004E4ACD"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Committee on the Rights of the Child, General Comment No. 12: The Right of the Child to Be Heard, ¶ 81, U.N. Doc. CRC/C/GC/12 (July 20, 2009).</w:t>
      </w:r>
    </w:p>
  </w:endnote>
  <w:endnote w:id="185">
    <w:p w14:paraId="5698543E"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Committee on the Rights of the Child, Concluding Observations: Uzbekistan, ¶ 35, U.N. Doc. CRC/C/15/Add.167 (Nov. 7, 2001).</w:t>
      </w:r>
    </w:p>
  </w:endnote>
  <w:endnote w:id="186">
    <w:p w14:paraId="2CE4AA17"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smallCaps/>
          <w:szCs w:val="24"/>
        </w:rPr>
        <w:t>Eva Brens, A Commentary on the United Nations Convention on the Rights of the Child: Article 14. The Right to Freedom of Thought, Conscience and Religion</w:t>
      </w:r>
      <w:r w:rsidRPr="003B6411">
        <w:rPr>
          <w:szCs w:val="24"/>
        </w:rPr>
        <w:t xml:space="preserve"> 10 (André Alen et al. eds., 2006)</w:t>
      </w:r>
      <w:r w:rsidRPr="003B6411">
        <w:rPr>
          <w:smallCaps/>
          <w:szCs w:val="24"/>
        </w:rPr>
        <w:t>.</w:t>
      </w:r>
    </w:p>
  </w:endnote>
  <w:endnote w:id="187">
    <w:p w14:paraId="5B5DF4DE"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i/>
          <w:szCs w:val="24"/>
        </w:rPr>
        <w:t>Id.</w:t>
      </w:r>
      <w:r w:rsidRPr="003B6411">
        <w:rPr>
          <w:szCs w:val="24"/>
        </w:rPr>
        <w:t xml:space="preserve"> at 12.</w:t>
      </w:r>
    </w:p>
  </w:endnote>
  <w:endnote w:id="188">
    <w:p w14:paraId="3E87D18C"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smallCaps/>
          <w:szCs w:val="24"/>
        </w:rPr>
        <w:t xml:space="preserve">UNICEF, Implementation Handbook for the Convention on the Rights of the Child </w:t>
      </w:r>
      <w:r w:rsidRPr="003B6411">
        <w:rPr>
          <w:szCs w:val="24"/>
        </w:rPr>
        <w:t>186 (3d ed. 2007).</w:t>
      </w:r>
    </w:p>
  </w:endnote>
  <w:endnote w:id="189">
    <w:p w14:paraId="7B7ECD16"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szCs w:val="24"/>
        </w:rPr>
        <w:t>人權事務委員會，第</w:t>
      </w:r>
      <w:r w:rsidRPr="003B6411">
        <w:rPr>
          <w:szCs w:val="24"/>
        </w:rPr>
        <w:t>22</w:t>
      </w:r>
      <w:r w:rsidRPr="003B6411">
        <w:rPr>
          <w:szCs w:val="24"/>
        </w:rPr>
        <w:t>號一般性意見：第</w:t>
      </w:r>
      <w:r w:rsidRPr="003B6411">
        <w:rPr>
          <w:szCs w:val="24"/>
        </w:rPr>
        <w:t>18</w:t>
      </w:r>
      <w:r w:rsidRPr="003B6411">
        <w:rPr>
          <w:szCs w:val="24"/>
        </w:rPr>
        <w:t>條，第</w:t>
      </w:r>
      <w:r w:rsidRPr="003B6411">
        <w:rPr>
          <w:szCs w:val="24"/>
        </w:rPr>
        <w:t>11</w:t>
      </w:r>
      <w:r w:rsidRPr="003B6411">
        <w:rPr>
          <w:szCs w:val="24"/>
        </w:rPr>
        <w:t>段。</w:t>
      </w:r>
      <w:r w:rsidRPr="003B6411">
        <w:rPr>
          <w:szCs w:val="24"/>
        </w:rPr>
        <w:t>Human Rights Committee, General Comment No. 22: Article 18, ¶ 11, U.N. Doc. CCPR/C/21/Rev.1/Add.4 (Sept. 27, 1993).</w:t>
      </w:r>
    </w:p>
  </w:endnote>
  <w:endnote w:id="190">
    <w:p w14:paraId="4A8EAE0B"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smallCaps/>
          <w:szCs w:val="24"/>
        </w:rPr>
        <w:t xml:space="preserve">Brens, </w:t>
      </w:r>
      <w:r w:rsidRPr="003B6411">
        <w:rPr>
          <w:i/>
          <w:szCs w:val="24"/>
        </w:rPr>
        <w:t>supra</w:t>
      </w:r>
      <w:r w:rsidRPr="003B6411">
        <w:rPr>
          <w:szCs w:val="24"/>
        </w:rPr>
        <w:t xml:space="preserve"> note 2, at 20.</w:t>
      </w:r>
    </w:p>
  </w:endnote>
  <w:endnote w:id="191">
    <w:p w14:paraId="5EB7A8F2"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i/>
          <w:szCs w:val="24"/>
        </w:rPr>
        <w:t xml:space="preserve">See </w:t>
      </w:r>
      <w:r w:rsidRPr="003B6411">
        <w:rPr>
          <w:szCs w:val="24"/>
        </w:rPr>
        <w:t xml:space="preserve">Human Rights Committee, </w:t>
      </w:r>
      <w:r w:rsidRPr="003B6411">
        <w:rPr>
          <w:i/>
          <w:szCs w:val="24"/>
        </w:rPr>
        <w:t xml:space="preserve">supra </w:t>
      </w:r>
      <w:r w:rsidRPr="003B6411">
        <w:rPr>
          <w:szCs w:val="24"/>
        </w:rPr>
        <w:t xml:space="preserve">note </w:t>
      </w:r>
      <w:r w:rsidRPr="003B6411">
        <w:fldChar w:fldCharType="begin"/>
      </w:r>
      <w:r w:rsidRPr="003B6411">
        <w:instrText xml:space="preserve"> NOTEREF _Ref425332807 \h  \* MERGEFORMAT </w:instrText>
      </w:r>
      <w:r w:rsidRPr="003B6411">
        <w:fldChar w:fldCharType="separate"/>
      </w:r>
      <w:r w:rsidR="00DA394E">
        <w:t>5</w:t>
      </w:r>
      <w:r w:rsidRPr="003B6411">
        <w:fldChar w:fldCharType="end"/>
      </w:r>
      <w:r w:rsidRPr="003B6411">
        <w:rPr>
          <w:szCs w:val="24"/>
        </w:rPr>
        <w:t>, ¶ 2.</w:t>
      </w:r>
    </w:p>
  </w:endnote>
  <w:endnote w:id="192">
    <w:p w14:paraId="46D93AA8"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smallCaps/>
          <w:szCs w:val="24"/>
        </w:rPr>
        <w:t xml:space="preserve">Brens, </w:t>
      </w:r>
      <w:r w:rsidRPr="003B6411">
        <w:rPr>
          <w:i/>
          <w:szCs w:val="24"/>
        </w:rPr>
        <w:t>supra</w:t>
      </w:r>
      <w:r w:rsidRPr="003B6411">
        <w:rPr>
          <w:szCs w:val="24"/>
        </w:rPr>
        <w:t xml:space="preserve"> note 2, at 23.</w:t>
      </w:r>
    </w:p>
  </w:endnote>
  <w:endnote w:id="193">
    <w:p w14:paraId="16AC2AB5"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smallCaps/>
          <w:szCs w:val="24"/>
        </w:rPr>
        <w:t xml:space="preserve">Sylvie Langlaude, The Right of the Child to Religious Freedom in International Law </w:t>
      </w:r>
      <w:r w:rsidRPr="003B6411">
        <w:rPr>
          <w:szCs w:val="24"/>
        </w:rPr>
        <w:t>108 (2007).</w:t>
      </w:r>
    </w:p>
  </w:endnote>
  <w:endnote w:id="194">
    <w:p w14:paraId="65EF15E7"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szCs w:val="24"/>
        </w:rPr>
        <w:t>聯合國宗教或信仰自由問題特別報告員</w:t>
      </w:r>
      <w:r w:rsidRPr="003B6411">
        <w:rPr>
          <w:szCs w:val="24"/>
        </w:rPr>
        <w:t xml:space="preserve">A/64/159 </w:t>
      </w:r>
      <w:r w:rsidRPr="003B6411">
        <w:rPr>
          <w:szCs w:val="24"/>
        </w:rPr>
        <w:t>號報告，第</w:t>
      </w:r>
      <w:r w:rsidRPr="003B6411">
        <w:rPr>
          <w:szCs w:val="24"/>
        </w:rPr>
        <w:t>27-28</w:t>
      </w:r>
      <w:r w:rsidRPr="003B6411">
        <w:rPr>
          <w:szCs w:val="24"/>
        </w:rPr>
        <w:t>段。</w:t>
      </w:r>
      <w:r w:rsidRPr="003B6411">
        <w:rPr>
          <w:szCs w:val="24"/>
        </w:rPr>
        <w:t>Asma Jahangir, Report of the Special Rapporteur on Freedom of Religion or Belief, ¶¶ 27-28, U.N. Doc. A/64/159 (July 17, 2009).</w:t>
      </w:r>
    </w:p>
  </w:endnote>
  <w:endnote w:id="195">
    <w:p w14:paraId="202828F2"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smallCaps/>
          <w:szCs w:val="24"/>
        </w:rPr>
        <w:t xml:space="preserve">Brens, </w:t>
      </w:r>
      <w:r w:rsidRPr="003B6411">
        <w:rPr>
          <w:i/>
          <w:szCs w:val="24"/>
        </w:rPr>
        <w:t>supra</w:t>
      </w:r>
      <w:r w:rsidRPr="003B6411">
        <w:rPr>
          <w:szCs w:val="24"/>
        </w:rPr>
        <w:t xml:space="preserve"> note 2, at 29-31.</w:t>
      </w:r>
    </w:p>
  </w:endnote>
  <w:endnote w:id="196">
    <w:p w14:paraId="3FB78037"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Human Rights Committee, </w:t>
      </w:r>
      <w:r w:rsidRPr="003B6411">
        <w:rPr>
          <w:i/>
          <w:szCs w:val="24"/>
        </w:rPr>
        <w:t xml:space="preserve">supra </w:t>
      </w:r>
      <w:r w:rsidRPr="003B6411">
        <w:rPr>
          <w:szCs w:val="24"/>
        </w:rPr>
        <w:t xml:space="preserve">note </w:t>
      </w:r>
      <w:r w:rsidRPr="003B6411">
        <w:fldChar w:fldCharType="begin"/>
      </w:r>
      <w:r w:rsidRPr="003B6411">
        <w:instrText xml:space="preserve"> NOTEREF _Ref425332807 \h  \* MERGEFORMAT </w:instrText>
      </w:r>
      <w:r w:rsidRPr="003B6411">
        <w:fldChar w:fldCharType="separate"/>
      </w:r>
      <w:r w:rsidR="00DA394E">
        <w:t>5</w:t>
      </w:r>
      <w:r w:rsidRPr="003B6411">
        <w:fldChar w:fldCharType="end"/>
      </w:r>
      <w:r w:rsidRPr="003B6411">
        <w:rPr>
          <w:szCs w:val="24"/>
        </w:rPr>
        <w:t>, ¶ 8.</w:t>
      </w:r>
    </w:p>
  </w:endnote>
  <w:endnote w:id="197">
    <w:p w14:paraId="7DBE8F93"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smallCaps/>
          <w:szCs w:val="24"/>
        </w:rPr>
        <w:t xml:space="preserve">Brens, </w:t>
      </w:r>
      <w:r w:rsidRPr="003B6411">
        <w:rPr>
          <w:i/>
          <w:szCs w:val="24"/>
        </w:rPr>
        <w:t>supra</w:t>
      </w:r>
      <w:r w:rsidRPr="003B6411">
        <w:rPr>
          <w:szCs w:val="24"/>
        </w:rPr>
        <w:t xml:space="preserve"> note 2, at 33.</w:t>
      </w:r>
    </w:p>
  </w:endnote>
  <w:endnote w:id="198">
    <w:p w14:paraId="1296F331"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Human Rights Committee, Leirvåg v. Norway, Communication No. 1155/2003, U.N. Doc. CCPR/C/82/D/1155/2003 (Nov. 3, 2004).</w:t>
      </w:r>
    </w:p>
  </w:endnote>
  <w:endnote w:id="199">
    <w:p w14:paraId="43FC4AC9"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Multani v. Commission scolaire Marguerite-Bourgeoys, [2006] 1 S.C.R. 256, 2006 SCC 6 (Can.).</w:t>
      </w:r>
    </w:p>
  </w:endnote>
  <w:endnote w:id="200">
    <w:p w14:paraId="40CDCC66"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smallCaps/>
          <w:szCs w:val="24"/>
        </w:rPr>
        <w:t xml:space="preserve">Brens, </w:t>
      </w:r>
      <w:r w:rsidRPr="003B6411">
        <w:rPr>
          <w:i/>
          <w:szCs w:val="24"/>
        </w:rPr>
        <w:t>supra</w:t>
      </w:r>
      <w:r w:rsidRPr="003B6411">
        <w:rPr>
          <w:szCs w:val="24"/>
        </w:rPr>
        <w:t xml:space="preserve"> note 2, at 33; </w:t>
      </w:r>
      <w:r w:rsidRPr="003B6411">
        <w:rPr>
          <w:smallCaps/>
          <w:szCs w:val="24"/>
        </w:rPr>
        <w:t xml:space="preserve">Langlaude, </w:t>
      </w:r>
      <w:r w:rsidRPr="003B6411">
        <w:rPr>
          <w:i/>
          <w:szCs w:val="24"/>
        </w:rPr>
        <w:t>supra</w:t>
      </w:r>
      <w:r w:rsidRPr="003B6411">
        <w:rPr>
          <w:szCs w:val="24"/>
        </w:rPr>
        <w:t xml:space="preserve"> note 9, at 101, 150.</w:t>
      </w:r>
    </w:p>
  </w:endnote>
  <w:endnote w:id="201">
    <w:p w14:paraId="3227348E" w14:textId="77777777" w:rsidR="00E856B6" w:rsidRPr="003B6411" w:rsidRDefault="00E856B6" w:rsidP="00EA57D7">
      <w:pPr>
        <w:pStyle w:val="a4"/>
        <w:jc w:val="both"/>
        <w:rPr>
          <w:rFonts w:ascii="Times New Roman" w:eastAsia="標楷體" w:hAnsi="Times New Roman"/>
          <w:sz w:val="24"/>
          <w:szCs w:val="24"/>
        </w:rPr>
      </w:pPr>
      <w:r w:rsidRPr="003B6411">
        <w:rPr>
          <w:rStyle w:val="af3"/>
          <w:rFonts w:ascii="Times New Roman" w:eastAsia="標楷體" w:hAnsi="Times New Roman"/>
          <w:sz w:val="24"/>
          <w:szCs w:val="24"/>
        </w:rPr>
        <w:endnoteRef/>
      </w:r>
      <w:r w:rsidRPr="003B6411">
        <w:rPr>
          <w:rFonts w:ascii="Times New Roman" w:eastAsia="標楷體" w:hAnsi="Times New Roman"/>
          <w:sz w:val="24"/>
          <w:szCs w:val="24"/>
        </w:rPr>
        <w:t xml:space="preserve"> Child Rights International Network (CRIN), Freedom of Association: A Rights Based Approach to Freedom of Association, https://www.crin.org/en/guides/users-guides/</w:t>
      </w:r>
      <w:r w:rsidRPr="003B6411">
        <w:rPr>
          <w:rFonts w:ascii="Times New Roman" w:eastAsia="標楷體" w:hAnsi="Times New Roman"/>
          <w:sz w:val="24"/>
          <w:szCs w:val="24"/>
        </w:rPr>
        <w:br/>
        <w:t>guides-practitioners/guide-ngos/freedom-association (last visited Sept. 15, 2015).</w:t>
      </w:r>
    </w:p>
  </w:endnote>
  <w:endnote w:id="202">
    <w:p w14:paraId="2517FAB6"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CRIN, </w:t>
      </w:r>
      <w:r w:rsidRPr="003B6411">
        <w:rPr>
          <w:i/>
          <w:szCs w:val="24"/>
        </w:rPr>
        <w:t>CRC in Court: Case Law of the Convention on the Rights of Child</w:t>
      </w:r>
      <w:r w:rsidRPr="003B6411">
        <w:rPr>
          <w:szCs w:val="24"/>
        </w:rPr>
        <w:t>, at 15 (2012).</w:t>
      </w:r>
    </w:p>
  </w:endnote>
  <w:endnote w:id="203">
    <w:p w14:paraId="23F9EAC4"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The Article 15 Project - A Global Partnership Supporting Children’s Rights and Capacitises to Self-Organize, http://crc15.org/the-crc-art-15/ (last visited Sept. 15, 2015).</w:t>
      </w:r>
    </w:p>
  </w:endnote>
  <w:endnote w:id="204">
    <w:p w14:paraId="45B02217"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smallCaps/>
          <w:szCs w:val="24"/>
        </w:rPr>
        <w:t xml:space="preserve">UNICEF, Implementation Handbook for the Convention on the Rights of the Child </w:t>
      </w:r>
      <w:r w:rsidRPr="003B6411">
        <w:rPr>
          <w:szCs w:val="24"/>
        </w:rPr>
        <w:t>198-99 (3d ed. 2007).</w:t>
      </w:r>
    </w:p>
  </w:endnote>
  <w:endnote w:id="205">
    <w:p w14:paraId="1118B1BD"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ARTICLE 19, </w:t>
      </w:r>
      <w:r w:rsidRPr="003B6411">
        <w:rPr>
          <w:i/>
          <w:szCs w:val="24"/>
        </w:rPr>
        <w:t>Kid’s Talk: Freedom of Expression and the UN Convention on the Rights of the Child</w:t>
      </w:r>
      <w:r w:rsidRPr="003B6411">
        <w:rPr>
          <w:szCs w:val="24"/>
        </w:rPr>
        <w:t>, at 23-34 (1999), http://www.article19.org/data/files/pdfs/</w:t>
      </w:r>
      <w:r w:rsidRPr="003B6411">
        <w:rPr>
          <w:szCs w:val="24"/>
        </w:rPr>
        <w:br/>
        <w:t>publications/children-kid-s-talk.pdf (last visited June 15, 2015).</w:t>
      </w:r>
    </w:p>
  </w:endnote>
  <w:endnote w:id="206">
    <w:p w14:paraId="7B6749EB"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Committee on the Rights of Child, </w:t>
      </w:r>
      <w:r w:rsidRPr="003B6411">
        <w:rPr>
          <w:bCs/>
          <w:szCs w:val="24"/>
        </w:rPr>
        <w:t xml:space="preserve">Concluding Observations: Japan, </w:t>
      </w:r>
      <w:r w:rsidRPr="003B6411">
        <w:rPr>
          <w:szCs w:val="24"/>
        </w:rPr>
        <w:t>¶¶</w:t>
      </w:r>
      <w:r w:rsidRPr="003B6411">
        <w:rPr>
          <w:bCs/>
          <w:szCs w:val="24"/>
        </w:rPr>
        <w:t xml:space="preserve"> 29-30, U.N. Doc. CRC/C/15/Add.231 (Feb. 26, 2004).</w:t>
      </w:r>
    </w:p>
  </w:endnote>
  <w:endnote w:id="207">
    <w:p w14:paraId="448BA74B"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Christian Democratic People’s Party v. Moldova, App. No. 28793/02, </w:t>
      </w:r>
      <w:r w:rsidRPr="003B6411">
        <w:rPr>
          <w:i/>
          <w:szCs w:val="24"/>
        </w:rPr>
        <w:t>available at</w:t>
      </w:r>
      <w:r w:rsidRPr="003B6411">
        <w:rPr>
          <w:szCs w:val="24"/>
        </w:rPr>
        <w:t xml:space="preserve"> http://www.refworld.org/docid/4bc327682.html (last visited Sept. 15, 2015).</w:t>
      </w:r>
    </w:p>
  </w:endnote>
  <w:endnote w:id="208">
    <w:p w14:paraId="3C9DC9E1"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Article 13(3) of the Protection of Children Act of 15 December 1994: “</w:t>
      </w:r>
      <w:r w:rsidRPr="003B6411">
        <w:rPr>
          <w:color w:val="000000"/>
          <w:szCs w:val="24"/>
          <w:shd w:val="clear" w:color="auto" w:fill="FFFFFF"/>
        </w:rPr>
        <w:t>The involvement of children in politics and their membership of political parties shall be forbidden.</w:t>
      </w:r>
      <w:r w:rsidRPr="003B6411">
        <w:rPr>
          <w:szCs w:val="24"/>
        </w:rPr>
        <w:t>”</w:t>
      </w:r>
    </w:p>
  </w:endnote>
  <w:endnote w:id="209">
    <w:p w14:paraId="0C568A38"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szCs w:val="24"/>
        </w:rPr>
        <w:t>人權事務委員會，第</w:t>
      </w:r>
      <w:r w:rsidRPr="003B6411">
        <w:rPr>
          <w:szCs w:val="24"/>
        </w:rPr>
        <w:t>16</w:t>
      </w:r>
      <w:r w:rsidRPr="003B6411">
        <w:rPr>
          <w:szCs w:val="24"/>
        </w:rPr>
        <w:t>號一般性意見：第</w:t>
      </w:r>
      <w:r w:rsidRPr="003B6411">
        <w:rPr>
          <w:szCs w:val="24"/>
        </w:rPr>
        <w:t>17</w:t>
      </w:r>
      <w:r w:rsidRPr="003B6411">
        <w:rPr>
          <w:szCs w:val="24"/>
        </w:rPr>
        <w:t>條，第</w:t>
      </w:r>
      <w:r w:rsidRPr="003B6411">
        <w:rPr>
          <w:szCs w:val="24"/>
        </w:rPr>
        <w:t>5</w:t>
      </w:r>
      <w:r w:rsidRPr="003B6411">
        <w:rPr>
          <w:szCs w:val="24"/>
        </w:rPr>
        <w:t>段。</w:t>
      </w:r>
      <w:r w:rsidRPr="003B6411">
        <w:rPr>
          <w:szCs w:val="24"/>
        </w:rPr>
        <w:t>Human Rights Committee, General Comment No. 16: Article 17 (Right to Privacy), ¶ 5, U.N. Doc. HRI/GEN/1/Rev.9 (Vol. I), at 192 (Sept. 28, 1988) [HRC General Comment No. 16].</w:t>
      </w:r>
    </w:p>
  </w:endnote>
  <w:endnote w:id="210">
    <w:p w14:paraId="6F0132C6"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smallCaps/>
          <w:szCs w:val="24"/>
        </w:rPr>
        <w:t>UNICEF, Implementation Handbook for the Convention on the Rights of the Child 210</w:t>
      </w:r>
      <w:r w:rsidRPr="003B6411">
        <w:rPr>
          <w:szCs w:val="24"/>
        </w:rPr>
        <w:t xml:space="preserve"> (3d ed. 2007).</w:t>
      </w:r>
    </w:p>
  </w:endnote>
  <w:endnote w:id="211">
    <w:p w14:paraId="1C05CB1F"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szCs w:val="24"/>
        </w:rPr>
        <w:t>兒童權利委員會，第</w:t>
      </w:r>
      <w:r w:rsidRPr="003B6411">
        <w:rPr>
          <w:szCs w:val="24"/>
        </w:rPr>
        <w:t>4</w:t>
      </w:r>
      <w:r w:rsidRPr="003B6411">
        <w:rPr>
          <w:szCs w:val="24"/>
        </w:rPr>
        <w:t>號一般性意見「少年健康與發展」，第</w:t>
      </w:r>
      <w:r w:rsidRPr="003B6411">
        <w:rPr>
          <w:szCs w:val="24"/>
        </w:rPr>
        <w:t>11</w:t>
      </w:r>
      <w:r w:rsidRPr="003B6411">
        <w:rPr>
          <w:szCs w:val="24"/>
        </w:rPr>
        <w:t>段。</w:t>
      </w:r>
      <w:r w:rsidRPr="003B6411">
        <w:rPr>
          <w:szCs w:val="24"/>
        </w:rPr>
        <w:t>Committee on the Rights of the Child, General Comment No. 4: Adolescent Health and Development in the Context of the Convention on the Rights of the Child, ¶ 11, U.N. Doc. CRC/GC/2003/4 (July 1, 2013).</w:t>
      </w:r>
    </w:p>
  </w:endnote>
  <w:endnote w:id="212">
    <w:p w14:paraId="254E1B09"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HRC General Comment No. 16, </w:t>
      </w:r>
      <w:r w:rsidRPr="003B6411">
        <w:rPr>
          <w:i/>
          <w:szCs w:val="24"/>
        </w:rPr>
        <w:t xml:space="preserve">supra </w:t>
      </w:r>
      <w:r w:rsidRPr="003B6411">
        <w:rPr>
          <w:szCs w:val="24"/>
        </w:rPr>
        <w:t>note 1, ¶¶ 3-4.</w:t>
      </w:r>
    </w:p>
  </w:endnote>
  <w:endnote w:id="213">
    <w:p w14:paraId="406FF9A4"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UNICEF, </w:t>
      </w:r>
      <w:r w:rsidRPr="003B6411">
        <w:rPr>
          <w:i/>
          <w:szCs w:val="24"/>
        </w:rPr>
        <w:t xml:space="preserve">supra </w:t>
      </w:r>
      <w:r w:rsidRPr="003B6411">
        <w:rPr>
          <w:szCs w:val="24"/>
        </w:rPr>
        <w:t xml:space="preserve">note </w:t>
      </w:r>
      <w:r w:rsidRPr="003B6411">
        <w:rPr>
          <w:szCs w:val="24"/>
        </w:rPr>
        <w:fldChar w:fldCharType="begin"/>
      </w:r>
      <w:r w:rsidRPr="003B6411">
        <w:rPr>
          <w:szCs w:val="24"/>
        </w:rPr>
        <w:instrText xml:space="preserve"> NOTEREF _Ref428954270 \h  \* MERGEFORMAT </w:instrText>
      </w:r>
      <w:r w:rsidRPr="003B6411">
        <w:rPr>
          <w:szCs w:val="24"/>
        </w:rPr>
      </w:r>
      <w:r w:rsidRPr="003B6411">
        <w:rPr>
          <w:szCs w:val="24"/>
        </w:rPr>
        <w:fldChar w:fldCharType="separate"/>
      </w:r>
      <w:r w:rsidR="00DA394E">
        <w:rPr>
          <w:szCs w:val="24"/>
        </w:rPr>
        <w:t>2</w:t>
      </w:r>
      <w:r w:rsidRPr="003B6411">
        <w:rPr>
          <w:szCs w:val="24"/>
        </w:rPr>
        <w:fldChar w:fldCharType="end"/>
      </w:r>
      <w:r w:rsidRPr="003B6411">
        <w:rPr>
          <w:szCs w:val="24"/>
        </w:rPr>
        <w:t>, at 211.</w:t>
      </w:r>
    </w:p>
  </w:endnote>
  <w:endnote w:id="214">
    <w:p w14:paraId="22C8EC76"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szCs w:val="24"/>
        </w:rPr>
        <w:t>林沛君，兒少人權向前行，兒少人權向前行，臺北市，台灣展翅協會，</w:t>
      </w:r>
      <w:r w:rsidRPr="003B6411">
        <w:rPr>
          <w:szCs w:val="24"/>
        </w:rPr>
        <w:t>2005</w:t>
      </w:r>
      <w:r w:rsidRPr="003B6411">
        <w:rPr>
          <w:szCs w:val="24"/>
        </w:rPr>
        <w:t>年</w:t>
      </w:r>
      <w:r w:rsidRPr="003B6411">
        <w:rPr>
          <w:szCs w:val="24"/>
        </w:rPr>
        <w:t>4</w:t>
      </w:r>
      <w:r w:rsidRPr="003B6411">
        <w:rPr>
          <w:szCs w:val="24"/>
        </w:rPr>
        <w:t>月，頁</w:t>
      </w:r>
      <w:r w:rsidRPr="003B6411">
        <w:rPr>
          <w:szCs w:val="24"/>
        </w:rPr>
        <w:t>79</w:t>
      </w:r>
      <w:r w:rsidRPr="003B6411">
        <w:rPr>
          <w:szCs w:val="24"/>
        </w:rPr>
        <w:t>。</w:t>
      </w:r>
    </w:p>
  </w:endnote>
  <w:endnote w:id="215">
    <w:p w14:paraId="11242337"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UNICEF, </w:t>
      </w:r>
      <w:r w:rsidRPr="003B6411">
        <w:rPr>
          <w:i/>
          <w:szCs w:val="24"/>
        </w:rPr>
        <w:t xml:space="preserve">supra </w:t>
      </w:r>
      <w:r w:rsidRPr="003B6411">
        <w:rPr>
          <w:szCs w:val="24"/>
        </w:rPr>
        <w:t xml:space="preserve">note </w:t>
      </w:r>
      <w:r w:rsidRPr="003B6411">
        <w:rPr>
          <w:szCs w:val="24"/>
        </w:rPr>
        <w:fldChar w:fldCharType="begin"/>
      </w:r>
      <w:r w:rsidRPr="003B6411">
        <w:rPr>
          <w:szCs w:val="24"/>
        </w:rPr>
        <w:instrText xml:space="preserve"> NOTEREF _Ref428954270 \h  \* MERGEFORMAT </w:instrText>
      </w:r>
      <w:r w:rsidRPr="003B6411">
        <w:rPr>
          <w:szCs w:val="24"/>
        </w:rPr>
      </w:r>
      <w:r w:rsidRPr="003B6411">
        <w:rPr>
          <w:szCs w:val="24"/>
        </w:rPr>
        <w:fldChar w:fldCharType="separate"/>
      </w:r>
      <w:r w:rsidR="00DA394E">
        <w:rPr>
          <w:szCs w:val="24"/>
        </w:rPr>
        <w:t>2</w:t>
      </w:r>
      <w:r w:rsidRPr="003B6411">
        <w:rPr>
          <w:szCs w:val="24"/>
        </w:rPr>
        <w:fldChar w:fldCharType="end"/>
      </w:r>
      <w:r w:rsidRPr="003B6411">
        <w:rPr>
          <w:szCs w:val="24"/>
        </w:rPr>
        <w:t>, at 211.</w:t>
      </w:r>
    </w:p>
  </w:endnote>
  <w:endnote w:id="216">
    <w:p w14:paraId="3267BF3C"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Corte Suprema de Justicia de la Nación [National Supreme Court of Justice], 16/8/2011, “Restitución de Menores - Ejecución de Sentencia” (Arg.).</w:t>
      </w:r>
    </w:p>
  </w:endnote>
  <w:endnote w:id="217">
    <w:p w14:paraId="51203ADC"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Hosking and Hosking v. Runting and Pacific Magazines NZ Ltd, [2005] 1 NZLR 1 (N.Z.).</w:t>
      </w:r>
    </w:p>
  </w:endnote>
  <w:endnote w:id="218">
    <w:p w14:paraId="5C7EF07F"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David Morrison &amp; Michael Svennevig, The Public Interest, the Media and Privacy, A Report for British Broadcasting Corporation, at 2 (Broadcast Standards Commission etc., Mar. 2002).</w:t>
      </w:r>
    </w:p>
  </w:endnote>
  <w:endnote w:id="219">
    <w:p w14:paraId="0CDD2B88"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smallCaps/>
          <w:szCs w:val="24"/>
        </w:rPr>
        <w:t xml:space="preserve">UNICEF, Implementation Handbook for the Convention on the Rights of the Child </w:t>
      </w:r>
      <w:r w:rsidRPr="003B6411">
        <w:rPr>
          <w:szCs w:val="24"/>
        </w:rPr>
        <w:t>217 (3d ed. 2007).</w:t>
      </w:r>
    </w:p>
  </w:endnote>
  <w:endnote w:id="220">
    <w:p w14:paraId="1BDBA965"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smallCaps/>
          <w:szCs w:val="24"/>
        </w:rPr>
        <w:t>Office of the United Nations High Commissioner for Human Rights, 1 Legislative History of the Convention on the Rights of the Child</w:t>
      </w:r>
      <w:r w:rsidRPr="003B6411">
        <w:rPr>
          <w:szCs w:val="24"/>
        </w:rPr>
        <w:t xml:space="preserve"> 481-83 (2007).</w:t>
      </w:r>
    </w:p>
  </w:endnote>
  <w:endnote w:id="221">
    <w:p w14:paraId="54FE48E1"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UNICEF, </w:t>
      </w:r>
      <w:r w:rsidRPr="003B6411">
        <w:rPr>
          <w:i/>
          <w:szCs w:val="24"/>
        </w:rPr>
        <w:t xml:space="preserve">supra </w:t>
      </w:r>
      <w:r w:rsidRPr="003B6411">
        <w:rPr>
          <w:szCs w:val="24"/>
        </w:rPr>
        <w:t xml:space="preserve">note </w:t>
      </w:r>
      <w:r w:rsidRPr="003B6411">
        <w:rPr>
          <w:szCs w:val="24"/>
        </w:rPr>
        <w:fldChar w:fldCharType="begin"/>
      </w:r>
      <w:r w:rsidRPr="003B6411">
        <w:rPr>
          <w:szCs w:val="24"/>
        </w:rPr>
        <w:instrText xml:space="preserve"> NOTEREF _Ref427235249 \h  \* MERGEFORMAT </w:instrText>
      </w:r>
      <w:r w:rsidRPr="003B6411">
        <w:rPr>
          <w:szCs w:val="24"/>
        </w:rPr>
      </w:r>
      <w:r w:rsidRPr="003B6411">
        <w:rPr>
          <w:szCs w:val="24"/>
        </w:rPr>
        <w:fldChar w:fldCharType="separate"/>
      </w:r>
      <w:r w:rsidR="00DA394E">
        <w:rPr>
          <w:szCs w:val="24"/>
        </w:rPr>
        <w:t>1</w:t>
      </w:r>
      <w:r w:rsidRPr="003B6411">
        <w:rPr>
          <w:szCs w:val="24"/>
        </w:rPr>
        <w:fldChar w:fldCharType="end"/>
      </w:r>
      <w:r w:rsidRPr="003B6411">
        <w:rPr>
          <w:szCs w:val="24"/>
        </w:rPr>
        <w:t>, at 220-21.</w:t>
      </w:r>
    </w:p>
  </w:endnote>
  <w:endnote w:id="222">
    <w:p w14:paraId="3A3EBAA1"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G.A. Res. 45/113, United Nations Rules for the Protection of Juveniles Deprived of their Liberty (Dec. 14, 1990).</w:t>
      </w:r>
    </w:p>
  </w:endnote>
  <w:endnote w:id="223">
    <w:p w14:paraId="138A72A1"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Article 62: Juveniles should have the opportunity to keep themselves informed regularly of the news by reading newspapers, periodicals and other publications, through access to radio and television programmes and motion pictures, and through the visits of the representatives of any lawful club or organization in which the juvenile is interested.</w:t>
      </w:r>
    </w:p>
  </w:endnote>
  <w:endnote w:id="224">
    <w:p w14:paraId="415C508C"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szCs w:val="24"/>
        </w:rPr>
        <w:t>兒童權利委員會，第</w:t>
      </w:r>
      <w:r w:rsidRPr="003B6411">
        <w:rPr>
          <w:szCs w:val="24"/>
        </w:rPr>
        <w:t>1</w:t>
      </w:r>
      <w:r w:rsidRPr="003B6411">
        <w:rPr>
          <w:szCs w:val="24"/>
        </w:rPr>
        <w:t>號一般性意見「教育的目的」，第</w:t>
      </w:r>
      <w:r w:rsidRPr="003B6411">
        <w:rPr>
          <w:szCs w:val="24"/>
        </w:rPr>
        <w:t>21</w:t>
      </w:r>
      <w:r w:rsidRPr="003B6411">
        <w:rPr>
          <w:szCs w:val="24"/>
        </w:rPr>
        <w:t>段。</w:t>
      </w:r>
      <w:r w:rsidRPr="003B6411">
        <w:rPr>
          <w:szCs w:val="24"/>
        </w:rPr>
        <w:t>Committee on the Rights of the Child, General Comment No. 1: The Aims of Education, ¶ 21, U.N. Doc. CRC/GC/2001/1 (Apr. 17, 2001).</w:t>
      </w:r>
    </w:p>
  </w:endnote>
  <w:endnote w:id="225">
    <w:p w14:paraId="0D8ADE55" w14:textId="77777777" w:rsidR="00E856B6" w:rsidRPr="003B6411" w:rsidRDefault="00E856B6" w:rsidP="00EA57D7">
      <w:pPr>
        <w:pStyle w:val="af1"/>
        <w:jc w:val="both"/>
        <w:rPr>
          <w:b/>
          <w:bCs/>
          <w:szCs w:val="24"/>
        </w:rPr>
      </w:pPr>
      <w:r w:rsidRPr="003B6411">
        <w:rPr>
          <w:rStyle w:val="af3"/>
          <w:szCs w:val="24"/>
        </w:rPr>
        <w:endnoteRef/>
      </w:r>
      <w:r w:rsidRPr="003B6411">
        <w:rPr>
          <w:szCs w:val="24"/>
        </w:rPr>
        <w:t xml:space="preserve"> </w:t>
      </w:r>
      <w:r w:rsidRPr="003B6411">
        <w:rPr>
          <w:szCs w:val="24"/>
        </w:rPr>
        <w:t>兒童權利委員會，第</w:t>
      </w:r>
      <w:r w:rsidRPr="003B6411">
        <w:rPr>
          <w:szCs w:val="24"/>
        </w:rPr>
        <w:t>16</w:t>
      </w:r>
      <w:r w:rsidRPr="003B6411">
        <w:rPr>
          <w:szCs w:val="24"/>
        </w:rPr>
        <w:t>號一般性意見「商業部門對兒童權利之影響與國家義務」，第</w:t>
      </w:r>
      <w:r w:rsidRPr="003B6411">
        <w:rPr>
          <w:szCs w:val="24"/>
        </w:rPr>
        <w:t>58</w:t>
      </w:r>
      <w:r w:rsidRPr="003B6411">
        <w:rPr>
          <w:szCs w:val="24"/>
        </w:rPr>
        <w:t>段。</w:t>
      </w:r>
      <w:r w:rsidRPr="003B6411">
        <w:rPr>
          <w:szCs w:val="24"/>
        </w:rPr>
        <w:t xml:space="preserve">Committee on the Rights of the Child, </w:t>
      </w:r>
      <w:r w:rsidRPr="003B6411">
        <w:rPr>
          <w:bCs/>
          <w:szCs w:val="24"/>
        </w:rPr>
        <w:t xml:space="preserve">General Comment No. 16 on State Obligations Regarding the Impact of the Business Sector on Children’s Rights, </w:t>
      </w:r>
      <w:r w:rsidRPr="003B6411">
        <w:rPr>
          <w:szCs w:val="24"/>
        </w:rPr>
        <w:t xml:space="preserve">¶ 58, U.N. Doc. </w:t>
      </w:r>
      <w:r w:rsidRPr="003B6411">
        <w:rPr>
          <w:bCs/>
          <w:szCs w:val="24"/>
        </w:rPr>
        <w:t>CRC/C/GC/16 (Apr. 17, 2013).</w:t>
      </w:r>
    </w:p>
  </w:endnote>
  <w:endnote w:id="226">
    <w:p w14:paraId="238023B2"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UNICEF, </w:t>
      </w:r>
      <w:r w:rsidRPr="003B6411">
        <w:rPr>
          <w:i/>
          <w:szCs w:val="24"/>
        </w:rPr>
        <w:t xml:space="preserve">supra </w:t>
      </w:r>
      <w:r w:rsidRPr="003B6411">
        <w:rPr>
          <w:szCs w:val="24"/>
        </w:rPr>
        <w:t xml:space="preserve">note </w:t>
      </w:r>
      <w:r w:rsidRPr="003B6411">
        <w:rPr>
          <w:szCs w:val="24"/>
        </w:rPr>
        <w:fldChar w:fldCharType="begin"/>
      </w:r>
      <w:r w:rsidRPr="003B6411">
        <w:rPr>
          <w:szCs w:val="24"/>
        </w:rPr>
        <w:instrText xml:space="preserve"> NOTEREF _Ref427235249 \h  \* MERGEFORMAT </w:instrText>
      </w:r>
      <w:r w:rsidRPr="003B6411">
        <w:rPr>
          <w:szCs w:val="24"/>
        </w:rPr>
      </w:r>
      <w:r w:rsidRPr="003B6411">
        <w:rPr>
          <w:szCs w:val="24"/>
        </w:rPr>
        <w:fldChar w:fldCharType="separate"/>
      </w:r>
      <w:r w:rsidR="00DA394E">
        <w:rPr>
          <w:szCs w:val="24"/>
        </w:rPr>
        <w:t>1</w:t>
      </w:r>
      <w:r w:rsidRPr="003B6411">
        <w:rPr>
          <w:szCs w:val="24"/>
        </w:rPr>
        <w:fldChar w:fldCharType="end"/>
      </w:r>
      <w:r w:rsidRPr="003B6411">
        <w:rPr>
          <w:szCs w:val="24"/>
        </w:rPr>
        <w:t>, at 224.</w:t>
      </w:r>
    </w:p>
  </w:endnote>
  <w:endnote w:id="227">
    <w:p w14:paraId="05E61BB7" w14:textId="77777777" w:rsidR="00E856B6" w:rsidRPr="003B6411" w:rsidRDefault="00E856B6" w:rsidP="00EA57D7">
      <w:pPr>
        <w:pStyle w:val="af1"/>
        <w:jc w:val="both"/>
        <w:rPr>
          <w:b/>
          <w:bCs/>
          <w:szCs w:val="24"/>
        </w:rPr>
      </w:pPr>
      <w:r w:rsidRPr="003B6411">
        <w:rPr>
          <w:rStyle w:val="af3"/>
          <w:szCs w:val="24"/>
        </w:rPr>
        <w:endnoteRef/>
      </w:r>
      <w:r w:rsidRPr="003B6411">
        <w:rPr>
          <w:szCs w:val="24"/>
        </w:rPr>
        <w:t xml:space="preserve"> </w:t>
      </w:r>
      <w:r w:rsidRPr="003B6411">
        <w:rPr>
          <w:szCs w:val="24"/>
        </w:rPr>
        <w:t>兒童權利委員會，第</w:t>
      </w:r>
      <w:r w:rsidRPr="003B6411">
        <w:rPr>
          <w:szCs w:val="24"/>
        </w:rPr>
        <w:t>11</w:t>
      </w:r>
      <w:r w:rsidRPr="003B6411">
        <w:rPr>
          <w:szCs w:val="24"/>
        </w:rPr>
        <w:t>號一般性意見「原住民兒童及其在公約下的權利」第</w:t>
      </w:r>
      <w:r w:rsidRPr="003B6411">
        <w:rPr>
          <w:szCs w:val="24"/>
        </w:rPr>
        <w:t>40</w:t>
      </w:r>
      <w:r w:rsidRPr="003B6411">
        <w:rPr>
          <w:szCs w:val="24"/>
        </w:rPr>
        <w:t>段。</w:t>
      </w:r>
      <w:r w:rsidRPr="003B6411">
        <w:rPr>
          <w:szCs w:val="24"/>
        </w:rPr>
        <w:t xml:space="preserve">Committee on the Rights of the Child, </w:t>
      </w:r>
      <w:r w:rsidRPr="003B6411">
        <w:rPr>
          <w:bCs/>
          <w:szCs w:val="24"/>
        </w:rPr>
        <w:t>G</w:t>
      </w:r>
      <w:r w:rsidRPr="003B6411">
        <w:rPr>
          <w:szCs w:val="24"/>
        </w:rPr>
        <w:t>eneral Comment</w:t>
      </w:r>
      <w:r w:rsidRPr="003B6411">
        <w:rPr>
          <w:bCs/>
          <w:szCs w:val="24"/>
        </w:rPr>
        <w:t xml:space="preserve"> No. 11: Indigenous Children and Their Rights under the Convention, </w:t>
      </w:r>
      <w:r w:rsidRPr="003B6411">
        <w:rPr>
          <w:szCs w:val="24"/>
        </w:rPr>
        <w:t>¶ 40, U.N. Doc.</w:t>
      </w:r>
      <w:r w:rsidRPr="003B6411">
        <w:rPr>
          <w:bCs/>
          <w:szCs w:val="24"/>
        </w:rPr>
        <w:t xml:space="preserve"> CRC/C/GC/11 (Feb. 12, 2009).</w:t>
      </w:r>
    </w:p>
  </w:endnote>
  <w:endnote w:id="228">
    <w:p w14:paraId="67C1E9DC"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i/>
          <w:szCs w:val="24"/>
        </w:rPr>
        <w:t>Id</w:t>
      </w:r>
      <w:r w:rsidRPr="003B6411">
        <w:rPr>
          <w:szCs w:val="24"/>
        </w:rPr>
        <w:t>.</w:t>
      </w:r>
    </w:p>
  </w:endnote>
  <w:endnote w:id="229">
    <w:p w14:paraId="15358779"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i/>
          <w:szCs w:val="24"/>
        </w:rPr>
        <w:t xml:space="preserve">Id. </w:t>
      </w:r>
      <w:r w:rsidRPr="003B6411">
        <w:rPr>
          <w:szCs w:val="24"/>
        </w:rPr>
        <w:t>¶ 60.</w:t>
      </w:r>
    </w:p>
  </w:endnote>
  <w:endnote w:id="230">
    <w:p w14:paraId="419AEBAC"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szCs w:val="24"/>
        </w:rPr>
        <w:t>兒童權利委員會，第</w:t>
      </w:r>
      <w:r w:rsidRPr="003B6411">
        <w:rPr>
          <w:szCs w:val="24"/>
        </w:rPr>
        <w:t>13</w:t>
      </w:r>
      <w:r w:rsidRPr="003B6411">
        <w:rPr>
          <w:szCs w:val="24"/>
        </w:rPr>
        <w:t>屆會議報告，第</w:t>
      </w:r>
      <w:r w:rsidRPr="003B6411">
        <w:rPr>
          <w:szCs w:val="24"/>
        </w:rPr>
        <w:t>256</w:t>
      </w:r>
      <w:r w:rsidRPr="003B6411">
        <w:rPr>
          <w:szCs w:val="24"/>
        </w:rPr>
        <w:t>段。</w:t>
      </w:r>
      <w:r w:rsidRPr="003B6411">
        <w:rPr>
          <w:szCs w:val="24"/>
        </w:rPr>
        <w:t>Committee on the Rights of the Child, Report on the Thirteenth Session, ¶ 256, U.N. Doc. CRC/C/57 (Oct. 31, 1996).</w:t>
      </w:r>
    </w:p>
  </w:endnote>
  <w:endnote w:id="231">
    <w:p w14:paraId="6F500098"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szCs w:val="24"/>
        </w:rPr>
        <w:t>兒童權利委員會，</w:t>
      </w:r>
      <w:r w:rsidRPr="003B6411">
        <w:rPr>
          <w:szCs w:val="24"/>
        </w:rPr>
        <w:t>2014</w:t>
      </w:r>
      <w:r w:rsidRPr="003B6411">
        <w:rPr>
          <w:szCs w:val="24"/>
        </w:rPr>
        <w:t>年「數位媒體與兒童權利」綜合討論日報告，第</w:t>
      </w:r>
      <w:r w:rsidRPr="003B6411">
        <w:rPr>
          <w:szCs w:val="24"/>
        </w:rPr>
        <w:t>2</w:t>
      </w:r>
      <w:r w:rsidRPr="003B6411">
        <w:rPr>
          <w:szCs w:val="24"/>
        </w:rPr>
        <w:t>段。</w:t>
      </w:r>
      <w:r w:rsidRPr="003B6411">
        <w:rPr>
          <w:szCs w:val="24"/>
        </w:rPr>
        <w:t xml:space="preserve">Committee on the Rights of the Child, Report of the 2014 Day of General Discussion on “Digital Media and Children’s Rights”, ¶ 2, </w:t>
      </w:r>
      <w:r w:rsidRPr="003B6411">
        <w:rPr>
          <w:i/>
          <w:szCs w:val="24"/>
        </w:rPr>
        <w:t xml:space="preserve">available at </w:t>
      </w:r>
      <w:r w:rsidRPr="003B6411">
        <w:rPr>
          <w:szCs w:val="24"/>
        </w:rPr>
        <w:t>http://www.ohchr.org/</w:t>
      </w:r>
      <w:r w:rsidRPr="003B6411">
        <w:rPr>
          <w:szCs w:val="24"/>
        </w:rPr>
        <w:br/>
        <w:t>Documents/HRBodies/CRC/Discussions/2014/DGD_report.pdf (last visited July 30, 2015).</w:t>
      </w:r>
    </w:p>
  </w:endnote>
  <w:endnote w:id="232">
    <w:p w14:paraId="6B33C2A0"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Case C-244/06, Dynamic Medien Vertriebs GmbH v Avides Media AG, 2 C.M.L.R. 23 (2008).</w:t>
      </w:r>
    </w:p>
  </w:endnote>
  <w:endnote w:id="233">
    <w:p w14:paraId="3BBE5442"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Fines for Broadcasters of a Reality Television Show Which Contained a Number of Scenes That Could Endanger the Moral Development of Children and the Young, 6 As 70/2007, </w:t>
      </w:r>
      <w:r w:rsidRPr="003B6411">
        <w:rPr>
          <w:i/>
          <w:szCs w:val="24"/>
        </w:rPr>
        <w:t>availabl at</w:t>
      </w:r>
      <w:r w:rsidRPr="003B6411">
        <w:rPr>
          <w:szCs w:val="24"/>
        </w:rPr>
        <w:t xml:space="preserve"> https://www.crin.org/en/library/legal-database/fines-broadcasters-reality-television-show-which-contained-number-scenes (case summary) (last visited July 30, 2015).</w:t>
      </w:r>
    </w:p>
  </w:endnote>
  <w:endnote w:id="234">
    <w:p w14:paraId="0FB3439E"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szCs w:val="24"/>
        </w:rPr>
        <w:t>聯合國人權事務高級專員辦事處，兒童權利公約立法歷史，頁</w:t>
      </w:r>
      <w:r w:rsidRPr="003B6411">
        <w:rPr>
          <w:szCs w:val="24"/>
        </w:rPr>
        <w:t>504-05</w:t>
      </w:r>
      <w:r w:rsidRPr="003B6411">
        <w:rPr>
          <w:szCs w:val="24"/>
        </w:rPr>
        <w:t>。</w:t>
      </w:r>
      <w:r w:rsidRPr="003B6411">
        <w:rPr>
          <w:smallCaps/>
          <w:szCs w:val="24"/>
        </w:rPr>
        <w:t>Office of the United Nations High Commissioner for Human Rights, 2 Legislative History of the Convention on the Rights of the Child</w:t>
      </w:r>
      <w:r w:rsidRPr="003B6411">
        <w:rPr>
          <w:szCs w:val="24"/>
        </w:rPr>
        <w:t xml:space="preserve"> 504-05 (2007).</w:t>
      </w:r>
    </w:p>
  </w:endnote>
  <w:endnote w:id="235">
    <w:p w14:paraId="6B35BD7E"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szCs w:val="24"/>
        </w:rPr>
        <w:t>兒童權利公約，第</w:t>
      </w:r>
      <w:r w:rsidRPr="003B6411">
        <w:rPr>
          <w:szCs w:val="24"/>
        </w:rPr>
        <w:t>7</w:t>
      </w:r>
      <w:r w:rsidRPr="003B6411">
        <w:rPr>
          <w:szCs w:val="24"/>
        </w:rPr>
        <w:t>號一般性意見「在幼兒期落實兒童權利」，第</w:t>
      </w:r>
      <w:r w:rsidRPr="003B6411">
        <w:rPr>
          <w:szCs w:val="24"/>
        </w:rPr>
        <w:t>15</w:t>
      </w:r>
      <w:r w:rsidRPr="003B6411">
        <w:rPr>
          <w:szCs w:val="24"/>
        </w:rPr>
        <w:t>段。</w:t>
      </w:r>
      <w:r w:rsidRPr="003B6411">
        <w:rPr>
          <w:szCs w:val="24"/>
        </w:rPr>
        <w:t>Committee on the Rights of the Child, General Comment No. 7: Implementing Child Rights in Early Childhood, ¶ 15, U.N. Doc. CRC/C/GC/7/Rev.1 (Sept. 20, 2006) [hereinafter General Comment No. 7].</w:t>
      </w:r>
    </w:p>
  </w:endnote>
  <w:endnote w:id="236">
    <w:p w14:paraId="07B3745A"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General Comment No. 7, </w:t>
      </w:r>
      <w:r w:rsidRPr="003B6411">
        <w:rPr>
          <w:i/>
          <w:szCs w:val="24"/>
        </w:rPr>
        <w:t>supra</w:t>
      </w:r>
      <w:r w:rsidRPr="003B6411">
        <w:rPr>
          <w:szCs w:val="24"/>
        </w:rPr>
        <w:t xml:space="preserve"> note </w:t>
      </w:r>
      <w:r w:rsidRPr="003B6411">
        <w:rPr>
          <w:szCs w:val="24"/>
        </w:rPr>
        <w:fldChar w:fldCharType="begin"/>
      </w:r>
      <w:r w:rsidRPr="003B6411">
        <w:rPr>
          <w:szCs w:val="24"/>
        </w:rPr>
        <w:instrText xml:space="preserve"> NOTEREF _Ref427442268 \h  \* MERGEFORMAT </w:instrText>
      </w:r>
      <w:r w:rsidRPr="003B6411">
        <w:rPr>
          <w:szCs w:val="24"/>
        </w:rPr>
      </w:r>
      <w:r w:rsidRPr="003B6411">
        <w:rPr>
          <w:szCs w:val="24"/>
        </w:rPr>
        <w:fldChar w:fldCharType="separate"/>
      </w:r>
      <w:r w:rsidR="00DA394E">
        <w:rPr>
          <w:szCs w:val="24"/>
        </w:rPr>
        <w:t>2</w:t>
      </w:r>
      <w:r w:rsidRPr="003B6411">
        <w:rPr>
          <w:szCs w:val="24"/>
        </w:rPr>
        <w:fldChar w:fldCharType="end"/>
      </w:r>
      <w:r w:rsidRPr="003B6411">
        <w:rPr>
          <w:szCs w:val="24"/>
        </w:rPr>
        <w:t>, ¶ 19.</w:t>
      </w:r>
    </w:p>
  </w:endnote>
  <w:endnote w:id="237">
    <w:p w14:paraId="0A8351A1"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smallCaps/>
          <w:szCs w:val="24"/>
        </w:rPr>
        <w:t xml:space="preserve">UNICEF, Implementation Handbook for the Convention on the Rights of the Child </w:t>
      </w:r>
      <w:r w:rsidRPr="003B6411">
        <w:rPr>
          <w:szCs w:val="24"/>
        </w:rPr>
        <w:t>235 (3d ed. 2007).</w:t>
      </w:r>
    </w:p>
  </w:endnote>
  <w:endnote w:id="238">
    <w:p w14:paraId="6ADF320D"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i/>
          <w:szCs w:val="24"/>
        </w:rPr>
        <w:t xml:space="preserve">Id. </w:t>
      </w:r>
      <w:r w:rsidRPr="003B6411">
        <w:rPr>
          <w:szCs w:val="24"/>
        </w:rPr>
        <w:t>at 235-37.</w:t>
      </w:r>
    </w:p>
  </w:endnote>
  <w:endnote w:id="239">
    <w:p w14:paraId="0F900F24"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szCs w:val="24"/>
        </w:rPr>
        <w:t>消除對婦女歧視委員會，第</w:t>
      </w:r>
      <w:r w:rsidRPr="003B6411">
        <w:rPr>
          <w:szCs w:val="24"/>
        </w:rPr>
        <w:t>21</w:t>
      </w:r>
      <w:r w:rsidRPr="003B6411">
        <w:rPr>
          <w:szCs w:val="24"/>
        </w:rPr>
        <w:t>號一般性意見：婚姻和家庭關係中的平等，第</w:t>
      </w:r>
      <w:r w:rsidRPr="003B6411">
        <w:rPr>
          <w:szCs w:val="24"/>
        </w:rPr>
        <w:t>19</w:t>
      </w:r>
      <w:r w:rsidRPr="003B6411">
        <w:rPr>
          <w:szCs w:val="24"/>
        </w:rPr>
        <w:t>段。</w:t>
      </w:r>
      <w:r w:rsidRPr="003B6411">
        <w:rPr>
          <w:szCs w:val="24"/>
        </w:rPr>
        <w:t>Committee on the Elimination of Discrimination against Women (CEDAW), CEDAW General Recommendation No. 21: Equality in Marriage and Family Relations, ¶ 19, U.N. Doc. HRI/GEN/1/Rev.9 (Vol. II), at 341 (May 27, 2008).</w:t>
      </w:r>
    </w:p>
  </w:endnote>
  <w:endnote w:id="240">
    <w:p w14:paraId="24A199A4"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i/>
          <w:szCs w:val="24"/>
        </w:rPr>
        <w:t>Id.</w:t>
      </w:r>
      <w:r w:rsidRPr="003B6411">
        <w:rPr>
          <w:szCs w:val="24"/>
        </w:rPr>
        <w:t xml:space="preserve"> ¶ 20.</w:t>
      </w:r>
    </w:p>
  </w:endnote>
  <w:endnote w:id="241">
    <w:p w14:paraId="668FFFF1"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smallCaps/>
          <w:szCs w:val="24"/>
        </w:rPr>
        <w:t xml:space="preserve">UNICEF, </w:t>
      </w:r>
      <w:r w:rsidRPr="003B6411">
        <w:rPr>
          <w:i/>
          <w:szCs w:val="24"/>
        </w:rPr>
        <w:t xml:space="preserve">supra </w:t>
      </w:r>
      <w:r w:rsidRPr="003B6411">
        <w:rPr>
          <w:szCs w:val="24"/>
        </w:rPr>
        <w:t xml:space="preserve">note </w:t>
      </w:r>
      <w:r w:rsidRPr="003B6411">
        <w:rPr>
          <w:szCs w:val="24"/>
        </w:rPr>
        <w:fldChar w:fldCharType="begin"/>
      </w:r>
      <w:r w:rsidRPr="003B6411">
        <w:rPr>
          <w:szCs w:val="24"/>
        </w:rPr>
        <w:instrText xml:space="preserve"> NOTEREF _Ref429393243 \h  \* MERGEFORMAT </w:instrText>
      </w:r>
      <w:r w:rsidRPr="003B6411">
        <w:rPr>
          <w:szCs w:val="24"/>
        </w:rPr>
      </w:r>
      <w:r w:rsidRPr="003B6411">
        <w:rPr>
          <w:szCs w:val="24"/>
        </w:rPr>
        <w:fldChar w:fldCharType="separate"/>
      </w:r>
      <w:r w:rsidR="00DA394E">
        <w:rPr>
          <w:szCs w:val="24"/>
        </w:rPr>
        <w:t>4</w:t>
      </w:r>
      <w:r w:rsidRPr="003B6411">
        <w:rPr>
          <w:szCs w:val="24"/>
        </w:rPr>
        <w:fldChar w:fldCharType="end"/>
      </w:r>
      <w:r w:rsidRPr="003B6411">
        <w:rPr>
          <w:szCs w:val="24"/>
        </w:rPr>
        <w:t>, at 237.</w:t>
      </w:r>
    </w:p>
  </w:endnote>
  <w:endnote w:id="242">
    <w:p w14:paraId="3D5AB8D0"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szCs w:val="24"/>
        </w:rPr>
        <w:t>林沛君，兒少人權向前行，臺北市，台灣展翅協會，</w:t>
      </w:r>
      <w:r w:rsidRPr="003B6411">
        <w:rPr>
          <w:szCs w:val="24"/>
        </w:rPr>
        <w:t>2015</w:t>
      </w:r>
      <w:r w:rsidRPr="003B6411">
        <w:rPr>
          <w:szCs w:val="24"/>
        </w:rPr>
        <w:t>年</w:t>
      </w:r>
      <w:r w:rsidRPr="003B6411">
        <w:rPr>
          <w:szCs w:val="24"/>
        </w:rPr>
        <w:t>4</w:t>
      </w:r>
      <w:r w:rsidRPr="003B6411">
        <w:rPr>
          <w:szCs w:val="24"/>
        </w:rPr>
        <w:t>月，頁</w:t>
      </w:r>
      <w:r w:rsidRPr="003B6411">
        <w:rPr>
          <w:szCs w:val="24"/>
        </w:rPr>
        <w:t>86</w:t>
      </w:r>
      <w:r w:rsidRPr="003B6411">
        <w:rPr>
          <w:szCs w:val="24"/>
        </w:rPr>
        <w:t>。</w:t>
      </w:r>
    </w:p>
  </w:endnote>
  <w:endnote w:id="243">
    <w:p w14:paraId="5C70CB7E"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Case No. 2-138 of 12 July 2015, Nurinskiy District Court of Karaganda oblast (Kaz.), </w:t>
      </w:r>
      <w:r w:rsidRPr="003B6411">
        <w:rPr>
          <w:i/>
          <w:szCs w:val="24"/>
        </w:rPr>
        <w:t>available at</w:t>
      </w:r>
      <w:r w:rsidRPr="003B6411">
        <w:rPr>
          <w:szCs w:val="24"/>
        </w:rPr>
        <w:t xml:space="preserve"> https://www.crin.org/en/library/legal-database/case-no-2-138-12-july-2015 (case summary) (last visited Aug. 15. 2015).</w:t>
      </w:r>
    </w:p>
  </w:endnote>
  <w:endnote w:id="244">
    <w:p w14:paraId="6E3B88FF"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AAG v. Estate of AAH, [2009] SGCA 56 (Nov. 19, 2009) (Sing.)</w:t>
      </w:r>
    </w:p>
  </w:endnote>
  <w:endnote w:id="245">
    <w:p w14:paraId="7D0391DF"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szCs w:val="24"/>
        </w:rPr>
        <w:t>同註</w:t>
      </w:r>
      <w:r w:rsidRPr="003B6411">
        <w:rPr>
          <w:szCs w:val="24"/>
        </w:rPr>
        <w:t>9</w:t>
      </w:r>
      <w:r w:rsidRPr="003B6411">
        <w:rPr>
          <w:szCs w:val="24"/>
        </w:rPr>
        <w:t>，頁</w:t>
      </w:r>
      <w:r w:rsidRPr="003B6411">
        <w:rPr>
          <w:szCs w:val="24"/>
        </w:rPr>
        <w:t>84</w:t>
      </w:r>
      <w:r w:rsidRPr="003B6411">
        <w:rPr>
          <w:szCs w:val="24"/>
        </w:rPr>
        <w:t>。</w:t>
      </w:r>
    </w:p>
  </w:endnote>
  <w:endnote w:id="246">
    <w:p w14:paraId="0D00264E"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smallCaps/>
          <w:szCs w:val="24"/>
        </w:rPr>
        <w:t xml:space="preserve">UNICEF, </w:t>
      </w:r>
      <w:r w:rsidRPr="003B6411">
        <w:rPr>
          <w:i/>
          <w:szCs w:val="24"/>
        </w:rPr>
        <w:t xml:space="preserve">supra </w:t>
      </w:r>
      <w:r w:rsidRPr="003B6411">
        <w:rPr>
          <w:szCs w:val="24"/>
        </w:rPr>
        <w:t xml:space="preserve">note </w:t>
      </w:r>
      <w:r w:rsidRPr="003B6411">
        <w:rPr>
          <w:szCs w:val="24"/>
        </w:rPr>
        <w:fldChar w:fldCharType="begin"/>
      </w:r>
      <w:r w:rsidRPr="003B6411">
        <w:rPr>
          <w:szCs w:val="24"/>
        </w:rPr>
        <w:instrText xml:space="preserve"> NOTEREF _Ref429393243 \h  \* MERGEFORMAT </w:instrText>
      </w:r>
      <w:r w:rsidRPr="003B6411">
        <w:rPr>
          <w:szCs w:val="24"/>
        </w:rPr>
      </w:r>
      <w:r w:rsidRPr="003B6411">
        <w:rPr>
          <w:szCs w:val="24"/>
        </w:rPr>
        <w:fldChar w:fldCharType="separate"/>
      </w:r>
      <w:r w:rsidR="00DA394E">
        <w:rPr>
          <w:szCs w:val="24"/>
        </w:rPr>
        <w:t>4</w:t>
      </w:r>
      <w:r w:rsidRPr="003B6411">
        <w:rPr>
          <w:szCs w:val="24"/>
        </w:rPr>
        <w:fldChar w:fldCharType="end"/>
      </w:r>
      <w:r w:rsidRPr="003B6411">
        <w:rPr>
          <w:szCs w:val="24"/>
        </w:rPr>
        <w:t>, at 231.</w:t>
      </w:r>
    </w:p>
  </w:endnote>
  <w:endnote w:id="247">
    <w:p w14:paraId="59CA2F6A"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szCs w:val="24"/>
        </w:rPr>
        <w:t>兒童權利委員會，第</w:t>
      </w:r>
      <w:r w:rsidRPr="003B6411">
        <w:rPr>
          <w:szCs w:val="24"/>
        </w:rPr>
        <w:t>13</w:t>
      </w:r>
      <w:r w:rsidRPr="003B6411">
        <w:rPr>
          <w:szCs w:val="24"/>
        </w:rPr>
        <w:t>號一般性意見「兒童免遭一切形式暴力侵害的權利」，第</w:t>
      </w:r>
      <w:r w:rsidRPr="003B6411">
        <w:rPr>
          <w:szCs w:val="24"/>
        </w:rPr>
        <w:t>3</w:t>
      </w:r>
      <w:r w:rsidRPr="003B6411">
        <w:rPr>
          <w:szCs w:val="24"/>
        </w:rPr>
        <w:t>段。</w:t>
      </w:r>
      <w:r w:rsidRPr="003B6411">
        <w:rPr>
          <w:szCs w:val="24"/>
        </w:rPr>
        <w:t>Committee on the Rights of the Child, General Comment No. 13: The Right of the Child to Freedom from All Forms of Violence, ¶ 3, U.N. Doc. CRC/C/GC/13 (Apr. 18, 2011) [hereinafter General Comment No. 13].</w:t>
      </w:r>
    </w:p>
  </w:endnote>
  <w:endnote w:id="248">
    <w:p w14:paraId="3C89CE60"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i/>
          <w:szCs w:val="24"/>
        </w:rPr>
        <w:t xml:space="preserve">Id. </w:t>
      </w:r>
      <w:r w:rsidRPr="003B6411">
        <w:rPr>
          <w:szCs w:val="24"/>
        </w:rPr>
        <w:t>¶¶ 19-32.</w:t>
      </w:r>
    </w:p>
  </w:endnote>
  <w:endnote w:id="249">
    <w:p w14:paraId="0DBEFCB0"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szCs w:val="24"/>
        </w:rPr>
        <w:t>兒童權利委員會，第</w:t>
      </w:r>
      <w:r w:rsidRPr="003B6411">
        <w:rPr>
          <w:szCs w:val="24"/>
        </w:rPr>
        <w:t>8</w:t>
      </w:r>
      <w:r w:rsidRPr="003B6411">
        <w:rPr>
          <w:szCs w:val="24"/>
        </w:rPr>
        <w:t>號一般性意見「兒童受保護免遭體罰和其他殘忍或不人道形式懲罰的權利」，第</w:t>
      </w:r>
      <w:r w:rsidRPr="003B6411">
        <w:rPr>
          <w:szCs w:val="24"/>
        </w:rPr>
        <w:t>11</w:t>
      </w:r>
      <w:r w:rsidRPr="003B6411">
        <w:rPr>
          <w:szCs w:val="24"/>
        </w:rPr>
        <w:t>段。</w:t>
      </w:r>
      <w:r w:rsidRPr="003B6411">
        <w:rPr>
          <w:szCs w:val="24"/>
        </w:rPr>
        <w:t>Committee on the Rights of the Child, General Comment No. 8: The Right of the Child to Protection from Corporal Punishment and Other Cruel or Degrading Forms of Punishment (Arts. 19; 28, Para. 2; and 37, inter alia), ¶ 11, U.N. Doc. CRC/C/GC/8 (Mar. 2, 2007).</w:t>
      </w:r>
    </w:p>
  </w:endnote>
  <w:endnote w:id="250">
    <w:p w14:paraId="72F0AE2C"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General Comment No. 13, </w:t>
      </w:r>
      <w:r w:rsidRPr="003B6411">
        <w:rPr>
          <w:i/>
          <w:szCs w:val="24"/>
        </w:rPr>
        <w:t xml:space="preserve">supra </w:t>
      </w:r>
      <w:r w:rsidRPr="003B6411">
        <w:rPr>
          <w:szCs w:val="24"/>
        </w:rPr>
        <w:t xml:space="preserve">note </w:t>
      </w:r>
      <w:r w:rsidRPr="003B6411">
        <w:rPr>
          <w:szCs w:val="24"/>
        </w:rPr>
        <w:fldChar w:fldCharType="begin"/>
      </w:r>
      <w:r w:rsidRPr="003B6411">
        <w:rPr>
          <w:szCs w:val="24"/>
        </w:rPr>
        <w:instrText xml:space="preserve"> NOTEREF _Ref430779928 \h  \* MERGEFORMAT </w:instrText>
      </w:r>
      <w:r w:rsidRPr="003B6411">
        <w:rPr>
          <w:szCs w:val="24"/>
        </w:rPr>
      </w:r>
      <w:r w:rsidRPr="003B6411">
        <w:rPr>
          <w:szCs w:val="24"/>
        </w:rPr>
        <w:fldChar w:fldCharType="separate"/>
      </w:r>
      <w:r w:rsidR="00DA394E">
        <w:rPr>
          <w:szCs w:val="24"/>
        </w:rPr>
        <w:t>1</w:t>
      </w:r>
      <w:r w:rsidRPr="003B6411">
        <w:rPr>
          <w:szCs w:val="24"/>
        </w:rPr>
        <w:fldChar w:fldCharType="end"/>
      </w:r>
      <w:r w:rsidRPr="003B6411">
        <w:rPr>
          <w:szCs w:val="24"/>
        </w:rPr>
        <w:t>, ¶ 33.</w:t>
      </w:r>
    </w:p>
  </w:endnote>
  <w:endnote w:id="251">
    <w:p w14:paraId="1656BDB5"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i/>
          <w:szCs w:val="24"/>
        </w:rPr>
        <w:t xml:space="preserve">Id. </w:t>
      </w:r>
      <w:r w:rsidRPr="003B6411">
        <w:rPr>
          <w:szCs w:val="24"/>
        </w:rPr>
        <w:t>¶ 46.</w:t>
      </w:r>
    </w:p>
  </w:endnote>
  <w:endnote w:id="252">
    <w:p w14:paraId="18B875A4" w14:textId="77777777" w:rsidR="00E856B6" w:rsidRPr="003B6411" w:rsidRDefault="00E856B6" w:rsidP="00EA57D7">
      <w:pPr>
        <w:pStyle w:val="a4"/>
        <w:jc w:val="both"/>
        <w:rPr>
          <w:rFonts w:ascii="Times New Roman" w:eastAsia="標楷體" w:hAnsi="Times New Roman"/>
          <w:sz w:val="24"/>
          <w:szCs w:val="24"/>
        </w:rPr>
      </w:pPr>
      <w:r w:rsidRPr="003B6411">
        <w:rPr>
          <w:rStyle w:val="af3"/>
          <w:rFonts w:ascii="Times New Roman" w:eastAsia="標楷體" w:hAnsi="Times New Roman"/>
          <w:sz w:val="24"/>
          <w:szCs w:val="24"/>
        </w:rPr>
        <w:endnoteRef/>
      </w:r>
      <w:r w:rsidRPr="003B6411">
        <w:rPr>
          <w:rFonts w:ascii="Times New Roman" w:eastAsia="標楷體" w:hAnsi="Times New Roman"/>
          <w:sz w:val="24"/>
          <w:szCs w:val="24"/>
        </w:rPr>
        <w:t xml:space="preserve"> </w:t>
      </w:r>
      <w:r w:rsidRPr="003B6411">
        <w:rPr>
          <w:rFonts w:ascii="Times New Roman" w:eastAsia="標楷體" w:hAnsi="Times New Roman"/>
          <w:i/>
          <w:sz w:val="24"/>
          <w:szCs w:val="24"/>
        </w:rPr>
        <w:t xml:space="preserve">Id. </w:t>
      </w:r>
      <w:r w:rsidRPr="003B6411">
        <w:rPr>
          <w:rFonts w:ascii="Times New Roman" w:eastAsia="標楷體" w:hAnsi="Times New Roman"/>
          <w:sz w:val="24"/>
          <w:szCs w:val="24"/>
        </w:rPr>
        <w:t>¶ 47.</w:t>
      </w:r>
    </w:p>
  </w:endnote>
  <w:endnote w:id="253">
    <w:p w14:paraId="7785C07C"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i/>
          <w:szCs w:val="24"/>
        </w:rPr>
        <w:t xml:space="preserve">Id. </w:t>
      </w:r>
      <w:r w:rsidRPr="003B6411">
        <w:rPr>
          <w:szCs w:val="24"/>
        </w:rPr>
        <w:t>¶¶ 48-56.</w:t>
      </w:r>
    </w:p>
  </w:endnote>
  <w:endnote w:id="254">
    <w:p w14:paraId="61363FD1"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O’Keeffe v. Ireland, App. No. 35810/09 (ECtHR, 28 January 2014).</w:t>
      </w:r>
    </w:p>
  </w:endnote>
  <w:endnote w:id="255">
    <w:p w14:paraId="793B2EFB"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The Catholic Child Welfare Society and others (Appellants) v. Various Claimants (FC) and The Institute of the Brothers of the Christian Schools and others (Respondents), [2012] UKSC 56.</w:t>
      </w:r>
    </w:p>
  </w:endnote>
  <w:endnote w:id="256">
    <w:p w14:paraId="6E864F43"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smallCaps/>
          <w:szCs w:val="24"/>
        </w:rPr>
        <w:t>Nigel Cantwell &amp; Anna Holzscheiter, A Commentary on the United Nations Convention on the Rights of the Child: Article 20. Children Deprived of Their Family Environment</w:t>
      </w:r>
      <w:r w:rsidRPr="003B6411">
        <w:rPr>
          <w:szCs w:val="24"/>
        </w:rPr>
        <w:t xml:space="preserve"> 2, 5, 28 (André Alen et al. eds., 2008).</w:t>
      </w:r>
    </w:p>
  </w:endnote>
  <w:endnote w:id="257">
    <w:p w14:paraId="319BB5C0"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szCs w:val="24"/>
        </w:rPr>
        <w:t>兒童權利委員會，第</w:t>
      </w:r>
      <w:r w:rsidRPr="003B6411">
        <w:rPr>
          <w:szCs w:val="24"/>
        </w:rPr>
        <w:t>7</w:t>
      </w:r>
      <w:r w:rsidRPr="003B6411">
        <w:rPr>
          <w:szCs w:val="24"/>
        </w:rPr>
        <w:t>屆會議報告，第</w:t>
      </w:r>
      <w:r w:rsidRPr="003B6411">
        <w:rPr>
          <w:szCs w:val="24"/>
        </w:rPr>
        <w:t>190</w:t>
      </w:r>
      <w:r w:rsidRPr="003B6411">
        <w:rPr>
          <w:szCs w:val="24"/>
        </w:rPr>
        <w:t>段。</w:t>
      </w:r>
      <w:r w:rsidRPr="003B6411">
        <w:rPr>
          <w:szCs w:val="24"/>
        </w:rPr>
        <w:t>Committee on the Rights of the Child, Report on the Seventh Session, ¶ 190, U.N. Doc. CRC/C/34 (Nov. 8, 1994).</w:t>
      </w:r>
    </w:p>
  </w:endnote>
  <w:endnote w:id="258">
    <w:p w14:paraId="3D985CB1"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szCs w:val="24"/>
        </w:rPr>
        <w:t>兒童權利委員會，第</w:t>
      </w:r>
      <w:r w:rsidRPr="003B6411">
        <w:rPr>
          <w:szCs w:val="24"/>
        </w:rPr>
        <w:t>40</w:t>
      </w:r>
      <w:r w:rsidRPr="003B6411">
        <w:rPr>
          <w:szCs w:val="24"/>
        </w:rPr>
        <w:t>屆會議報告，第</w:t>
      </w:r>
      <w:r w:rsidRPr="003B6411">
        <w:rPr>
          <w:szCs w:val="24"/>
        </w:rPr>
        <w:t>644</w:t>
      </w:r>
      <w:r w:rsidRPr="003B6411">
        <w:rPr>
          <w:szCs w:val="24"/>
        </w:rPr>
        <w:t>段。</w:t>
      </w:r>
      <w:r w:rsidRPr="003B6411">
        <w:rPr>
          <w:szCs w:val="24"/>
        </w:rPr>
        <w:t>Committee on the Rights of the Child, Report on the Fortieth Session, ¶ 644, U.N. Doc. CRC/C/153 (Mar. 17, 2006).</w:t>
      </w:r>
    </w:p>
  </w:endnote>
  <w:endnote w:id="259">
    <w:p w14:paraId="1928D941"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szCs w:val="24"/>
        </w:rPr>
        <w:t>人權委員會曾指出：「在國與國之間，甚至在一國的不同區域之間，家庭的概念</w:t>
      </w:r>
      <w:r w:rsidRPr="003B6411">
        <w:rPr>
          <w:szCs w:val="24"/>
        </w:rPr>
        <w:t xml:space="preserve"> </w:t>
      </w:r>
      <w:r w:rsidRPr="003B6411">
        <w:rPr>
          <w:szCs w:val="24"/>
        </w:rPr>
        <w:t>在某些方面不盡相同，因此不可能給這個概念下一個標準定義」。人權事務委員會，第</w:t>
      </w:r>
      <w:r w:rsidRPr="003B6411">
        <w:rPr>
          <w:szCs w:val="24"/>
        </w:rPr>
        <w:t>19</w:t>
      </w:r>
      <w:r w:rsidRPr="003B6411">
        <w:rPr>
          <w:szCs w:val="24"/>
        </w:rPr>
        <w:t>號一般性意見「第二十三條：家庭」，第</w:t>
      </w:r>
      <w:r w:rsidRPr="003B6411">
        <w:rPr>
          <w:szCs w:val="24"/>
        </w:rPr>
        <w:t>2</w:t>
      </w:r>
      <w:r w:rsidRPr="003B6411">
        <w:rPr>
          <w:szCs w:val="24"/>
        </w:rPr>
        <w:t>段。</w:t>
      </w:r>
      <w:r w:rsidRPr="003B6411">
        <w:rPr>
          <w:szCs w:val="24"/>
        </w:rPr>
        <w:t>Human Rights Committee, General Comment No. 19: Article 23: Family, ¶ 2, U.N. Doc. HRI/GEN/1/Rev.9 (Vol. I), at 198 (May 27, 2008).</w:t>
      </w:r>
    </w:p>
  </w:endnote>
  <w:endnote w:id="260">
    <w:p w14:paraId="4F235C1E"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smallCaps/>
          <w:szCs w:val="24"/>
        </w:rPr>
        <w:t xml:space="preserve">Cantwell &amp; Holzscheiter, </w:t>
      </w:r>
      <w:r w:rsidRPr="003B6411">
        <w:rPr>
          <w:i/>
          <w:szCs w:val="24"/>
        </w:rPr>
        <w:t>supra</w:t>
      </w:r>
      <w:r w:rsidRPr="003B6411">
        <w:rPr>
          <w:szCs w:val="24"/>
        </w:rPr>
        <w:t xml:space="preserve"> note </w:t>
      </w:r>
      <w:r w:rsidRPr="003B6411">
        <w:rPr>
          <w:szCs w:val="24"/>
        </w:rPr>
        <w:fldChar w:fldCharType="begin"/>
      </w:r>
      <w:r w:rsidRPr="003B6411">
        <w:rPr>
          <w:szCs w:val="24"/>
        </w:rPr>
        <w:instrText xml:space="preserve"> NOTEREF _Ref430441490 \h  \* MERGEFORMAT </w:instrText>
      </w:r>
      <w:r w:rsidRPr="003B6411">
        <w:rPr>
          <w:szCs w:val="24"/>
        </w:rPr>
      </w:r>
      <w:r w:rsidRPr="003B6411">
        <w:rPr>
          <w:szCs w:val="24"/>
        </w:rPr>
        <w:fldChar w:fldCharType="separate"/>
      </w:r>
      <w:r w:rsidR="00DA394E">
        <w:rPr>
          <w:szCs w:val="24"/>
        </w:rPr>
        <w:t>1</w:t>
      </w:r>
      <w:r w:rsidRPr="003B6411">
        <w:rPr>
          <w:szCs w:val="24"/>
        </w:rPr>
        <w:fldChar w:fldCharType="end"/>
      </w:r>
      <w:r w:rsidRPr="003B6411">
        <w:rPr>
          <w:szCs w:val="24"/>
        </w:rPr>
        <w:t>, at 39.</w:t>
      </w:r>
    </w:p>
  </w:endnote>
  <w:endnote w:id="261">
    <w:p w14:paraId="1A91CC02"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i/>
          <w:szCs w:val="24"/>
        </w:rPr>
        <w:t>Id.</w:t>
      </w:r>
      <w:r w:rsidRPr="003B6411">
        <w:rPr>
          <w:szCs w:val="24"/>
        </w:rPr>
        <w:t xml:space="preserve"> at 39-40.</w:t>
      </w:r>
    </w:p>
  </w:endnote>
  <w:endnote w:id="262">
    <w:p w14:paraId="664C2BC9"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szCs w:val="24"/>
        </w:rPr>
        <w:t>公約第</w:t>
      </w:r>
      <w:r w:rsidRPr="003B6411">
        <w:rPr>
          <w:szCs w:val="24"/>
        </w:rPr>
        <w:t>9</w:t>
      </w:r>
      <w:r w:rsidRPr="003B6411">
        <w:rPr>
          <w:szCs w:val="24"/>
        </w:rPr>
        <w:t>條第</w:t>
      </w:r>
      <w:r w:rsidRPr="003B6411">
        <w:rPr>
          <w:szCs w:val="24"/>
        </w:rPr>
        <w:t>1</w:t>
      </w:r>
      <w:r w:rsidRPr="003B6411">
        <w:rPr>
          <w:szCs w:val="24"/>
        </w:rPr>
        <w:t>項規定：「締約國應確保不違背兒童父母的意願而使兒童與父母分離。但主管機關依據所適用之法律及程序，經司法審查後，判定兒童與其父母分離係屬維護兒童最佳利益所必要者，不在此限。」</w:t>
      </w:r>
    </w:p>
  </w:endnote>
  <w:endnote w:id="263">
    <w:p w14:paraId="1338ADAA"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szCs w:val="24"/>
        </w:rPr>
        <w:t>參見公約第</w:t>
      </w:r>
      <w:r w:rsidRPr="003B6411">
        <w:rPr>
          <w:szCs w:val="24"/>
        </w:rPr>
        <w:t>25</w:t>
      </w:r>
      <w:r w:rsidRPr="003B6411">
        <w:rPr>
          <w:szCs w:val="24"/>
        </w:rPr>
        <w:t>條規定：「</w:t>
      </w:r>
      <w:r w:rsidRPr="003B6411">
        <w:rPr>
          <w:kern w:val="0"/>
        </w:rPr>
        <w:t>締約國體認為照顧、保護或治療兒童身體或心理健康之目的，而由權責單位安置之兒童，有權對於其所受之待遇，以及所受安置有關之其他一切情況，要求定期評估。</w:t>
      </w:r>
      <w:r w:rsidRPr="003B6411">
        <w:rPr>
          <w:szCs w:val="24"/>
        </w:rPr>
        <w:t>」</w:t>
      </w:r>
    </w:p>
  </w:endnote>
  <w:endnote w:id="264">
    <w:p w14:paraId="006B1EF7"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smallCaps/>
          <w:szCs w:val="24"/>
        </w:rPr>
        <w:t xml:space="preserve">Cantwell &amp; Holzscheiter, </w:t>
      </w:r>
      <w:r w:rsidRPr="003B6411">
        <w:rPr>
          <w:i/>
          <w:szCs w:val="24"/>
        </w:rPr>
        <w:t>supra</w:t>
      </w:r>
      <w:r w:rsidRPr="003B6411">
        <w:rPr>
          <w:szCs w:val="24"/>
        </w:rPr>
        <w:t xml:space="preserve"> note </w:t>
      </w:r>
      <w:r w:rsidRPr="003B6411">
        <w:rPr>
          <w:szCs w:val="24"/>
        </w:rPr>
        <w:fldChar w:fldCharType="begin"/>
      </w:r>
      <w:r w:rsidRPr="003B6411">
        <w:rPr>
          <w:szCs w:val="24"/>
        </w:rPr>
        <w:instrText xml:space="preserve"> NOTEREF _Ref430441490 \h  \* MERGEFORMAT </w:instrText>
      </w:r>
      <w:r w:rsidRPr="003B6411">
        <w:rPr>
          <w:szCs w:val="24"/>
        </w:rPr>
      </w:r>
      <w:r w:rsidRPr="003B6411">
        <w:rPr>
          <w:szCs w:val="24"/>
        </w:rPr>
        <w:fldChar w:fldCharType="separate"/>
      </w:r>
      <w:r w:rsidR="00DA394E">
        <w:rPr>
          <w:szCs w:val="24"/>
        </w:rPr>
        <w:t>1</w:t>
      </w:r>
      <w:r w:rsidRPr="003B6411">
        <w:rPr>
          <w:szCs w:val="24"/>
        </w:rPr>
        <w:fldChar w:fldCharType="end"/>
      </w:r>
      <w:r w:rsidRPr="003B6411">
        <w:rPr>
          <w:szCs w:val="24"/>
        </w:rPr>
        <w:t>, at 49-50.</w:t>
      </w:r>
    </w:p>
  </w:endnote>
  <w:endnote w:id="265">
    <w:p w14:paraId="288F92CB"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i/>
          <w:szCs w:val="24"/>
        </w:rPr>
        <w:t>Id.</w:t>
      </w:r>
      <w:r w:rsidRPr="003B6411">
        <w:rPr>
          <w:szCs w:val="24"/>
        </w:rPr>
        <w:t xml:space="preserve"> at 50.</w:t>
      </w:r>
    </w:p>
  </w:endnote>
  <w:endnote w:id="266">
    <w:p w14:paraId="26FF3DE8"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i/>
          <w:szCs w:val="24"/>
        </w:rPr>
        <w:t>Id.</w:t>
      </w:r>
      <w:r w:rsidRPr="003B6411">
        <w:rPr>
          <w:szCs w:val="24"/>
        </w:rPr>
        <w:t xml:space="preserve"> at 50-51.</w:t>
      </w:r>
    </w:p>
  </w:endnote>
  <w:endnote w:id="267">
    <w:p w14:paraId="28F6A930"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i/>
          <w:szCs w:val="24"/>
        </w:rPr>
        <w:t>Id.</w:t>
      </w:r>
      <w:r w:rsidRPr="003B6411">
        <w:rPr>
          <w:szCs w:val="24"/>
        </w:rPr>
        <w:t xml:space="preserve"> at 51.</w:t>
      </w:r>
    </w:p>
  </w:endnote>
  <w:endnote w:id="268">
    <w:p w14:paraId="19C5659A"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i/>
          <w:szCs w:val="24"/>
        </w:rPr>
        <w:t>Id.</w:t>
      </w:r>
      <w:r w:rsidRPr="003B6411">
        <w:rPr>
          <w:szCs w:val="24"/>
        </w:rPr>
        <w:t xml:space="preserve"> at 54.</w:t>
      </w:r>
    </w:p>
  </w:endnote>
  <w:endnote w:id="269">
    <w:p w14:paraId="44D787E5" w14:textId="77777777" w:rsidR="00E856B6" w:rsidRPr="003B6411" w:rsidRDefault="00E856B6" w:rsidP="00EA57D7">
      <w:pPr>
        <w:pStyle w:val="af1"/>
        <w:jc w:val="both"/>
        <w:rPr>
          <w:szCs w:val="24"/>
        </w:rPr>
      </w:pPr>
      <w:r w:rsidRPr="003B6411">
        <w:rPr>
          <w:rStyle w:val="af3"/>
        </w:rPr>
        <w:endnoteRef/>
      </w:r>
      <w:r w:rsidRPr="003B6411">
        <w:rPr>
          <w:szCs w:val="24"/>
        </w:rPr>
        <w:t xml:space="preserve"> </w:t>
      </w:r>
      <w:r w:rsidRPr="003B6411">
        <w:rPr>
          <w:szCs w:val="24"/>
        </w:rPr>
        <w:t>兒童權利委員會，關於締約國根據兒童權利公約第</w:t>
      </w:r>
      <w:r w:rsidRPr="003B6411">
        <w:rPr>
          <w:szCs w:val="24"/>
        </w:rPr>
        <w:t>44</w:t>
      </w:r>
      <w:r w:rsidRPr="003B6411">
        <w:rPr>
          <w:szCs w:val="24"/>
        </w:rPr>
        <w:t>條第</w:t>
      </w:r>
      <w:r w:rsidRPr="003B6411">
        <w:rPr>
          <w:szCs w:val="24"/>
        </w:rPr>
        <w:t>1</w:t>
      </w:r>
      <w:r w:rsidRPr="003B6411">
        <w:rPr>
          <w:szCs w:val="24"/>
        </w:rPr>
        <w:t>款</w:t>
      </w:r>
      <w:r w:rsidRPr="003B6411">
        <w:rPr>
          <w:szCs w:val="24"/>
        </w:rPr>
        <w:t>(b)</w:t>
      </w:r>
      <w:r w:rsidRPr="003B6411">
        <w:rPr>
          <w:szCs w:val="24"/>
        </w:rPr>
        <w:t>項提交的定期報告的形式和內容的條約專要準則（</w:t>
      </w:r>
      <w:r w:rsidRPr="003B6411">
        <w:rPr>
          <w:szCs w:val="24"/>
        </w:rPr>
        <w:t>1996</w:t>
      </w:r>
      <w:r w:rsidRPr="003B6411">
        <w:rPr>
          <w:szCs w:val="24"/>
        </w:rPr>
        <w:t>年版），第</w:t>
      </w:r>
      <w:r w:rsidRPr="003B6411">
        <w:rPr>
          <w:szCs w:val="24"/>
        </w:rPr>
        <w:t>80</w:t>
      </w:r>
      <w:r w:rsidRPr="003B6411">
        <w:rPr>
          <w:szCs w:val="24"/>
        </w:rPr>
        <w:t>段。</w:t>
      </w:r>
      <w:r w:rsidRPr="003B6411">
        <w:rPr>
          <w:szCs w:val="24"/>
        </w:rPr>
        <w:t>Committee on the Rights of the Child, Treaty-Specific Guidelines Regarding the Form and Content of Periodic Reports to Be Submitted by States Parties under Article 44, Paragraph 1 (b), of the Convention on the Rights of the Child, ¶ 80, U.N. Doc. CRC/C/58 (Nov. 20, 1996).</w:t>
      </w:r>
    </w:p>
  </w:endnote>
  <w:endnote w:id="270">
    <w:p w14:paraId="1B852E34"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szCs w:val="24"/>
        </w:rPr>
        <w:t>兒童權利委員會，關於締約國根據兒童權利公約第</w:t>
      </w:r>
      <w:r w:rsidRPr="003B6411">
        <w:rPr>
          <w:szCs w:val="24"/>
        </w:rPr>
        <w:t>44</w:t>
      </w:r>
      <w:r w:rsidRPr="003B6411">
        <w:rPr>
          <w:szCs w:val="24"/>
        </w:rPr>
        <w:t>條第</w:t>
      </w:r>
      <w:r w:rsidRPr="003B6411">
        <w:rPr>
          <w:szCs w:val="24"/>
        </w:rPr>
        <w:t>1</w:t>
      </w:r>
      <w:r w:rsidRPr="003B6411">
        <w:rPr>
          <w:szCs w:val="24"/>
        </w:rPr>
        <w:t>款</w:t>
      </w:r>
      <w:r w:rsidRPr="003B6411">
        <w:rPr>
          <w:szCs w:val="24"/>
        </w:rPr>
        <w:t>(b)</w:t>
      </w:r>
      <w:r w:rsidRPr="003B6411">
        <w:rPr>
          <w:szCs w:val="24"/>
        </w:rPr>
        <w:t>項提交的定期報告的形式和內容的條約專要準則（</w:t>
      </w:r>
      <w:r w:rsidRPr="003B6411">
        <w:rPr>
          <w:szCs w:val="24"/>
        </w:rPr>
        <w:t>2015</w:t>
      </w:r>
      <w:r w:rsidRPr="003B6411">
        <w:rPr>
          <w:szCs w:val="24"/>
        </w:rPr>
        <w:t>年修訂版）。</w:t>
      </w:r>
      <w:r w:rsidRPr="003B6411">
        <w:rPr>
          <w:szCs w:val="24"/>
        </w:rPr>
        <w:t>Committee on the Rights of the Child, Treaty-Specific Guidelines Regarding the Form and Content of Periodic Reports to Be Submitted by States Parties under Article 44, Paragraph 1 (b), of the Convention on the Rights of the Child, U.N. Doc. CRC/C/58/Rev.3 (Mar. 3, 2015).</w:t>
      </w:r>
    </w:p>
  </w:endnote>
  <w:endnote w:id="271">
    <w:p w14:paraId="5F4A4021"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smallCaps/>
          <w:szCs w:val="24"/>
        </w:rPr>
        <w:t xml:space="preserve">Cantwell &amp; Holzscheiter, </w:t>
      </w:r>
      <w:r w:rsidRPr="003B6411">
        <w:rPr>
          <w:i/>
          <w:szCs w:val="24"/>
        </w:rPr>
        <w:t>supra</w:t>
      </w:r>
      <w:r w:rsidRPr="003B6411">
        <w:rPr>
          <w:szCs w:val="24"/>
        </w:rPr>
        <w:t xml:space="preserve"> note </w:t>
      </w:r>
      <w:r w:rsidRPr="003B6411">
        <w:rPr>
          <w:szCs w:val="24"/>
        </w:rPr>
        <w:fldChar w:fldCharType="begin"/>
      </w:r>
      <w:r w:rsidRPr="003B6411">
        <w:rPr>
          <w:szCs w:val="24"/>
        </w:rPr>
        <w:instrText xml:space="preserve"> NOTEREF _Ref430441490 \h  \* MERGEFORMAT </w:instrText>
      </w:r>
      <w:r w:rsidRPr="003B6411">
        <w:rPr>
          <w:szCs w:val="24"/>
        </w:rPr>
      </w:r>
      <w:r w:rsidRPr="003B6411">
        <w:rPr>
          <w:szCs w:val="24"/>
        </w:rPr>
        <w:fldChar w:fldCharType="separate"/>
      </w:r>
      <w:r w:rsidR="00DA394E">
        <w:rPr>
          <w:szCs w:val="24"/>
        </w:rPr>
        <w:t>1</w:t>
      </w:r>
      <w:r w:rsidRPr="003B6411">
        <w:rPr>
          <w:szCs w:val="24"/>
        </w:rPr>
        <w:fldChar w:fldCharType="end"/>
      </w:r>
      <w:r w:rsidRPr="003B6411">
        <w:rPr>
          <w:szCs w:val="24"/>
        </w:rPr>
        <w:t>, at 55-56.</w:t>
      </w:r>
    </w:p>
  </w:endnote>
  <w:endnote w:id="272">
    <w:p w14:paraId="3E8B1784"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szCs w:val="24"/>
        </w:rPr>
        <w:t>兒童權利委員會，第</w:t>
      </w:r>
      <w:r w:rsidRPr="003B6411">
        <w:rPr>
          <w:szCs w:val="24"/>
        </w:rPr>
        <w:t>6</w:t>
      </w:r>
      <w:r w:rsidRPr="003B6411">
        <w:rPr>
          <w:szCs w:val="24"/>
        </w:rPr>
        <w:t>號一般性意見「遠離原籍國無人陪伴和無父母陪伴的兒童待遇」，第</w:t>
      </w:r>
      <w:r w:rsidRPr="003B6411">
        <w:rPr>
          <w:szCs w:val="24"/>
        </w:rPr>
        <w:t>40</w:t>
      </w:r>
      <w:r w:rsidRPr="003B6411">
        <w:rPr>
          <w:szCs w:val="24"/>
        </w:rPr>
        <w:t>段。</w:t>
      </w:r>
      <w:r w:rsidRPr="003B6411">
        <w:rPr>
          <w:szCs w:val="24"/>
        </w:rPr>
        <w:t>Committee on the Rights of the Child, General Comment No. 6: Treatment of Unaccompanied and Separated Children Outside Their Country of Origin, ¶ 40, U.N. Doc. CRC/GC/2005/6 (Sept. 1, 2005).</w:t>
      </w:r>
    </w:p>
  </w:endnote>
  <w:endnote w:id="273">
    <w:p w14:paraId="79120182"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S. R., V. R. v. Lithuania, 2009 06 26, 3K-3-314/2009, LAT, Civilinė, Nutartis (Lith.), </w:t>
      </w:r>
      <w:r w:rsidRPr="003B6411">
        <w:rPr>
          <w:i/>
          <w:szCs w:val="24"/>
        </w:rPr>
        <w:t>available at</w:t>
      </w:r>
      <w:r w:rsidRPr="003B6411">
        <w:rPr>
          <w:szCs w:val="24"/>
        </w:rPr>
        <w:t xml:space="preserve"> https://www.crin.org/en/library/legal-database/sr-vr-v-lithuania (case summary) (Sept. 15, 2015).</w:t>
      </w:r>
    </w:p>
  </w:endnote>
  <w:endnote w:id="274">
    <w:p w14:paraId="42D0E145"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State v. Tuanis [2013] PGNC 70; N5120 (Mar. 15, 2013) (Papua N.G.).</w:t>
      </w:r>
    </w:p>
  </w:endnote>
  <w:endnote w:id="275">
    <w:p w14:paraId="625EF672"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smallCaps/>
          <w:szCs w:val="24"/>
        </w:rPr>
        <w:t xml:space="preserve">Cantwell &amp; Holzscheiter, </w:t>
      </w:r>
      <w:r w:rsidRPr="003B6411">
        <w:rPr>
          <w:i/>
          <w:szCs w:val="24"/>
        </w:rPr>
        <w:t>supra</w:t>
      </w:r>
      <w:r w:rsidRPr="003B6411">
        <w:rPr>
          <w:szCs w:val="24"/>
        </w:rPr>
        <w:t xml:space="preserve"> note </w:t>
      </w:r>
      <w:r w:rsidRPr="003B6411">
        <w:rPr>
          <w:szCs w:val="24"/>
        </w:rPr>
        <w:fldChar w:fldCharType="begin"/>
      </w:r>
      <w:r w:rsidRPr="003B6411">
        <w:rPr>
          <w:szCs w:val="24"/>
        </w:rPr>
        <w:instrText xml:space="preserve"> NOTEREF _Ref430441490 \h  \* MERGEFORMAT </w:instrText>
      </w:r>
      <w:r w:rsidRPr="003B6411">
        <w:rPr>
          <w:szCs w:val="24"/>
        </w:rPr>
      </w:r>
      <w:r w:rsidRPr="003B6411">
        <w:rPr>
          <w:szCs w:val="24"/>
        </w:rPr>
        <w:fldChar w:fldCharType="separate"/>
      </w:r>
      <w:r w:rsidR="00DA394E">
        <w:rPr>
          <w:szCs w:val="24"/>
        </w:rPr>
        <w:t>1</w:t>
      </w:r>
      <w:r w:rsidRPr="003B6411">
        <w:rPr>
          <w:szCs w:val="24"/>
        </w:rPr>
        <w:fldChar w:fldCharType="end"/>
      </w:r>
      <w:r w:rsidRPr="003B6411">
        <w:rPr>
          <w:szCs w:val="24"/>
        </w:rPr>
        <w:t>, at 64.</w:t>
      </w:r>
    </w:p>
  </w:endnote>
  <w:endnote w:id="276">
    <w:p w14:paraId="70216035"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smallCaps/>
          <w:szCs w:val="24"/>
        </w:rPr>
        <w:t>Sylvain Vité &amp; Hervé Boéchat, A Commentary on the United Nations Convention on the Rights of the Child: Article 21. Adoption 19</w:t>
      </w:r>
      <w:r w:rsidRPr="003B6411">
        <w:rPr>
          <w:szCs w:val="24"/>
        </w:rPr>
        <w:t xml:space="preserve"> (André Alen et al. eds., 2008).</w:t>
      </w:r>
    </w:p>
  </w:endnote>
  <w:endnote w:id="277">
    <w:p w14:paraId="4B74C791"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szCs w:val="24"/>
        </w:rPr>
        <w:t>聯合國人權事務高級專員辦事處，兒童權利公約立法歷史，頁</w:t>
      </w:r>
      <w:r w:rsidRPr="003B6411">
        <w:rPr>
          <w:szCs w:val="24"/>
        </w:rPr>
        <w:t>504-05</w:t>
      </w:r>
      <w:r w:rsidRPr="003B6411">
        <w:rPr>
          <w:szCs w:val="24"/>
        </w:rPr>
        <w:t>。</w:t>
      </w:r>
      <w:r w:rsidRPr="003B6411">
        <w:rPr>
          <w:smallCaps/>
          <w:szCs w:val="24"/>
        </w:rPr>
        <w:t>Office of the United Nations High Commissioner for Human Rights (OHCHR), 2 Legislative History of the Convention on the Rights of the Child</w:t>
      </w:r>
      <w:r w:rsidRPr="003B6411">
        <w:rPr>
          <w:szCs w:val="24"/>
        </w:rPr>
        <w:t xml:space="preserve"> 544 (2007).</w:t>
      </w:r>
    </w:p>
  </w:endnote>
  <w:endnote w:id="278">
    <w:p w14:paraId="5A18D852"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Committee on the Rights of the Child, Concluding Observations: Jordan, ¶¶ 10-11, U.N. Doc. CRC/C/15/Add.125 (June 28, 2000).</w:t>
      </w:r>
    </w:p>
  </w:endnote>
  <w:endnote w:id="279">
    <w:p w14:paraId="062FA90B"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Committee on the Rights of the Child, Concluding Observations: Namibia, ¶ 50(a), U.N. Doc. CRC/C/NAM/CO/2-3 (Oct. 16, 2012).</w:t>
      </w:r>
    </w:p>
  </w:endnote>
  <w:endnote w:id="280">
    <w:p w14:paraId="6D74CA02"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Committee on the Rights of the Child, Concluding Observations: Panama, ¶ 31, U.N. Doc. CRC/C/15/Add.68 (Jan. 24, 1997).</w:t>
      </w:r>
    </w:p>
  </w:endnote>
  <w:endnote w:id="281">
    <w:p w14:paraId="3476A5B7"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Committee on the Rights of the Child, Concluding Observations: Saint Lucia, ¶ 48(b), U.N. Doc. CRC/C/15/Add.258 (Sept. 21, 2005).</w:t>
      </w:r>
    </w:p>
  </w:endnote>
  <w:endnote w:id="282">
    <w:p w14:paraId="46C0220A" w14:textId="77777777" w:rsidR="00E856B6" w:rsidRPr="003B6411" w:rsidRDefault="00E856B6" w:rsidP="00EA57D7">
      <w:pPr>
        <w:pStyle w:val="af1"/>
        <w:jc w:val="both"/>
        <w:rPr>
          <w:szCs w:val="24"/>
          <w:u w:val="single"/>
        </w:rPr>
      </w:pPr>
      <w:r w:rsidRPr="003B6411">
        <w:rPr>
          <w:rStyle w:val="af3"/>
          <w:szCs w:val="24"/>
        </w:rPr>
        <w:endnoteRef/>
      </w:r>
      <w:r w:rsidRPr="003B6411">
        <w:rPr>
          <w:szCs w:val="24"/>
        </w:rPr>
        <w:t xml:space="preserve"> </w:t>
      </w:r>
      <w:r w:rsidRPr="003B6411">
        <w:rPr>
          <w:smallCaps/>
          <w:szCs w:val="24"/>
        </w:rPr>
        <w:t xml:space="preserve">Vité &amp; Boéchat, </w:t>
      </w:r>
      <w:r w:rsidRPr="003B6411">
        <w:rPr>
          <w:i/>
          <w:szCs w:val="24"/>
        </w:rPr>
        <w:t xml:space="preserve">supra </w:t>
      </w:r>
      <w:r w:rsidRPr="003B6411">
        <w:rPr>
          <w:szCs w:val="24"/>
        </w:rPr>
        <w:t xml:space="preserve">note </w:t>
      </w:r>
      <w:r w:rsidRPr="003B6411">
        <w:rPr>
          <w:szCs w:val="24"/>
        </w:rPr>
        <w:fldChar w:fldCharType="begin"/>
      </w:r>
      <w:r w:rsidRPr="003B6411">
        <w:rPr>
          <w:szCs w:val="24"/>
        </w:rPr>
        <w:instrText xml:space="preserve"> NOTEREF _Ref430593177 \h  \* MERGEFORMAT </w:instrText>
      </w:r>
      <w:r w:rsidRPr="003B6411">
        <w:rPr>
          <w:szCs w:val="24"/>
        </w:rPr>
      </w:r>
      <w:r w:rsidRPr="003B6411">
        <w:rPr>
          <w:szCs w:val="24"/>
        </w:rPr>
        <w:fldChar w:fldCharType="separate"/>
      </w:r>
      <w:r w:rsidR="00DA394E">
        <w:rPr>
          <w:szCs w:val="24"/>
        </w:rPr>
        <w:t>1</w:t>
      </w:r>
      <w:r w:rsidRPr="003B6411">
        <w:rPr>
          <w:szCs w:val="24"/>
        </w:rPr>
        <w:fldChar w:fldCharType="end"/>
      </w:r>
      <w:r w:rsidRPr="003B6411">
        <w:rPr>
          <w:szCs w:val="24"/>
        </w:rPr>
        <w:t>, at 34.</w:t>
      </w:r>
    </w:p>
  </w:endnote>
  <w:endnote w:id="283">
    <w:p w14:paraId="53E6BB30"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Committee on the Rights of the Child, Concluding Observations: France, ¶ 35, U.N. Doc. CRC/C/15/Add.240 (June 30, 2004).</w:t>
      </w:r>
    </w:p>
  </w:endnote>
  <w:endnote w:id="284">
    <w:p w14:paraId="55A80D4F"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Committee on the Rights of the Child, Concluding Observations: Armenia, ¶ 38, U.N. Doc. CRC/C/15/Add.225 (Feb. 26, 2004).</w:t>
      </w:r>
    </w:p>
  </w:endnote>
  <w:endnote w:id="285">
    <w:p w14:paraId="2B13669E" w14:textId="77777777" w:rsidR="00E856B6" w:rsidRPr="003B6411" w:rsidRDefault="00E856B6" w:rsidP="00EA57D7">
      <w:pPr>
        <w:pStyle w:val="af1"/>
        <w:jc w:val="both"/>
        <w:rPr>
          <w:szCs w:val="24"/>
          <w:u w:val="single"/>
        </w:rPr>
      </w:pPr>
      <w:r w:rsidRPr="003B6411">
        <w:rPr>
          <w:rStyle w:val="af3"/>
          <w:szCs w:val="24"/>
        </w:rPr>
        <w:endnoteRef/>
      </w:r>
      <w:r w:rsidRPr="003B6411">
        <w:rPr>
          <w:szCs w:val="24"/>
        </w:rPr>
        <w:t xml:space="preserve"> </w:t>
      </w:r>
      <w:r w:rsidRPr="003B6411">
        <w:rPr>
          <w:smallCaps/>
          <w:szCs w:val="24"/>
        </w:rPr>
        <w:t xml:space="preserve">Vité &amp; Boéchat, </w:t>
      </w:r>
      <w:r w:rsidRPr="003B6411">
        <w:rPr>
          <w:i/>
          <w:szCs w:val="24"/>
        </w:rPr>
        <w:t xml:space="preserve">supra </w:t>
      </w:r>
      <w:r w:rsidRPr="003B6411">
        <w:rPr>
          <w:szCs w:val="24"/>
        </w:rPr>
        <w:t xml:space="preserve">note </w:t>
      </w:r>
      <w:r w:rsidRPr="003B6411">
        <w:rPr>
          <w:szCs w:val="24"/>
        </w:rPr>
        <w:fldChar w:fldCharType="begin"/>
      </w:r>
      <w:r w:rsidRPr="003B6411">
        <w:rPr>
          <w:szCs w:val="24"/>
        </w:rPr>
        <w:instrText xml:space="preserve"> NOTEREF _Ref430593177 \h  \* MERGEFORMAT </w:instrText>
      </w:r>
      <w:r w:rsidRPr="003B6411">
        <w:rPr>
          <w:szCs w:val="24"/>
        </w:rPr>
      </w:r>
      <w:r w:rsidRPr="003B6411">
        <w:rPr>
          <w:szCs w:val="24"/>
        </w:rPr>
        <w:fldChar w:fldCharType="separate"/>
      </w:r>
      <w:r w:rsidR="00DA394E">
        <w:rPr>
          <w:szCs w:val="24"/>
        </w:rPr>
        <w:t>1</w:t>
      </w:r>
      <w:r w:rsidRPr="003B6411">
        <w:rPr>
          <w:szCs w:val="24"/>
        </w:rPr>
        <w:fldChar w:fldCharType="end"/>
      </w:r>
      <w:r w:rsidRPr="003B6411">
        <w:rPr>
          <w:szCs w:val="24"/>
        </w:rPr>
        <w:t>, at 32.</w:t>
      </w:r>
    </w:p>
  </w:endnote>
  <w:endnote w:id="286">
    <w:p w14:paraId="225489DA"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szCs w:val="24"/>
        </w:rPr>
        <w:t>例如：第</w:t>
      </w:r>
      <w:r w:rsidRPr="003B6411">
        <w:rPr>
          <w:szCs w:val="24"/>
        </w:rPr>
        <w:t>9</w:t>
      </w:r>
      <w:r w:rsidRPr="003B6411">
        <w:rPr>
          <w:szCs w:val="24"/>
        </w:rPr>
        <w:t>條第</w:t>
      </w:r>
      <w:r w:rsidRPr="003B6411">
        <w:rPr>
          <w:szCs w:val="24"/>
        </w:rPr>
        <w:t>1</w:t>
      </w:r>
      <w:r w:rsidRPr="003B6411">
        <w:rPr>
          <w:szCs w:val="24"/>
        </w:rPr>
        <w:t>項規定：「締約國應確保不違背兒童父母的意願而使兒童與父母分離」。</w:t>
      </w:r>
    </w:p>
  </w:endnote>
  <w:endnote w:id="287">
    <w:p w14:paraId="20392A7E"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Committee on the Rights of the Child, Concluding Observations: Hungary, ¶ 34, U.N. Doc.</w:t>
      </w:r>
      <w:r w:rsidRPr="003B6411">
        <w:t xml:space="preserve"> </w:t>
      </w:r>
      <w:r w:rsidRPr="003B6411">
        <w:rPr>
          <w:szCs w:val="24"/>
        </w:rPr>
        <w:t>CRC/C/HUN/CO/2 (Mar. 17, 2006).</w:t>
      </w:r>
    </w:p>
  </w:endnote>
  <w:endnote w:id="288">
    <w:p w14:paraId="4C1FE363"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szCs w:val="24"/>
        </w:rPr>
        <w:t>例如：海牙跨國收養公約第</w:t>
      </w:r>
      <w:r w:rsidRPr="003B6411">
        <w:rPr>
          <w:szCs w:val="24"/>
        </w:rPr>
        <w:t>4</w:t>
      </w:r>
      <w:r w:rsidRPr="003B6411">
        <w:rPr>
          <w:szCs w:val="24"/>
        </w:rPr>
        <w:t>條第</w:t>
      </w:r>
      <w:r w:rsidRPr="003B6411">
        <w:rPr>
          <w:szCs w:val="24"/>
        </w:rPr>
        <w:t>2</w:t>
      </w:r>
      <w:r w:rsidRPr="003B6411">
        <w:rPr>
          <w:szCs w:val="24"/>
        </w:rPr>
        <w:t>款規定：「原住國的主管機關只有在確認符合下列條件的情況下，才能進行本公約範圍內的收養：</w:t>
      </w:r>
      <w:r w:rsidRPr="003B6411">
        <w:rPr>
          <w:szCs w:val="24"/>
        </w:rPr>
        <w:t>…</w:t>
      </w:r>
      <w:r w:rsidRPr="003B6411">
        <w:rPr>
          <w:szCs w:val="24"/>
        </w:rPr>
        <w:t>（二）</w:t>
      </w:r>
      <w:r w:rsidRPr="003B6411">
        <w:rPr>
          <w:szCs w:val="24"/>
        </w:rPr>
        <w:t xml:space="preserve"> </w:t>
      </w:r>
      <w:r w:rsidRPr="003B6411">
        <w:rPr>
          <w:szCs w:val="24"/>
        </w:rPr>
        <w:t>在充分考慮了在原住國內安置該兒童的可能性後，確認跨國收養符合兒童的最佳利益」。</w:t>
      </w:r>
    </w:p>
  </w:endnote>
  <w:endnote w:id="289">
    <w:p w14:paraId="7E632EF8"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OHCHR, </w:t>
      </w:r>
      <w:r w:rsidRPr="003B6411">
        <w:rPr>
          <w:i/>
          <w:szCs w:val="24"/>
        </w:rPr>
        <w:t xml:space="preserve">supra </w:t>
      </w:r>
      <w:r w:rsidRPr="003B6411">
        <w:rPr>
          <w:szCs w:val="24"/>
        </w:rPr>
        <w:t xml:space="preserve">note </w:t>
      </w:r>
      <w:r w:rsidRPr="003B6411">
        <w:rPr>
          <w:szCs w:val="24"/>
        </w:rPr>
        <w:fldChar w:fldCharType="begin"/>
      </w:r>
      <w:r w:rsidRPr="003B6411">
        <w:rPr>
          <w:szCs w:val="24"/>
        </w:rPr>
        <w:instrText xml:space="preserve"> NOTEREF _Ref430597074 \h  \* MERGEFORMAT </w:instrText>
      </w:r>
      <w:r w:rsidRPr="003B6411">
        <w:rPr>
          <w:szCs w:val="24"/>
        </w:rPr>
      </w:r>
      <w:r w:rsidRPr="003B6411">
        <w:rPr>
          <w:szCs w:val="24"/>
        </w:rPr>
        <w:fldChar w:fldCharType="separate"/>
      </w:r>
      <w:r w:rsidR="00DA394E">
        <w:rPr>
          <w:szCs w:val="24"/>
        </w:rPr>
        <w:t>2</w:t>
      </w:r>
      <w:r w:rsidRPr="003B6411">
        <w:rPr>
          <w:szCs w:val="24"/>
        </w:rPr>
        <w:fldChar w:fldCharType="end"/>
      </w:r>
      <w:r w:rsidRPr="003B6411">
        <w:rPr>
          <w:szCs w:val="24"/>
        </w:rPr>
        <w:t>, at 553.</w:t>
      </w:r>
    </w:p>
  </w:endnote>
  <w:endnote w:id="290">
    <w:p w14:paraId="3E0DD069"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szCs w:val="24"/>
        </w:rPr>
        <w:t>例如：海牙跨國收養公約第</w:t>
      </w:r>
      <w:r w:rsidRPr="003B6411">
        <w:rPr>
          <w:szCs w:val="24"/>
        </w:rPr>
        <w:t>32</w:t>
      </w:r>
      <w:r w:rsidRPr="003B6411">
        <w:rPr>
          <w:szCs w:val="24"/>
        </w:rPr>
        <w:t>條規定：「一、任何人不得從與跨國收養有關的活動中獲取不適當的金錢或其他收益。二、只有與收養有關的開支和花費，包括參與收養人員的合理的專業收費，可以收取或給付。三、參與收養的機構的管理人員、行政人員和僱員，不得接受與其所提供的服務不相稱的高額報酬。」。</w:t>
      </w:r>
    </w:p>
  </w:endnote>
  <w:endnote w:id="291">
    <w:p w14:paraId="330130C6"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i/>
          <w:szCs w:val="24"/>
        </w:rPr>
        <w:t>E.g.</w:t>
      </w:r>
      <w:r w:rsidRPr="003B6411">
        <w:rPr>
          <w:szCs w:val="24"/>
        </w:rPr>
        <w:t>, Committee on the Rights of the Child, Concluding Observations: Malawi, ¶ 46, U.N. Doc. CRC/C/MWI/CO/2 (Mar. 27, 2009); Committee on the Rights of the Child, Concluding Observations: Nepal, ¶ 24(e), U.N. Doc. CRC/C/OPSC/NPL/CO/1 (July 18, 2012).</w:t>
      </w:r>
    </w:p>
  </w:endnote>
  <w:endnote w:id="292">
    <w:p w14:paraId="4FB8F398" w14:textId="77777777" w:rsidR="00E856B6" w:rsidRPr="003B6411" w:rsidRDefault="00E856B6" w:rsidP="00EA57D7">
      <w:pPr>
        <w:pStyle w:val="af1"/>
        <w:jc w:val="both"/>
        <w:rPr>
          <w:szCs w:val="24"/>
          <w:u w:val="single"/>
        </w:rPr>
      </w:pPr>
      <w:r w:rsidRPr="003B6411">
        <w:rPr>
          <w:rStyle w:val="af3"/>
          <w:szCs w:val="24"/>
        </w:rPr>
        <w:endnoteRef/>
      </w:r>
      <w:r w:rsidRPr="003B6411">
        <w:rPr>
          <w:szCs w:val="24"/>
        </w:rPr>
        <w:t xml:space="preserve"> </w:t>
      </w:r>
      <w:r w:rsidRPr="003B6411">
        <w:rPr>
          <w:smallCaps/>
          <w:szCs w:val="24"/>
        </w:rPr>
        <w:t xml:space="preserve">Vité &amp; Boéchat, </w:t>
      </w:r>
      <w:r w:rsidRPr="003B6411">
        <w:rPr>
          <w:i/>
          <w:szCs w:val="24"/>
        </w:rPr>
        <w:t xml:space="preserve">supra </w:t>
      </w:r>
      <w:r w:rsidRPr="003B6411">
        <w:rPr>
          <w:szCs w:val="24"/>
        </w:rPr>
        <w:t xml:space="preserve">note </w:t>
      </w:r>
      <w:r w:rsidRPr="003B6411">
        <w:rPr>
          <w:szCs w:val="24"/>
        </w:rPr>
        <w:fldChar w:fldCharType="begin"/>
      </w:r>
      <w:r w:rsidRPr="003B6411">
        <w:rPr>
          <w:szCs w:val="24"/>
        </w:rPr>
        <w:instrText xml:space="preserve"> NOTEREF _Ref430593177 \h  \* MERGEFORMAT </w:instrText>
      </w:r>
      <w:r w:rsidRPr="003B6411">
        <w:rPr>
          <w:szCs w:val="24"/>
        </w:rPr>
      </w:r>
      <w:r w:rsidRPr="003B6411">
        <w:rPr>
          <w:szCs w:val="24"/>
        </w:rPr>
        <w:fldChar w:fldCharType="separate"/>
      </w:r>
      <w:r w:rsidR="00DA394E">
        <w:rPr>
          <w:szCs w:val="24"/>
        </w:rPr>
        <w:t>1</w:t>
      </w:r>
      <w:r w:rsidRPr="003B6411">
        <w:rPr>
          <w:szCs w:val="24"/>
        </w:rPr>
        <w:fldChar w:fldCharType="end"/>
      </w:r>
      <w:r w:rsidRPr="003B6411">
        <w:rPr>
          <w:szCs w:val="24"/>
        </w:rPr>
        <w:t>, at 57.</w:t>
      </w:r>
    </w:p>
  </w:endnote>
  <w:endnote w:id="293">
    <w:p w14:paraId="0565FBFE"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R. B. v. Public Prosecutor, Dec. 20, 2005 (Russ.), </w:t>
      </w:r>
      <w:r w:rsidRPr="003B6411">
        <w:rPr>
          <w:i/>
          <w:szCs w:val="24"/>
        </w:rPr>
        <w:t xml:space="preserve">available at </w:t>
      </w:r>
      <w:r w:rsidRPr="003B6411">
        <w:rPr>
          <w:szCs w:val="24"/>
        </w:rPr>
        <w:t>https://www.crin.org/</w:t>
      </w:r>
      <w:r w:rsidRPr="003B6411">
        <w:rPr>
          <w:szCs w:val="24"/>
        </w:rPr>
        <w:br/>
        <w:t>en/library/legal-database/rb-v-public-prosecutor (case summary) (last visited Sept. 15, 2015).</w:t>
      </w:r>
    </w:p>
  </w:endnote>
  <w:endnote w:id="294">
    <w:p w14:paraId="3480F6B9"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Saavedra v. Solicitor General, TOCA 7; AC01 of 2013 (Tonga).</w:t>
      </w:r>
    </w:p>
  </w:endnote>
  <w:endnote w:id="295">
    <w:p w14:paraId="5285DA91" w14:textId="77777777" w:rsidR="00E856B6" w:rsidRPr="003B6411" w:rsidRDefault="00E856B6" w:rsidP="00EA57D7">
      <w:pPr>
        <w:pStyle w:val="af1"/>
        <w:jc w:val="both"/>
        <w:rPr>
          <w:szCs w:val="24"/>
          <w:u w:val="single"/>
        </w:rPr>
      </w:pPr>
      <w:r w:rsidRPr="003B6411">
        <w:rPr>
          <w:rStyle w:val="af3"/>
          <w:szCs w:val="24"/>
        </w:rPr>
        <w:endnoteRef/>
      </w:r>
      <w:r w:rsidRPr="003B6411">
        <w:rPr>
          <w:szCs w:val="24"/>
        </w:rPr>
        <w:t xml:space="preserve"> </w:t>
      </w:r>
      <w:r w:rsidRPr="003B6411">
        <w:rPr>
          <w:smallCaps/>
          <w:szCs w:val="24"/>
        </w:rPr>
        <w:t xml:space="preserve">Vité &amp; Boéchat, </w:t>
      </w:r>
      <w:r w:rsidRPr="003B6411">
        <w:rPr>
          <w:i/>
          <w:szCs w:val="24"/>
        </w:rPr>
        <w:t xml:space="preserve">supra </w:t>
      </w:r>
      <w:r w:rsidRPr="003B6411">
        <w:rPr>
          <w:szCs w:val="24"/>
        </w:rPr>
        <w:t xml:space="preserve">note </w:t>
      </w:r>
      <w:r w:rsidRPr="003B6411">
        <w:rPr>
          <w:szCs w:val="24"/>
        </w:rPr>
        <w:fldChar w:fldCharType="begin"/>
      </w:r>
      <w:r w:rsidRPr="003B6411">
        <w:rPr>
          <w:szCs w:val="24"/>
        </w:rPr>
        <w:instrText xml:space="preserve"> NOTEREF _Ref430593177 \h  \* MERGEFORMAT </w:instrText>
      </w:r>
      <w:r w:rsidRPr="003B6411">
        <w:rPr>
          <w:szCs w:val="24"/>
        </w:rPr>
      </w:r>
      <w:r w:rsidRPr="003B6411">
        <w:rPr>
          <w:szCs w:val="24"/>
        </w:rPr>
        <w:fldChar w:fldCharType="separate"/>
      </w:r>
      <w:r w:rsidR="00DA394E">
        <w:rPr>
          <w:szCs w:val="24"/>
        </w:rPr>
        <w:t>1</w:t>
      </w:r>
      <w:r w:rsidRPr="003B6411">
        <w:rPr>
          <w:szCs w:val="24"/>
        </w:rPr>
        <w:fldChar w:fldCharType="end"/>
      </w:r>
      <w:r w:rsidRPr="003B6411">
        <w:rPr>
          <w:szCs w:val="24"/>
        </w:rPr>
        <w:t>, at 59.</w:t>
      </w:r>
    </w:p>
  </w:endnote>
  <w:endnote w:id="296">
    <w:p w14:paraId="741ED1D3"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smallCaps/>
          <w:szCs w:val="24"/>
        </w:rPr>
        <w:t xml:space="preserve">UNICEF, Implementation Handbook for the Convention on the Rights of the Child </w:t>
      </w:r>
      <w:r w:rsidRPr="003B6411">
        <w:rPr>
          <w:szCs w:val="24"/>
        </w:rPr>
        <w:t>305 (3d ed. 2007).</w:t>
      </w:r>
    </w:p>
  </w:endnote>
  <w:endnote w:id="297">
    <w:p w14:paraId="5D649418" w14:textId="77777777" w:rsidR="00E856B6" w:rsidRPr="003B6411" w:rsidRDefault="00E856B6" w:rsidP="00EA57D7">
      <w:pPr>
        <w:pStyle w:val="af1"/>
        <w:jc w:val="both"/>
      </w:pPr>
      <w:r w:rsidRPr="003B6411">
        <w:rPr>
          <w:rStyle w:val="af3"/>
        </w:rPr>
        <w:endnoteRef/>
      </w:r>
      <w:r w:rsidRPr="003B6411">
        <w:t xml:space="preserve"> </w:t>
      </w:r>
      <w:r w:rsidRPr="003B6411">
        <w:rPr>
          <w:szCs w:val="24"/>
        </w:rPr>
        <w:t>林沛君，兒少人權向前行，臺北市，台灣展翅協會，</w:t>
      </w:r>
      <w:r w:rsidRPr="003B6411">
        <w:rPr>
          <w:szCs w:val="24"/>
        </w:rPr>
        <w:t>2015</w:t>
      </w:r>
      <w:r w:rsidRPr="003B6411">
        <w:rPr>
          <w:szCs w:val="24"/>
        </w:rPr>
        <w:t>年</w:t>
      </w:r>
      <w:r w:rsidRPr="003B6411">
        <w:rPr>
          <w:szCs w:val="24"/>
        </w:rPr>
        <w:t>4</w:t>
      </w:r>
      <w:r w:rsidRPr="003B6411">
        <w:rPr>
          <w:szCs w:val="24"/>
        </w:rPr>
        <w:t>月，頁</w:t>
      </w:r>
      <w:r w:rsidRPr="003B6411">
        <w:rPr>
          <w:szCs w:val="24"/>
        </w:rPr>
        <w:t>106</w:t>
      </w:r>
      <w:r w:rsidRPr="003B6411">
        <w:rPr>
          <w:szCs w:val="24"/>
        </w:rPr>
        <w:t>。</w:t>
      </w:r>
    </w:p>
  </w:endnote>
  <w:endnote w:id="298">
    <w:p w14:paraId="76925414"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szCs w:val="24"/>
        </w:rPr>
        <w:t>李園會，兒童權利公約，台中市，內政部兒童局，</w:t>
      </w:r>
      <w:r w:rsidRPr="003B6411">
        <w:rPr>
          <w:szCs w:val="24"/>
        </w:rPr>
        <w:t>2000</w:t>
      </w:r>
      <w:r w:rsidRPr="003B6411">
        <w:rPr>
          <w:szCs w:val="24"/>
        </w:rPr>
        <w:t>年，頁</w:t>
      </w:r>
      <w:r w:rsidRPr="003B6411">
        <w:rPr>
          <w:szCs w:val="24"/>
        </w:rPr>
        <w:t>84</w:t>
      </w:r>
      <w:r w:rsidRPr="003B6411">
        <w:rPr>
          <w:szCs w:val="24"/>
        </w:rPr>
        <w:t>。</w:t>
      </w:r>
    </w:p>
  </w:endnote>
  <w:endnote w:id="299">
    <w:p w14:paraId="66B06AAA"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szCs w:val="24"/>
        </w:rPr>
        <w:t>兒童權利委員會，第</w:t>
      </w:r>
      <w:r w:rsidRPr="003B6411">
        <w:rPr>
          <w:szCs w:val="24"/>
        </w:rPr>
        <w:t>6</w:t>
      </w:r>
      <w:r w:rsidRPr="003B6411">
        <w:rPr>
          <w:szCs w:val="24"/>
        </w:rPr>
        <w:t>號一般性意見「遠離原籍國無人陪伴和無父母陪伴的兒童待遇」，第</w:t>
      </w:r>
      <w:r w:rsidRPr="003B6411">
        <w:rPr>
          <w:szCs w:val="24"/>
        </w:rPr>
        <w:t>74</w:t>
      </w:r>
      <w:r w:rsidRPr="003B6411">
        <w:rPr>
          <w:szCs w:val="24"/>
        </w:rPr>
        <w:t>段。</w:t>
      </w:r>
      <w:r w:rsidRPr="003B6411">
        <w:rPr>
          <w:szCs w:val="24"/>
        </w:rPr>
        <w:t>Committee on the Rights of the Child, General Comment No. 6: Treatment of Unaccompanied and Separated Children Outside Their Country of Origin, ¶ 74, U.N. Doc. CRC/GC/2005/6 (Sep. 1, 2005).</w:t>
      </w:r>
    </w:p>
  </w:endnote>
  <w:endnote w:id="300">
    <w:p w14:paraId="18F8EF13" w14:textId="77777777" w:rsidR="00E856B6" w:rsidRPr="003B6411" w:rsidRDefault="00E856B6" w:rsidP="00EA57D7">
      <w:pPr>
        <w:autoSpaceDE w:val="0"/>
        <w:autoSpaceDN w:val="0"/>
        <w:adjustRightInd w:val="0"/>
        <w:jc w:val="both"/>
        <w:rPr>
          <w:szCs w:val="24"/>
        </w:rPr>
      </w:pPr>
      <w:r w:rsidRPr="003B6411">
        <w:rPr>
          <w:rStyle w:val="af3"/>
          <w:szCs w:val="24"/>
        </w:rPr>
        <w:endnoteRef/>
      </w:r>
      <w:r w:rsidRPr="003B6411">
        <w:rPr>
          <w:szCs w:val="24"/>
        </w:rPr>
        <w:t xml:space="preserve"> Committee on the Rights of the Child, Concluding Observations: Germany, ¶ 54, U.N. Doc. CRC/C/15/Add.226 (Feb. 26, 2004).</w:t>
      </w:r>
    </w:p>
  </w:endnote>
  <w:endnote w:id="301">
    <w:p w14:paraId="20F87449"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General Comment No. 6,</w:t>
      </w:r>
      <w:r w:rsidRPr="003B6411">
        <w:rPr>
          <w:i/>
          <w:szCs w:val="24"/>
        </w:rPr>
        <w:t xml:space="preserve"> supra</w:t>
      </w:r>
      <w:r w:rsidRPr="003B6411">
        <w:rPr>
          <w:szCs w:val="24"/>
        </w:rPr>
        <w:t xml:space="preserve"> note </w:t>
      </w:r>
      <w:r w:rsidRPr="003B6411">
        <w:rPr>
          <w:szCs w:val="24"/>
        </w:rPr>
        <w:fldChar w:fldCharType="begin"/>
      </w:r>
      <w:r w:rsidRPr="003B6411">
        <w:rPr>
          <w:szCs w:val="24"/>
        </w:rPr>
        <w:instrText xml:space="preserve"> NOTEREF _Ref429395664 \h  \* MERGEFORMAT </w:instrText>
      </w:r>
      <w:r w:rsidRPr="003B6411">
        <w:rPr>
          <w:szCs w:val="24"/>
        </w:rPr>
      </w:r>
      <w:r w:rsidRPr="003B6411">
        <w:rPr>
          <w:szCs w:val="24"/>
        </w:rPr>
        <w:fldChar w:fldCharType="separate"/>
      </w:r>
      <w:r w:rsidR="00DA394E">
        <w:rPr>
          <w:szCs w:val="24"/>
        </w:rPr>
        <w:t>4</w:t>
      </w:r>
      <w:r w:rsidRPr="003B6411">
        <w:rPr>
          <w:szCs w:val="24"/>
        </w:rPr>
        <w:fldChar w:fldCharType="end"/>
      </w:r>
      <w:r w:rsidRPr="003B6411">
        <w:rPr>
          <w:szCs w:val="24"/>
        </w:rPr>
        <w:t>, ¶ 64.</w:t>
      </w:r>
    </w:p>
  </w:endnote>
  <w:endnote w:id="302">
    <w:p w14:paraId="7691D9D3"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i/>
          <w:szCs w:val="24"/>
        </w:rPr>
        <w:t>Id.</w:t>
      </w:r>
      <w:r w:rsidRPr="003B6411">
        <w:rPr>
          <w:szCs w:val="24"/>
        </w:rPr>
        <w:t xml:space="preserve"> ¶ 75.</w:t>
      </w:r>
    </w:p>
  </w:endnote>
  <w:endnote w:id="303">
    <w:p w14:paraId="545E7487"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bCs/>
          <w:szCs w:val="24"/>
        </w:rPr>
        <w:t xml:space="preserve">Mubilanzila Mayeka and Kaniki Mitunga v. Belgium, Application No. 13178/03, </w:t>
      </w:r>
      <w:r w:rsidRPr="003B6411">
        <w:rPr>
          <w:szCs w:val="24"/>
        </w:rPr>
        <w:t>2006 Eur. Ct. H.R. 1170.</w:t>
      </w:r>
    </w:p>
  </w:endnote>
  <w:endnote w:id="304">
    <w:p w14:paraId="46A94911"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C and Others v. Director of Immigration and Another, Civil Appeals No. 132-137 of 2008, Hong Kong: High Court, 21 July 2011, </w:t>
      </w:r>
      <w:r w:rsidRPr="003B6411">
        <w:rPr>
          <w:i/>
          <w:szCs w:val="24"/>
        </w:rPr>
        <w:t xml:space="preserve">available at </w:t>
      </w:r>
      <w:r w:rsidRPr="003B6411">
        <w:rPr>
          <w:szCs w:val="24"/>
        </w:rPr>
        <w:t>http://www.refworld.org/</w:t>
      </w:r>
      <w:r w:rsidRPr="003B6411">
        <w:rPr>
          <w:szCs w:val="24"/>
        </w:rPr>
        <w:br/>
        <w:t>docid/4e37ec822.html (last visited Sept. 1, 2015).</w:t>
      </w:r>
    </w:p>
  </w:endnote>
  <w:endnote w:id="305">
    <w:p w14:paraId="6764EBD6"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szCs w:val="24"/>
        </w:rPr>
        <w:t>兒童權利委員會，第</w:t>
      </w:r>
      <w:r w:rsidRPr="003B6411">
        <w:rPr>
          <w:szCs w:val="24"/>
        </w:rPr>
        <w:t>9</w:t>
      </w:r>
      <w:r w:rsidRPr="003B6411">
        <w:rPr>
          <w:szCs w:val="24"/>
        </w:rPr>
        <w:t>號一般性意見「身心障礙兒童的權利」，第</w:t>
      </w:r>
      <w:r w:rsidR="001F74FF">
        <w:rPr>
          <w:szCs w:val="24"/>
        </w:rPr>
        <w:t>11</w:t>
      </w:r>
      <w:r w:rsidRPr="003B6411">
        <w:rPr>
          <w:szCs w:val="24"/>
        </w:rPr>
        <w:t>段。</w:t>
      </w:r>
      <w:r w:rsidRPr="003B6411">
        <w:rPr>
          <w:szCs w:val="24"/>
        </w:rPr>
        <w:t>Committee on the Rights of the Child, General Comment No. 9: The Rights of Children with Disabilities, ¶ 11, U.N. Doc. CRC/C/GC/9 (Feb. 27, 2007) [hereinafter General Comment No. 9].</w:t>
      </w:r>
    </w:p>
  </w:endnote>
  <w:endnote w:id="306">
    <w:p w14:paraId="25B868B4"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szCs w:val="24"/>
        </w:rPr>
        <w:t>林沛君，兒少人權向前行，臺北市，台灣展翅協會，</w:t>
      </w:r>
      <w:r w:rsidRPr="003B6411">
        <w:rPr>
          <w:szCs w:val="24"/>
        </w:rPr>
        <w:t>2015</w:t>
      </w:r>
      <w:r w:rsidRPr="003B6411">
        <w:rPr>
          <w:szCs w:val="24"/>
        </w:rPr>
        <w:t>年</w:t>
      </w:r>
      <w:r w:rsidRPr="003B6411">
        <w:rPr>
          <w:szCs w:val="24"/>
        </w:rPr>
        <w:t>4</w:t>
      </w:r>
      <w:r w:rsidRPr="003B6411">
        <w:rPr>
          <w:szCs w:val="24"/>
        </w:rPr>
        <w:t>月，頁</w:t>
      </w:r>
      <w:r w:rsidRPr="003B6411">
        <w:rPr>
          <w:szCs w:val="24"/>
        </w:rPr>
        <w:t>109</w:t>
      </w:r>
      <w:r w:rsidRPr="003B6411">
        <w:rPr>
          <w:szCs w:val="24"/>
        </w:rPr>
        <w:t>。</w:t>
      </w:r>
    </w:p>
  </w:endnote>
  <w:endnote w:id="307">
    <w:p w14:paraId="2E9593D0"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General Comment No. 9, </w:t>
      </w:r>
      <w:r w:rsidRPr="003B6411">
        <w:rPr>
          <w:i/>
          <w:szCs w:val="24"/>
        </w:rPr>
        <w:t xml:space="preserve">supra </w:t>
      </w:r>
      <w:r w:rsidRPr="003B6411">
        <w:rPr>
          <w:szCs w:val="24"/>
        </w:rPr>
        <w:t xml:space="preserve">note </w:t>
      </w:r>
      <w:r w:rsidRPr="003B6411">
        <w:rPr>
          <w:szCs w:val="24"/>
        </w:rPr>
        <w:fldChar w:fldCharType="begin"/>
      </w:r>
      <w:r w:rsidRPr="003B6411">
        <w:rPr>
          <w:szCs w:val="24"/>
        </w:rPr>
        <w:instrText xml:space="preserve"> NOTEREF _Ref429393150 \h  \* MERGEFORMAT </w:instrText>
      </w:r>
      <w:r w:rsidRPr="003B6411">
        <w:rPr>
          <w:szCs w:val="24"/>
        </w:rPr>
      </w:r>
      <w:r w:rsidRPr="003B6411">
        <w:rPr>
          <w:szCs w:val="24"/>
        </w:rPr>
        <w:fldChar w:fldCharType="separate"/>
      </w:r>
      <w:r w:rsidR="00DA394E">
        <w:rPr>
          <w:szCs w:val="24"/>
        </w:rPr>
        <w:t>1</w:t>
      </w:r>
      <w:r w:rsidRPr="003B6411">
        <w:rPr>
          <w:szCs w:val="24"/>
        </w:rPr>
        <w:fldChar w:fldCharType="end"/>
      </w:r>
      <w:r w:rsidRPr="003B6411">
        <w:rPr>
          <w:szCs w:val="24"/>
        </w:rPr>
        <w:t>, ¶ 7.</w:t>
      </w:r>
    </w:p>
  </w:endnote>
  <w:endnote w:id="308">
    <w:p w14:paraId="3B5464E9"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i/>
          <w:szCs w:val="24"/>
        </w:rPr>
        <w:t>Id.</w:t>
      </w:r>
      <w:r w:rsidRPr="003B6411">
        <w:rPr>
          <w:szCs w:val="24"/>
        </w:rPr>
        <w:t xml:space="preserve"> ¶ 11.</w:t>
      </w:r>
    </w:p>
  </w:endnote>
  <w:endnote w:id="309">
    <w:p w14:paraId="2FB00A06"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i/>
          <w:szCs w:val="24"/>
        </w:rPr>
        <w:t>Id.</w:t>
      </w:r>
      <w:r w:rsidRPr="003B6411">
        <w:rPr>
          <w:szCs w:val="24"/>
        </w:rPr>
        <w:t xml:space="preserve"> ¶ 32.</w:t>
      </w:r>
    </w:p>
  </w:endnote>
  <w:endnote w:id="310">
    <w:p w14:paraId="0F7D57AF"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i/>
          <w:szCs w:val="24"/>
        </w:rPr>
        <w:t>Id.</w:t>
      </w:r>
      <w:r w:rsidRPr="003B6411">
        <w:rPr>
          <w:szCs w:val="24"/>
        </w:rPr>
        <w:t xml:space="preserve"> ¶ 66.</w:t>
      </w:r>
    </w:p>
  </w:endnote>
  <w:endnote w:id="311">
    <w:p w14:paraId="56997D56"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i/>
          <w:szCs w:val="24"/>
        </w:rPr>
        <w:t>Id.</w:t>
      </w:r>
      <w:r w:rsidRPr="003B6411">
        <w:rPr>
          <w:szCs w:val="24"/>
        </w:rPr>
        <w:t xml:space="preserve"> ¶ 47.</w:t>
      </w:r>
    </w:p>
  </w:endnote>
  <w:endnote w:id="312">
    <w:p w14:paraId="596A1EE3"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i/>
          <w:szCs w:val="24"/>
        </w:rPr>
        <w:t>Id.</w:t>
      </w:r>
      <w:r w:rsidRPr="003B6411">
        <w:rPr>
          <w:szCs w:val="24"/>
        </w:rPr>
        <w:t xml:space="preserve"> ¶ 3.</w:t>
      </w:r>
    </w:p>
  </w:endnote>
  <w:endnote w:id="313">
    <w:p w14:paraId="572FD1B7"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i/>
          <w:szCs w:val="24"/>
        </w:rPr>
        <w:t>Id.</w:t>
      </w:r>
      <w:r w:rsidRPr="003B6411">
        <w:rPr>
          <w:szCs w:val="24"/>
        </w:rPr>
        <w:t xml:space="preserve"> ¶ 14.</w:t>
      </w:r>
    </w:p>
  </w:endnote>
  <w:endnote w:id="314">
    <w:p w14:paraId="608D3EDB"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szCs w:val="24"/>
        </w:rPr>
        <w:t>林沛君，前引註</w:t>
      </w:r>
      <w:r w:rsidRPr="003B6411">
        <w:rPr>
          <w:szCs w:val="24"/>
        </w:rPr>
        <w:fldChar w:fldCharType="begin"/>
      </w:r>
      <w:r w:rsidRPr="003B6411">
        <w:rPr>
          <w:szCs w:val="24"/>
        </w:rPr>
        <w:instrText xml:space="preserve"> NOTEREF _Ref429373237 \h  \* MERGEFORMAT </w:instrText>
      </w:r>
      <w:r w:rsidRPr="003B6411">
        <w:rPr>
          <w:szCs w:val="24"/>
        </w:rPr>
      </w:r>
      <w:r w:rsidRPr="003B6411">
        <w:rPr>
          <w:szCs w:val="24"/>
        </w:rPr>
        <w:fldChar w:fldCharType="separate"/>
      </w:r>
      <w:r w:rsidR="00DA394E">
        <w:rPr>
          <w:szCs w:val="24"/>
        </w:rPr>
        <w:t>2</w:t>
      </w:r>
      <w:r w:rsidRPr="003B6411">
        <w:rPr>
          <w:szCs w:val="24"/>
        </w:rPr>
        <w:fldChar w:fldCharType="end"/>
      </w:r>
      <w:r w:rsidRPr="003B6411">
        <w:rPr>
          <w:szCs w:val="24"/>
        </w:rPr>
        <w:t>，頁</w:t>
      </w:r>
      <w:r w:rsidRPr="003B6411">
        <w:rPr>
          <w:szCs w:val="24"/>
        </w:rPr>
        <w:t>111</w:t>
      </w:r>
      <w:r w:rsidRPr="003B6411">
        <w:rPr>
          <w:szCs w:val="24"/>
        </w:rPr>
        <w:t>。</w:t>
      </w:r>
    </w:p>
  </w:endnote>
  <w:endnote w:id="315">
    <w:p w14:paraId="25B14E8C"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General Comment No. 9, </w:t>
      </w:r>
      <w:r w:rsidRPr="003B6411">
        <w:rPr>
          <w:i/>
          <w:szCs w:val="24"/>
        </w:rPr>
        <w:t>supra</w:t>
      </w:r>
      <w:r w:rsidRPr="003B6411">
        <w:rPr>
          <w:szCs w:val="24"/>
        </w:rPr>
        <w:t xml:space="preserve"> note </w:t>
      </w:r>
      <w:r w:rsidRPr="003B6411">
        <w:rPr>
          <w:szCs w:val="24"/>
        </w:rPr>
        <w:fldChar w:fldCharType="begin"/>
      </w:r>
      <w:r w:rsidRPr="003B6411">
        <w:rPr>
          <w:szCs w:val="24"/>
        </w:rPr>
        <w:instrText xml:space="preserve"> NOTEREF _Ref429393150 \h  \* MERGEFORMAT </w:instrText>
      </w:r>
      <w:r w:rsidRPr="003B6411">
        <w:rPr>
          <w:szCs w:val="24"/>
        </w:rPr>
      </w:r>
      <w:r w:rsidRPr="003B6411">
        <w:rPr>
          <w:szCs w:val="24"/>
        </w:rPr>
        <w:fldChar w:fldCharType="separate"/>
      </w:r>
      <w:r w:rsidR="00DA394E">
        <w:rPr>
          <w:szCs w:val="24"/>
        </w:rPr>
        <w:t>1</w:t>
      </w:r>
      <w:r w:rsidRPr="003B6411">
        <w:rPr>
          <w:szCs w:val="24"/>
        </w:rPr>
        <w:fldChar w:fldCharType="end"/>
      </w:r>
      <w:r w:rsidRPr="003B6411">
        <w:rPr>
          <w:szCs w:val="24"/>
        </w:rPr>
        <w:t>, ¶ 24.</w:t>
      </w:r>
    </w:p>
  </w:endnote>
  <w:endnote w:id="316">
    <w:p w14:paraId="1E1F156C"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On the Compliance of the Provision Contained in Section 7, Part One of the Law “On the State Social Allowances” (“if the referred to person is not employed (is not deemed to be an employee or self-employed person in accordance with the Law On State Social Insurance)”) with Section 91 and 110 of the Constitution of the Republic of Latvia, Case No. 2006-08-01 (Feb. 11, 2007) (Lat.).</w:t>
      </w:r>
    </w:p>
  </w:endnote>
  <w:endnote w:id="317">
    <w:p w14:paraId="29858B6E"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Western Cape Forum for Intellectual Disability v. Government of the Republic of South Africa &amp; Another 2011 (5) SA 87 (WCC) (S. Afr.).</w:t>
      </w:r>
    </w:p>
  </w:endnote>
  <w:endnote w:id="318">
    <w:p w14:paraId="0342C179"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General Comment No. 9, </w:t>
      </w:r>
      <w:r w:rsidRPr="003B6411">
        <w:rPr>
          <w:i/>
          <w:szCs w:val="24"/>
        </w:rPr>
        <w:t xml:space="preserve">supra </w:t>
      </w:r>
      <w:r w:rsidRPr="003B6411">
        <w:rPr>
          <w:szCs w:val="24"/>
        </w:rPr>
        <w:t xml:space="preserve">note </w:t>
      </w:r>
      <w:r w:rsidRPr="003B6411">
        <w:rPr>
          <w:szCs w:val="24"/>
        </w:rPr>
        <w:fldChar w:fldCharType="begin"/>
      </w:r>
      <w:r w:rsidRPr="003B6411">
        <w:rPr>
          <w:szCs w:val="24"/>
        </w:rPr>
        <w:instrText xml:space="preserve"> NOTEREF _Ref429393150 \h  \* MERGEFORMAT </w:instrText>
      </w:r>
      <w:r w:rsidRPr="003B6411">
        <w:rPr>
          <w:szCs w:val="24"/>
        </w:rPr>
      </w:r>
      <w:r w:rsidRPr="003B6411">
        <w:rPr>
          <w:szCs w:val="24"/>
        </w:rPr>
        <w:fldChar w:fldCharType="separate"/>
      </w:r>
      <w:r w:rsidR="00DA394E">
        <w:rPr>
          <w:szCs w:val="24"/>
        </w:rPr>
        <w:t>1</w:t>
      </w:r>
      <w:r w:rsidRPr="003B6411">
        <w:rPr>
          <w:szCs w:val="24"/>
        </w:rPr>
        <w:fldChar w:fldCharType="end"/>
      </w:r>
      <w:r w:rsidRPr="003B6411">
        <w:rPr>
          <w:szCs w:val="24"/>
        </w:rPr>
        <w:t>, ¶ 9.</w:t>
      </w:r>
    </w:p>
  </w:endnote>
  <w:endnote w:id="319">
    <w:p w14:paraId="3304EF83"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i/>
          <w:szCs w:val="24"/>
        </w:rPr>
        <w:t>Id.</w:t>
      </w:r>
      <w:r w:rsidRPr="003B6411">
        <w:rPr>
          <w:szCs w:val="24"/>
        </w:rPr>
        <w:t xml:space="preserve"> ¶ 5.</w:t>
      </w:r>
    </w:p>
  </w:endnote>
  <w:endnote w:id="320">
    <w:p w14:paraId="5F65430A"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i/>
          <w:szCs w:val="24"/>
        </w:rPr>
        <w:t>Id.</w:t>
      </w:r>
      <w:r w:rsidRPr="003B6411">
        <w:rPr>
          <w:szCs w:val="24"/>
        </w:rPr>
        <w:t xml:space="preserve"> ¶ 337.</w:t>
      </w:r>
    </w:p>
  </w:endnote>
  <w:endnote w:id="321">
    <w:p w14:paraId="4AC9CE4B"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szCs w:val="24"/>
        </w:rPr>
        <w:t>林沛君，前引註</w:t>
      </w:r>
      <w:r w:rsidRPr="003B6411">
        <w:rPr>
          <w:szCs w:val="24"/>
        </w:rPr>
        <w:fldChar w:fldCharType="begin"/>
      </w:r>
      <w:r w:rsidRPr="003B6411">
        <w:rPr>
          <w:szCs w:val="24"/>
        </w:rPr>
        <w:instrText xml:space="preserve"> NOTEREF _Ref429373237 \h  \* MERGEFORMAT </w:instrText>
      </w:r>
      <w:r w:rsidRPr="003B6411">
        <w:rPr>
          <w:szCs w:val="24"/>
        </w:rPr>
      </w:r>
      <w:r w:rsidRPr="003B6411">
        <w:rPr>
          <w:szCs w:val="24"/>
        </w:rPr>
        <w:fldChar w:fldCharType="separate"/>
      </w:r>
      <w:r w:rsidR="00DA394E">
        <w:rPr>
          <w:szCs w:val="24"/>
        </w:rPr>
        <w:t>2</w:t>
      </w:r>
      <w:r w:rsidRPr="003B6411">
        <w:rPr>
          <w:szCs w:val="24"/>
        </w:rPr>
        <w:fldChar w:fldCharType="end"/>
      </w:r>
      <w:r w:rsidRPr="003B6411">
        <w:rPr>
          <w:szCs w:val="24"/>
        </w:rPr>
        <w:t>，頁</w:t>
      </w:r>
      <w:r w:rsidRPr="003B6411">
        <w:rPr>
          <w:szCs w:val="24"/>
        </w:rPr>
        <w:t>108</w:t>
      </w:r>
      <w:r w:rsidRPr="003B6411">
        <w:rPr>
          <w:szCs w:val="24"/>
        </w:rPr>
        <w:t>。</w:t>
      </w:r>
    </w:p>
  </w:endnote>
  <w:endnote w:id="322">
    <w:p w14:paraId="3AFBF028"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szCs w:val="24"/>
        </w:rPr>
        <w:t>兒童權利委員會，第</w:t>
      </w:r>
      <w:r w:rsidRPr="003B6411">
        <w:rPr>
          <w:szCs w:val="24"/>
        </w:rPr>
        <w:t>15</w:t>
      </w:r>
      <w:r w:rsidRPr="003B6411">
        <w:rPr>
          <w:szCs w:val="24"/>
        </w:rPr>
        <w:t>號一般性意見「關於兒童享有可達到的最高標準健康的權利問題」，第</w:t>
      </w:r>
      <w:r w:rsidRPr="003B6411">
        <w:rPr>
          <w:szCs w:val="24"/>
        </w:rPr>
        <w:t>8</w:t>
      </w:r>
      <w:r w:rsidRPr="003B6411">
        <w:rPr>
          <w:szCs w:val="24"/>
        </w:rPr>
        <w:t>段。</w:t>
      </w:r>
      <w:r w:rsidRPr="003B6411">
        <w:rPr>
          <w:szCs w:val="24"/>
        </w:rPr>
        <w:t>Committee on the Rights of the Child, General Comment No.15 on the Right of the Child to the Enjoyment of the Highest Attainable Standard of Health (Art. 24), ¶ 8, U.N. Doc. CRC/C/GC/15 (Apr. 17, 2013) [hereinafter General Comment No. 15].</w:t>
      </w:r>
    </w:p>
  </w:endnote>
  <w:endnote w:id="323">
    <w:p w14:paraId="6E39115C"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szCs w:val="24"/>
        </w:rPr>
        <w:t>林沛君，兒少人權向前行，臺北市，台灣展翅協會，</w:t>
      </w:r>
      <w:r w:rsidRPr="003B6411">
        <w:rPr>
          <w:szCs w:val="24"/>
        </w:rPr>
        <w:t>2015</w:t>
      </w:r>
      <w:r w:rsidRPr="003B6411">
        <w:rPr>
          <w:szCs w:val="24"/>
        </w:rPr>
        <w:t>年</w:t>
      </w:r>
      <w:r w:rsidRPr="003B6411">
        <w:rPr>
          <w:szCs w:val="24"/>
        </w:rPr>
        <w:t>4</w:t>
      </w:r>
      <w:r w:rsidRPr="003B6411">
        <w:rPr>
          <w:szCs w:val="24"/>
        </w:rPr>
        <w:t>月，頁</w:t>
      </w:r>
      <w:r w:rsidRPr="003B6411">
        <w:rPr>
          <w:szCs w:val="24"/>
        </w:rPr>
        <w:t>115</w:t>
      </w:r>
      <w:r w:rsidRPr="003B6411">
        <w:rPr>
          <w:szCs w:val="24"/>
        </w:rPr>
        <w:t>。</w:t>
      </w:r>
    </w:p>
  </w:endnote>
  <w:endnote w:id="324">
    <w:p w14:paraId="1E5BE6AB"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General Comment No. 15, </w:t>
      </w:r>
      <w:r w:rsidRPr="003B6411">
        <w:rPr>
          <w:i/>
          <w:szCs w:val="24"/>
        </w:rPr>
        <w:t xml:space="preserve">supra </w:t>
      </w:r>
      <w:r w:rsidRPr="003B6411">
        <w:rPr>
          <w:szCs w:val="24"/>
        </w:rPr>
        <w:t xml:space="preserve">note </w:t>
      </w:r>
      <w:r w:rsidRPr="003B6411">
        <w:rPr>
          <w:szCs w:val="24"/>
        </w:rPr>
        <w:fldChar w:fldCharType="begin"/>
      </w:r>
      <w:r w:rsidRPr="003B6411">
        <w:rPr>
          <w:szCs w:val="24"/>
        </w:rPr>
        <w:instrText xml:space="preserve"> NOTEREF _Ref429396282 \h  \* MERGEFORMAT </w:instrText>
      </w:r>
      <w:r w:rsidRPr="003B6411">
        <w:rPr>
          <w:szCs w:val="24"/>
        </w:rPr>
      </w:r>
      <w:r w:rsidRPr="003B6411">
        <w:rPr>
          <w:szCs w:val="24"/>
        </w:rPr>
        <w:fldChar w:fldCharType="separate"/>
      </w:r>
      <w:r w:rsidR="00DA394E">
        <w:rPr>
          <w:szCs w:val="24"/>
        </w:rPr>
        <w:t>1</w:t>
      </w:r>
      <w:r w:rsidRPr="003B6411">
        <w:rPr>
          <w:szCs w:val="24"/>
        </w:rPr>
        <w:fldChar w:fldCharType="end"/>
      </w:r>
      <w:r w:rsidRPr="003B6411">
        <w:rPr>
          <w:szCs w:val="24"/>
        </w:rPr>
        <w:t>, ¶ 23.</w:t>
      </w:r>
    </w:p>
  </w:endnote>
  <w:endnote w:id="325">
    <w:p w14:paraId="46ACE57E"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i/>
          <w:szCs w:val="24"/>
        </w:rPr>
        <w:t>Id.</w:t>
      </w:r>
      <w:r w:rsidRPr="003B6411">
        <w:rPr>
          <w:szCs w:val="24"/>
        </w:rPr>
        <w:t xml:space="preserve"> ¶ 24.</w:t>
      </w:r>
    </w:p>
  </w:endnote>
  <w:endnote w:id="326">
    <w:p w14:paraId="71ECF587"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i/>
          <w:szCs w:val="24"/>
        </w:rPr>
        <w:t>Id.</w:t>
      </w:r>
      <w:r w:rsidRPr="003B6411">
        <w:rPr>
          <w:szCs w:val="24"/>
        </w:rPr>
        <w:t xml:space="preserve"> ¶ 31.</w:t>
      </w:r>
    </w:p>
  </w:endnote>
  <w:endnote w:id="327">
    <w:p w14:paraId="2A942552"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i/>
          <w:szCs w:val="24"/>
        </w:rPr>
        <w:t>Id.</w:t>
      </w:r>
      <w:r w:rsidRPr="003B6411">
        <w:rPr>
          <w:szCs w:val="24"/>
        </w:rPr>
        <w:t xml:space="preserve"> ¶ 61.</w:t>
      </w:r>
    </w:p>
  </w:endnote>
  <w:endnote w:id="328">
    <w:p w14:paraId="10687636"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szCs w:val="24"/>
        </w:rPr>
        <w:t>消除對婦女歧視委員會，第</w:t>
      </w:r>
      <w:r w:rsidRPr="003B6411">
        <w:rPr>
          <w:szCs w:val="24"/>
        </w:rPr>
        <w:t>24</w:t>
      </w:r>
      <w:r w:rsidRPr="003B6411">
        <w:rPr>
          <w:szCs w:val="24"/>
        </w:rPr>
        <w:t>號一般性意見：公約第</w:t>
      </w:r>
      <w:r w:rsidRPr="003B6411">
        <w:rPr>
          <w:szCs w:val="24"/>
        </w:rPr>
        <w:t>12</w:t>
      </w:r>
      <w:r w:rsidRPr="003B6411">
        <w:rPr>
          <w:szCs w:val="24"/>
        </w:rPr>
        <w:t>條（婦女和保健），第</w:t>
      </w:r>
      <w:r w:rsidRPr="003B6411">
        <w:rPr>
          <w:szCs w:val="24"/>
        </w:rPr>
        <w:t>27</w:t>
      </w:r>
      <w:r w:rsidRPr="003B6411">
        <w:rPr>
          <w:szCs w:val="24"/>
        </w:rPr>
        <w:t>段。</w:t>
      </w:r>
      <w:r w:rsidRPr="003B6411">
        <w:rPr>
          <w:szCs w:val="24"/>
        </w:rPr>
        <w:t>Committee on the Elimination of Discrimination against Women, General Recommendation No. 24: Article 12 of the Convention (Women and Health), ¶ 27, U.N. Doc. HRI/GEN/1/Rev.9 (Vol. II), at 363 (May 27, 2008).</w:t>
      </w:r>
    </w:p>
  </w:endnote>
  <w:endnote w:id="329">
    <w:p w14:paraId="128BAAAB"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151 Ns 169/11; Criminal Matter of Defendant Dr K, May 7, 2012 (Landgericht Koeln [Regional Court of Cologne]) (Ger.), </w:t>
      </w:r>
      <w:r w:rsidRPr="003B6411">
        <w:rPr>
          <w:i/>
          <w:szCs w:val="24"/>
        </w:rPr>
        <w:t xml:space="preserve">available at </w:t>
      </w:r>
      <w:r w:rsidRPr="003B6411">
        <w:rPr>
          <w:szCs w:val="24"/>
        </w:rPr>
        <w:t>https://www.crin.org/en/library/legal-database/151-ns-169/11-criminal-matter-defendant-dr-k (case summary) (last visited Sept. 1, 2015).</w:t>
      </w:r>
    </w:p>
  </w:endnote>
  <w:endnote w:id="330">
    <w:p w14:paraId="131F2CAE"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G.A. Res. 67/146, U.N. Doc. A/RES/67/146 (Dec. 20, 2012).</w:t>
      </w:r>
    </w:p>
  </w:endnote>
  <w:endnote w:id="331">
    <w:p w14:paraId="2E01B86C"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i/>
          <w:szCs w:val="24"/>
        </w:rPr>
        <w:t>See</w:t>
      </w:r>
      <w:r w:rsidRPr="003B6411">
        <w:rPr>
          <w:szCs w:val="24"/>
        </w:rPr>
        <w:t xml:space="preserve"> World Health Organization, Female Genital Mutilation (Fact Sheet N°241, Feb. 2014), http://www.who.int/mediacentre/factsheets/fs241/en/ (last visited Sept. 6, 2015); Emma Bonino, Banning Female Genital Mutilation, </w:t>
      </w:r>
      <w:r w:rsidRPr="003B6411">
        <w:rPr>
          <w:smallCaps/>
          <w:szCs w:val="24"/>
        </w:rPr>
        <w:t>The Int’l Herald Tribune</w:t>
      </w:r>
      <w:r w:rsidRPr="003B6411">
        <w:rPr>
          <w:szCs w:val="24"/>
        </w:rPr>
        <w:t xml:space="preserve">, Dec. 19, 2012, </w:t>
      </w:r>
      <w:r w:rsidRPr="003B6411">
        <w:rPr>
          <w:i/>
          <w:szCs w:val="24"/>
        </w:rPr>
        <w:t xml:space="preserve">available at </w:t>
      </w:r>
      <w:r w:rsidRPr="003B6411">
        <w:rPr>
          <w:szCs w:val="24"/>
        </w:rPr>
        <w:t>http://www.nytimes.com/2012/12/20/opinion/global/banning-female-genital-mutilation.html (last visited Sept. 6, 2015).</w:t>
      </w:r>
    </w:p>
  </w:endnote>
  <w:endnote w:id="332">
    <w:p w14:paraId="130CDD54"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General Comment No. 15, </w:t>
      </w:r>
      <w:r w:rsidRPr="003B6411">
        <w:rPr>
          <w:i/>
          <w:szCs w:val="24"/>
        </w:rPr>
        <w:t xml:space="preserve">supra </w:t>
      </w:r>
      <w:r w:rsidRPr="003B6411">
        <w:rPr>
          <w:szCs w:val="24"/>
        </w:rPr>
        <w:t xml:space="preserve">note </w:t>
      </w:r>
      <w:r w:rsidRPr="003B6411">
        <w:rPr>
          <w:szCs w:val="24"/>
        </w:rPr>
        <w:fldChar w:fldCharType="begin"/>
      </w:r>
      <w:r w:rsidRPr="003B6411">
        <w:rPr>
          <w:szCs w:val="24"/>
        </w:rPr>
        <w:instrText xml:space="preserve"> NOTEREF _Ref429396282 \h  \* MERGEFORMAT </w:instrText>
      </w:r>
      <w:r w:rsidRPr="003B6411">
        <w:rPr>
          <w:szCs w:val="24"/>
        </w:rPr>
      </w:r>
      <w:r w:rsidRPr="003B6411">
        <w:rPr>
          <w:szCs w:val="24"/>
        </w:rPr>
        <w:fldChar w:fldCharType="separate"/>
      </w:r>
      <w:r w:rsidR="00DA394E">
        <w:rPr>
          <w:szCs w:val="24"/>
        </w:rPr>
        <w:t>1</w:t>
      </w:r>
      <w:r w:rsidRPr="003B6411">
        <w:rPr>
          <w:szCs w:val="24"/>
        </w:rPr>
        <w:fldChar w:fldCharType="end"/>
      </w:r>
      <w:r w:rsidRPr="003B6411">
        <w:rPr>
          <w:szCs w:val="24"/>
        </w:rPr>
        <w:t>, ¶ 2.</w:t>
      </w:r>
    </w:p>
  </w:endnote>
  <w:endnote w:id="333">
    <w:p w14:paraId="6F93AE0A"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szCs w:val="24"/>
        </w:rPr>
        <w:t>林沛君，兒少人權向前行，臺北市，台灣展翅協會，</w:t>
      </w:r>
      <w:r w:rsidRPr="003B6411">
        <w:rPr>
          <w:szCs w:val="24"/>
        </w:rPr>
        <w:t>2015</w:t>
      </w:r>
      <w:r w:rsidRPr="003B6411">
        <w:rPr>
          <w:szCs w:val="24"/>
        </w:rPr>
        <w:t>年</w:t>
      </w:r>
      <w:r w:rsidRPr="003B6411">
        <w:rPr>
          <w:szCs w:val="24"/>
        </w:rPr>
        <w:t>4</w:t>
      </w:r>
      <w:r w:rsidRPr="003B6411">
        <w:rPr>
          <w:szCs w:val="24"/>
        </w:rPr>
        <w:t>月，頁</w:t>
      </w:r>
      <w:r w:rsidRPr="003B6411">
        <w:rPr>
          <w:szCs w:val="24"/>
        </w:rPr>
        <w:t>118</w:t>
      </w:r>
      <w:r w:rsidRPr="003B6411">
        <w:rPr>
          <w:szCs w:val="24"/>
        </w:rPr>
        <w:t>。</w:t>
      </w:r>
    </w:p>
  </w:endnote>
  <w:endnote w:id="334">
    <w:p w14:paraId="0F889D43"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smallCaps/>
          <w:kern w:val="0"/>
          <w:szCs w:val="24"/>
        </w:rPr>
        <w:t>UNICEF, Implementation Handbook for the Convention on the Rights of the Child 380</w:t>
      </w:r>
      <w:r w:rsidRPr="003B6411">
        <w:rPr>
          <w:kern w:val="0"/>
          <w:szCs w:val="24"/>
        </w:rPr>
        <w:t xml:space="preserve"> (3d ed. 2007).</w:t>
      </w:r>
    </w:p>
  </w:endnote>
  <w:endnote w:id="335">
    <w:p w14:paraId="0705CEE9"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i/>
          <w:szCs w:val="24"/>
        </w:rPr>
        <w:t xml:space="preserve">Id. </w:t>
      </w:r>
      <w:r w:rsidRPr="003B6411">
        <w:rPr>
          <w:szCs w:val="24"/>
        </w:rPr>
        <w:t>at 380.</w:t>
      </w:r>
    </w:p>
  </w:endnote>
  <w:endnote w:id="336">
    <w:p w14:paraId="04DF83A2"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i/>
          <w:szCs w:val="24"/>
        </w:rPr>
        <w:t>Id.</w:t>
      </w:r>
    </w:p>
  </w:endnote>
  <w:endnote w:id="337">
    <w:p w14:paraId="0DC9A02B"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szCs w:val="24"/>
        </w:rPr>
        <w:t>兒童權利委員會，第</w:t>
      </w:r>
      <w:r w:rsidRPr="003B6411">
        <w:rPr>
          <w:szCs w:val="24"/>
        </w:rPr>
        <w:t>40</w:t>
      </w:r>
      <w:r w:rsidRPr="003B6411">
        <w:rPr>
          <w:szCs w:val="24"/>
        </w:rPr>
        <w:t>屆會議報告，第</w:t>
      </w:r>
      <w:r w:rsidRPr="003B6411">
        <w:rPr>
          <w:szCs w:val="24"/>
        </w:rPr>
        <w:t>663-64</w:t>
      </w:r>
      <w:r w:rsidRPr="003B6411">
        <w:rPr>
          <w:szCs w:val="24"/>
        </w:rPr>
        <w:t>段。</w:t>
      </w:r>
      <w:r w:rsidRPr="003B6411">
        <w:rPr>
          <w:szCs w:val="24"/>
        </w:rPr>
        <w:t>Committee on the Rights of the Child, Report on the Fortieth Session, ¶¶ 663-64, U.N. Doc. CRC/C/153 (Mar. 17, 2006).</w:t>
      </w:r>
    </w:p>
  </w:endnote>
  <w:endnote w:id="338">
    <w:p w14:paraId="0B123B96"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i/>
          <w:szCs w:val="24"/>
        </w:rPr>
        <w:t xml:space="preserve">Id. </w:t>
      </w:r>
      <w:r w:rsidRPr="003B6411">
        <w:rPr>
          <w:szCs w:val="24"/>
        </w:rPr>
        <w:t>¶¶ 667, 669.</w:t>
      </w:r>
    </w:p>
  </w:endnote>
  <w:endnote w:id="339">
    <w:p w14:paraId="5584922D"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smallCaps/>
          <w:kern w:val="0"/>
          <w:szCs w:val="24"/>
        </w:rPr>
        <w:t xml:space="preserve">UNICEF, </w:t>
      </w:r>
      <w:r w:rsidRPr="003B6411">
        <w:rPr>
          <w:i/>
          <w:szCs w:val="24"/>
        </w:rPr>
        <w:t>supra</w:t>
      </w:r>
      <w:r w:rsidRPr="003B6411">
        <w:rPr>
          <w:szCs w:val="24"/>
        </w:rPr>
        <w:t xml:space="preserve"> note </w:t>
      </w:r>
      <w:r w:rsidRPr="003B6411">
        <w:rPr>
          <w:szCs w:val="24"/>
        </w:rPr>
        <w:fldChar w:fldCharType="begin"/>
      </w:r>
      <w:r w:rsidRPr="003B6411">
        <w:rPr>
          <w:szCs w:val="24"/>
        </w:rPr>
        <w:instrText xml:space="preserve"> NOTEREF _Ref427444670 \h  \* MERGEFORMAT </w:instrText>
      </w:r>
      <w:r w:rsidRPr="003B6411">
        <w:rPr>
          <w:szCs w:val="24"/>
        </w:rPr>
      </w:r>
      <w:r w:rsidRPr="003B6411">
        <w:rPr>
          <w:szCs w:val="24"/>
        </w:rPr>
        <w:fldChar w:fldCharType="separate"/>
      </w:r>
      <w:r w:rsidR="00DA394E">
        <w:rPr>
          <w:szCs w:val="24"/>
        </w:rPr>
        <w:t>2</w:t>
      </w:r>
      <w:r w:rsidRPr="003B6411">
        <w:rPr>
          <w:szCs w:val="24"/>
        </w:rPr>
        <w:fldChar w:fldCharType="end"/>
      </w:r>
      <w:r w:rsidRPr="003B6411">
        <w:rPr>
          <w:szCs w:val="24"/>
        </w:rPr>
        <w:t>, at 382.</w:t>
      </w:r>
    </w:p>
  </w:endnote>
  <w:endnote w:id="340">
    <w:p w14:paraId="59E8BA63"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Roda and Bonfatti v. Italy, App. No. 10427/02, </w:t>
      </w:r>
      <w:r w:rsidRPr="003B6411">
        <w:rPr>
          <w:i/>
          <w:szCs w:val="24"/>
        </w:rPr>
        <w:t>available at</w:t>
      </w:r>
      <w:r w:rsidRPr="003B6411">
        <w:rPr>
          <w:szCs w:val="24"/>
        </w:rPr>
        <w:t xml:space="preserve"> https://www.crin.org/en/</w:t>
      </w:r>
      <w:r w:rsidRPr="003B6411">
        <w:rPr>
          <w:szCs w:val="24"/>
        </w:rPr>
        <w:br/>
        <w:t>library/legal-database/roda-and-bonfatti-v-italy (case summary) (last visited Aug. 15, 2015).</w:t>
      </w:r>
    </w:p>
  </w:endnote>
  <w:endnote w:id="341">
    <w:p w14:paraId="50435356"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Corte Suprema de Justicia de la Nación [CSJN] [National Supreme Court of Justice], 21/12/2010, P. 918. XLIII, “Recurso de Hecho.” (Arg.), </w:t>
      </w:r>
      <w:r w:rsidRPr="003B6411">
        <w:rPr>
          <w:i/>
          <w:szCs w:val="24"/>
        </w:rPr>
        <w:t>available at</w:t>
      </w:r>
      <w:r w:rsidRPr="003B6411">
        <w:rPr>
          <w:szCs w:val="24"/>
        </w:rPr>
        <w:t xml:space="preserve"> https://www.crin.</w:t>
      </w:r>
      <w:r w:rsidRPr="003B6411">
        <w:rPr>
          <w:szCs w:val="24"/>
        </w:rPr>
        <w:br/>
        <w:t>org/en/library/legal-database/p-918-xliii-recurso-de-hecho (case summary) (last visited Aug. 15, 2015).</w:t>
      </w:r>
    </w:p>
  </w:endnote>
  <w:endnote w:id="342">
    <w:p w14:paraId="41E0EF3F" w14:textId="77777777" w:rsidR="00E856B6" w:rsidRPr="003B6411" w:rsidRDefault="00E856B6" w:rsidP="00EA57D7">
      <w:pPr>
        <w:pStyle w:val="af1"/>
        <w:jc w:val="both"/>
      </w:pPr>
      <w:r w:rsidRPr="003B6411">
        <w:rPr>
          <w:rStyle w:val="af3"/>
        </w:rPr>
        <w:endnoteRef/>
      </w:r>
      <w:r w:rsidRPr="003B6411">
        <w:t xml:space="preserve"> Wouter Vandenhole, </w:t>
      </w:r>
      <w:r w:rsidRPr="003B6411">
        <w:rPr>
          <w:smallCaps/>
          <w:szCs w:val="24"/>
        </w:rPr>
        <w:t xml:space="preserve">A Commentary on the United Nations Convention on the Rights of the Child: Article 26. The Right to Benefit from Social Security </w:t>
      </w:r>
      <w:r w:rsidRPr="003B6411">
        <w:t xml:space="preserve">15 </w:t>
      </w:r>
      <w:r w:rsidRPr="003B6411">
        <w:rPr>
          <w:szCs w:val="24"/>
        </w:rPr>
        <w:t xml:space="preserve">(André Alen et al. eds., 2007); </w:t>
      </w:r>
      <w:r w:rsidRPr="003B6411">
        <w:rPr>
          <w:smallCaps/>
          <w:szCs w:val="24"/>
        </w:rPr>
        <w:t>UNICEF, Implementation Handbook for the Convention on the Rights of the Child</w:t>
      </w:r>
      <w:r w:rsidRPr="003B6411">
        <w:rPr>
          <w:szCs w:val="24"/>
        </w:rPr>
        <w:t xml:space="preserve"> 385 (3d. 2007).</w:t>
      </w:r>
    </w:p>
  </w:endnote>
  <w:endnote w:id="343">
    <w:p w14:paraId="6D471807" w14:textId="77777777" w:rsidR="00E856B6" w:rsidRPr="003B6411" w:rsidRDefault="00E856B6" w:rsidP="00EA57D7">
      <w:pPr>
        <w:pStyle w:val="af1"/>
        <w:jc w:val="both"/>
      </w:pPr>
      <w:r w:rsidRPr="003B6411">
        <w:rPr>
          <w:rStyle w:val="af3"/>
        </w:rPr>
        <w:endnoteRef/>
      </w:r>
      <w:r w:rsidRPr="003B6411">
        <w:t xml:space="preserve"> </w:t>
      </w:r>
      <w:r w:rsidRPr="003B6411">
        <w:t>林沛君，兒少人權向前行，臺北市，台灣展翅協會，</w:t>
      </w:r>
      <w:r w:rsidRPr="003B6411">
        <w:t>2015</w:t>
      </w:r>
      <w:r w:rsidRPr="003B6411">
        <w:t>年</w:t>
      </w:r>
      <w:r w:rsidRPr="003B6411">
        <w:t>4</w:t>
      </w:r>
      <w:r w:rsidRPr="003B6411">
        <w:t>月，頁</w:t>
      </w:r>
      <w:r w:rsidRPr="003B6411">
        <w:t>121</w:t>
      </w:r>
      <w:r w:rsidRPr="003B6411">
        <w:t>。</w:t>
      </w:r>
    </w:p>
  </w:endnote>
  <w:endnote w:id="344">
    <w:p w14:paraId="5B71C412" w14:textId="77777777" w:rsidR="00E856B6" w:rsidRPr="003B6411" w:rsidRDefault="00E856B6" w:rsidP="00EA57D7">
      <w:pPr>
        <w:pStyle w:val="af1"/>
        <w:jc w:val="both"/>
      </w:pPr>
      <w:r w:rsidRPr="003B6411">
        <w:rPr>
          <w:rStyle w:val="af3"/>
        </w:rPr>
        <w:endnoteRef/>
      </w:r>
      <w:r w:rsidRPr="003B6411">
        <w:rPr>
          <w:szCs w:val="24"/>
        </w:rPr>
        <w:t xml:space="preserve"> </w:t>
      </w:r>
      <w:r w:rsidRPr="003B6411">
        <w:rPr>
          <w:szCs w:val="24"/>
        </w:rPr>
        <w:t>聯合國人權事務高級專員辦事處，兒童權利公約立法歷史，頁</w:t>
      </w:r>
      <w:r w:rsidR="00E9358F">
        <w:rPr>
          <w:szCs w:val="24"/>
        </w:rPr>
        <w:t>612-17</w:t>
      </w:r>
      <w:r w:rsidRPr="003B6411">
        <w:rPr>
          <w:szCs w:val="24"/>
        </w:rPr>
        <w:t>。</w:t>
      </w:r>
      <w:r w:rsidRPr="003B6411">
        <w:rPr>
          <w:smallCaps/>
          <w:szCs w:val="24"/>
        </w:rPr>
        <w:t>Office of the United Nations High Commissioner for Human Rights, 2 Legislative History of the Convention on the Rights of the Child</w:t>
      </w:r>
      <w:r w:rsidRPr="003B6411">
        <w:rPr>
          <w:szCs w:val="24"/>
        </w:rPr>
        <w:t xml:space="preserve"> 612-17 (2007).</w:t>
      </w:r>
    </w:p>
  </w:endnote>
  <w:endnote w:id="345">
    <w:p w14:paraId="367BC660" w14:textId="77777777" w:rsidR="00E856B6" w:rsidRPr="003B6411" w:rsidRDefault="00E856B6" w:rsidP="00EA57D7">
      <w:pPr>
        <w:pStyle w:val="af1"/>
        <w:jc w:val="both"/>
      </w:pPr>
      <w:r w:rsidRPr="003B6411">
        <w:rPr>
          <w:rStyle w:val="af3"/>
        </w:rPr>
        <w:endnoteRef/>
      </w:r>
      <w:r w:rsidRPr="003B6411">
        <w:t xml:space="preserve"> </w:t>
      </w:r>
      <w:r w:rsidRPr="003B6411">
        <w:t>同註</w:t>
      </w:r>
      <w:r w:rsidRPr="003B6411">
        <w:fldChar w:fldCharType="begin"/>
      </w:r>
      <w:r w:rsidRPr="003B6411">
        <w:instrText xml:space="preserve"> NOTEREF _Ref430781089 \h  \* MERGEFORMAT </w:instrText>
      </w:r>
      <w:r w:rsidRPr="003B6411">
        <w:fldChar w:fldCharType="separate"/>
      </w:r>
      <w:r w:rsidR="00DA394E">
        <w:t>2</w:t>
      </w:r>
      <w:r w:rsidRPr="003B6411">
        <w:fldChar w:fldCharType="end"/>
      </w:r>
      <w:r w:rsidRPr="003B6411">
        <w:t>，頁</w:t>
      </w:r>
      <w:r w:rsidRPr="003B6411">
        <w:t>122</w:t>
      </w:r>
      <w:r w:rsidRPr="003B6411">
        <w:t>。</w:t>
      </w:r>
    </w:p>
  </w:endnote>
  <w:endnote w:id="346">
    <w:p w14:paraId="45761090" w14:textId="77777777" w:rsidR="00E856B6" w:rsidRPr="003B6411" w:rsidRDefault="00E856B6" w:rsidP="00EA57D7">
      <w:pPr>
        <w:pStyle w:val="af1"/>
        <w:jc w:val="both"/>
      </w:pPr>
      <w:r w:rsidRPr="003B6411">
        <w:rPr>
          <w:rStyle w:val="af3"/>
        </w:rPr>
        <w:endnoteRef/>
      </w:r>
      <w:r w:rsidRPr="003B6411">
        <w:t xml:space="preserve"> UNICEF, </w:t>
      </w:r>
      <w:r w:rsidRPr="003B6411">
        <w:rPr>
          <w:i/>
        </w:rPr>
        <w:t xml:space="preserve">supra </w:t>
      </w:r>
      <w:r w:rsidRPr="003B6411">
        <w:t xml:space="preserve">note </w:t>
      </w:r>
      <w:r w:rsidRPr="003B6411">
        <w:fldChar w:fldCharType="begin"/>
      </w:r>
      <w:r w:rsidRPr="003B6411">
        <w:instrText xml:space="preserve"> NOTEREF _Ref430781081 \h  \* MERGEFORMAT </w:instrText>
      </w:r>
      <w:r w:rsidRPr="003B6411">
        <w:fldChar w:fldCharType="separate"/>
      </w:r>
      <w:r w:rsidR="00DA394E">
        <w:t>1</w:t>
      </w:r>
      <w:r w:rsidRPr="003B6411">
        <w:fldChar w:fldCharType="end"/>
      </w:r>
      <w:r w:rsidRPr="003B6411">
        <w:t>, at 389.</w:t>
      </w:r>
    </w:p>
  </w:endnote>
  <w:endnote w:id="347">
    <w:p w14:paraId="5D664D49" w14:textId="77777777" w:rsidR="00E856B6" w:rsidRPr="003B6411" w:rsidRDefault="00E856B6" w:rsidP="00EA57D7">
      <w:pPr>
        <w:pStyle w:val="af1"/>
        <w:jc w:val="both"/>
      </w:pPr>
      <w:r w:rsidRPr="003B6411">
        <w:rPr>
          <w:rStyle w:val="af3"/>
        </w:rPr>
        <w:endnoteRef/>
      </w:r>
      <w:r w:rsidRPr="003B6411">
        <w:t xml:space="preserve"> </w:t>
      </w:r>
      <w:r w:rsidRPr="003B6411">
        <w:rPr>
          <w:i/>
        </w:rPr>
        <w:t>Id.</w:t>
      </w:r>
      <w:r w:rsidRPr="003B6411">
        <w:t xml:space="preserve"> at 390.</w:t>
      </w:r>
    </w:p>
  </w:endnote>
  <w:endnote w:id="348">
    <w:p w14:paraId="38AFD5B7" w14:textId="77777777" w:rsidR="00E856B6" w:rsidRPr="003B6411" w:rsidRDefault="00E856B6" w:rsidP="00EA57D7">
      <w:pPr>
        <w:pStyle w:val="af1"/>
        <w:jc w:val="both"/>
      </w:pPr>
      <w:r w:rsidRPr="003B6411">
        <w:rPr>
          <w:rStyle w:val="af3"/>
        </w:rPr>
        <w:endnoteRef/>
      </w:r>
      <w:r w:rsidRPr="003B6411">
        <w:t xml:space="preserve"> </w:t>
      </w:r>
      <w:r w:rsidRPr="003B6411">
        <w:t>同註</w:t>
      </w:r>
      <w:r w:rsidRPr="003B6411">
        <w:fldChar w:fldCharType="begin"/>
      </w:r>
      <w:r w:rsidRPr="003B6411">
        <w:instrText xml:space="preserve"> NOTEREF _Ref430781089 \h  \* MERGEFORMAT </w:instrText>
      </w:r>
      <w:r w:rsidRPr="003B6411">
        <w:fldChar w:fldCharType="separate"/>
      </w:r>
      <w:r w:rsidR="00DA394E">
        <w:t>2</w:t>
      </w:r>
      <w:r w:rsidRPr="003B6411">
        <w:fldChar w:fldCharType="end"/>
      </w:r>
      <w:r w:rsidRPr="003B6411">
        <w:t>，頁</w:t>
      </w:r>
      <w:r w:rsidRPr="003B6411">
        <w:t>122</w:t>
      </w:r>
      <w:r w:rsidRPr="003B6411">
        <w:t>。</w:t>
      </w:r>
    </w:p>
  </w:endnote>
  <w:endnote w:id="349">
    <w:p w14:paraId="4CA6B269" w14:textId="77777777" w:rsidR="00E856B6" w:rsidRPr="003B6411" w:rsidRDefault="00E856B6" w:rsidP="00E577BC">
      <w:pPr>
        <w:pStyle w:val="af1"/>
        <w:jc w:val="both"/>
      </w:pPr>
      <w:r w:rsidRPr="003B6411">
        <w:rPr>
          <w:rStyle w:val="af3"/>
        </w:rPr>
        <w:endnoteRef/>
      </w:r>
      <w:r w:rsidRPr="003B6411">
        <w:t xml:space="preserve"> On the Compliance of that Paragraph of Section 1 of the Law “Amendments to the Law on State Social Allowances” by which a New Item has been Incorporated into the State Social Allowances Law as well as the Compliance of its Section 2 with Section 110 of the Republic of Latvia Satversme (Constitution), No. 2006-07-01 (Lat.), </w:t>
      </w:r>
      <w:r w:rsidRPr="003B6411">
        <w:rPr>
          <w:i/>
        </w:rPr>
        <w:t xml:space="preserve">available at </w:t>
      </w:r>
      <w:r w:rsidRPr="003B6411">
        <w:t>http://www.worldlii.org/cgi-bin/sinodisp/pt/cases/PTCC/2011/2.html (case summary) (last visited Sept. 15, 2015).</w:t>
      </w:r>
    </w:p>
  </w:endnote>
  <w:endnote w:id="350">
    <w:p w14:paraId="32173352" w14:textId="77777777" w:rsidR="00E856B6" w:rsidRPr="003B6411" w:rsidRDefault="00E856B6" w:rsidP="00EA57D7">
      <w:pPr>
        <w:pStyle w:val="af1"/>
        <w:jc w:val="both"/>
      </w:pPr>
      <w:r w:rsidRPr="003B6411">
        <w:rPr>
          <w:rStyle w:val="af3"/>
        </w:rPr>
        <w:endnoteRef/>
      </w:r>
      <w:r w:rsidRPr="003B6411">
        <w:t xml:space="preserve"> Ruling No. 54/11, [2011] PTCC 2; 54/2011 (Port.), </w:t>
      </w:r>
      <w:r w:rsidRPr="003B6411">
        <w:rPr>
          <w:i/>
        </w:rPr>
        <w:t xml:space="preserve">available at </w:t>
      </w:r>
      <w:r w:rsidRPr="003B6411">
        <w:t>http://www.worldlii.</w:t>
      </w:r>
      <w:r w:rsidRPr="003B6411">
        <w:br/>
        <w:t>org/cgi-bin/sinodisp/pt/cases/PTCC/2011/2.html (case summary) (last visited Sept. 15, 2015).</w:t>
      </w:r>
    </w:p>
  </w:endnote>
  <w:endnote w:id="351">
    <w:p w14:paraId="3F18AE13"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smallCaps/>
          <w:szCs w:val="24"/>
        </w:rPr>
        <w:t>Asbjørn Eide, A Commentary on the United Nations Convention on the Rights of the Child: Article 27. The Right to an Adequate Standard of Living</w:t>
      </w:r>
      <w:r w:rsidRPr="003B6411">
        <w:rPr>
          <w:szCs w:val="24"/>
        </w:rPr>
        <w:t xml:space="preserve"> 1 (André Alen et al. eds., 2006).</w:t>
      </w:r>
    </w:p>
  </w:endnote>
  <w:endnote w:id="352">
    <w:p w14:paraId="30DAEE36"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szCs w:val="24"/>
        </w:rPr>
        <w:t>林沛君，兒少人權向前行，臺北市，台灣展翅協會，</w:t>
      </w:r>
      <w:r w:rsidRPr="003B6411">
        <w:rPr>
          <w:szCs w:val="24"/>
        </w:rPr>
        <w:t>2015</w:t>
      </w:r>
      <w:r w:rsidRPr="003B6411">
        <w:rPr>
          <w:szCs w:val="24"/>
        </w:rPr>
        <w:t>年</w:t>
      </w:r>
      <w:r w:rsidRPr="003B6411">
        <w:rPr>
          <w:szCs w:val="24"/>
        </w:rPr>
        <w:t>4</w:t>
      </w:r>
      <w:r w:rsidRPr="003B6411">
        <w:rPr>
          <w:szCs w:val="24"/>
        </w:rPr>
        <w:t>月，頁</w:t>
      </w:r>
      <w:r w:rsidRPr="003B6411">
        <w:rPr>
          <w:szCs w:val="24"/>
        </w:rPr>
        <w:t>124</w:t>
      </w:r>
      <w:r w:rsidRPr="003B6411">
        <w:rPr>
          <w:szCs w:val="24"/>
        </w:rPr>
        <w:t>。</w:t>
      </w:r>
    </w:p>
  </w:endnote>
  <w:endnote w:id="353">
    <w:p w14:paraId="59F16941"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smallCaps/>
          <w:szCs w:val="24"/>
        </w:rPr>
        <w:t xml:space="preserve">UNICEF, Implementation Handbook for the Convention on the Rights of the Child 393-94 </w:t>
      </w:r>
      <w:r w:rsidRPr="003B6411">
        <w:rPr>
          <w:szCs w:val="24"/>
        </w:rPr>
        <w:t>(3d. 2007).</w:t>
      </w:r>
    </w:p>
  </w:endnote>
  <w:endnote w:id="354">
    <w:p w14:paraId="1D5FC213"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szCs w:val="24"/>
        </w:rPr>
        <w:t>經濟社會文化權利委員會，第</w:t>
      </w:r>
      <w:r w:rsidRPr="003B6411">
        <w:rPr>
          <w:szCs w:val="24"/>
        </w:rPr>
        <w:t>7</w:t>
      </w:r>
      <w:r w:rsidRPr="003B6411">
        <w:rPr>
          <w:szCs w:val="24"/>
        </w:rPr>
        <w:t>號一般性意見「第十一條第一項：適當住房權</w:t>
      </w:r>
      <w:r w:rsidRPr="003B6411">
        <w:rPr>
          <w:szCs w:val="24"/>
        </w:rPr>
        <w:t>—</w:t>
      </w:r>
      <w:r w:rsidRPr="003B6411">
        <w:rPr>
          <w:szCs w:val="24"/>
        </w:rPr>
        <w:t>強制驅逐」。</w:t>
      </w:r>
      <w:r w:rsidRPr="003B6411">
        <w:rPr>
          <w:szCs w:val="24"/>
        </w:rPr>
        <w:t>Committee on Economic, Social and Cultural Rights, General Comment No. 7: The Right to Adequate Housing (Art. 11 (1) of the Covenant): Forced Evictions, U.N. Doc. HRI/GEN/1/Rev.9 (Vol. I), at 38 (May 27, 2008).</w:t>
      </w:r>
    </w:p>
  </w:endnote>
  <w:endnote w:id="355">
    <w:p w14:paraId="7DA5161C"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szCs w:val="24"/>
        </w:rPr>
        <w:t>經濟社會文化權利委員會，第</w:t>
      </w:r>
      <w:r w:rsidRPr="003B6411">
        <w:rPr>
          <w:szCs w:val="24"/>
        </w:rPr>
        <w:t>12</w:t>
      </w:r>
      <w:r w:rsidRPr="003B6411">
        <w:rPr>
          <w:szCs w:val="24"/>
        </w:rPr>
        <w:t>號一般性意見「第十一條：取得適當食物的權利」。</w:t>
      </w:r>
      <w:r w:rsidRPr="003B6411">
        <w:rPr>
          <w:szCs w:val="24"/>
        </w:rPr>
        <w:t>Committee on Economic, Social and Cultural Rights, General Comment No. 12: The Right to Adequate Food (Art. 11), U.N. Doc. E/C.12/1999/5 (May 12, 1999).</w:t>
      </w:r>
    </w:p>
  </w:endnote>
  <w:endnote w:id="356">
    <w:p w14:paraId="414E2DC0"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smallCaps/>
          <w:szCs w:val="24"/>
        </w:rPr>
        <w:t xml:space="preserve">Eide, </w:t>
      </w:r>
      <w:r w:rsidRPr="003B6411">
        <w:rPr>
          <w:i/>
          <w:szCs w:val="24"/>
        </w:rPr>
        <w:t xml:space="preserve">supra </w:t>
      </w:r>
      <w:r w:rsidRPr="003B6411">
        <w:rPr>
          <w:szCs w:val="24"/>
        </w:rPr>
        <w:t xml:space="preserve">note </w:t>
      </w:r>
      <w:r w:rsidRPr="003B6411">
        <w:rPr>
          <w:szCs w:val="24"/>
        </w:rPr>
        <w:fldChar w:fldCharType="begin"/>
      </w:r>
      <w:r w:rsidRPr="003B6411">
        <w:rPr>
          <w:szCs w:val="24"/>
        </w:rPr>
        <w:instrText xml:space="preserve"> NOTEREF _Ref430681615 \h  \* MERGEFORMAT </w:instrText>
      </w:r>
      <w:r w:rsidRPr="003B6411">
        <w:rPr>
          <w:szCs w:val="24"/>
        </w:rPr>
      </w:r>
      <w:r w:rsidRPr="003B6411">
        <w:rPr>
          <w:szCs w:val="24"/>
        </w:rPr>
        <w:fldChar w:fldCharType="separate"/>
      </w:r>
      <w:r w:rsidR="00DA394E">
        <w:rPr>
          <w:szCs w:val="24"/>
        </w:rPr>
        <w:t>1</w:t>
      </w:r>
      <w:r w:rsidRPr="003B6411">
        <w:rPr>
          <w:szCs w:val="24"/>
        </w:rPr>
        <w:fldChar w:fldCharType="end"/>
      </w:r>
      <w:r w:rsidRPr="003B6411">
        <w:rPr>
          <w:szCs w:val="24"/>
        </w:rPr>
        <w:t>, at 17.</w:t>
      </w:r>
    </w:p>
  </w:endnote>
  <w:endnote w:id="357">
    <w:p w14:paraId="6F3E0912"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szCs w:val="24"/>
        </w:rPr>
        <w:t>兒童權利委員會，第</w:t>
      </w:r>
      <w:r w:rsidRPr="003B6411">
        <w:rPr>
          <w:szCs w:val="24"/>
        </w:rPr>
        <w:t>7</w:t>
      </w:r>
      <w:r w:rsidRPr="003B6411">
        <w:rPr>
          <w:szCs w:val="24"/>
        </w:rPr>
        <w:t>號一般性意見「在幼兒期落實兒童權利」，第</w:t>
      </w:r>
      <w:r w:rsidRPr="003B6411">
        <w:rPr>
          <w:szCs w:val="24"/>
        </w:rPr>
        <w:t>26</w:t>
      </w:r>
      <w:r w:rsidRPr="003B6411">
        <w:rPr>
          <w:szCs w:val="24"/>
        </w:rPr>
        <w:t>段。</w:t>
      </w:r>
      <w:r w:rsidRPr="003B6411">
        <w:rPr>
          <w:szCs w:val="24"/>
        </w:rPr>
        <w:t>Committee on the Rights of the Child, General Comment No. 7: Implementing Child Rights in Early Childhood, ¶ 26, U.N. Doc. CRC/C/GC/7/Rev.1 (Sept. 20, 2006).</w:t>
      </w:r>
    </w:p>
  </w:endnote>
  <w:endnote w:id="358">
    <w:p w14:paraId="39EEEE14"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i/>
          <w:szCs w:val="24"/>
        </w:rPr>
        <w:t>Id.</w:t>
      </w:r>
    </w:p>
  </w:endnote>
  <w:endnote w:id="359">
    <w:p w14:paraId="1E303688"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smallCaps/>
          <w:szCs w:val="24"/>
        </w:rPr>
        <w:t xml:space="preserve">Eide, </w:t>
      </w:r>
      <w:r w:rsidRPr="003B6411">
        <w:rPr>
          <w:i/>
          <w:szCs w:val="24"/>
        </w:rPr>
        <w:t xml:space="preserve">supra </w:t>
      </w:r>
      <w:r w:rsidRPr="003B6411">
        <w:rPr>
          <w:szCs w:val="24"/>
        </w:rPr>
        <w:t xml:space="preserve">note </w:t>
      </w:r>
      <w:r w:rsidRPr="003B6411">
        <w:rPr>
          <w:szCs w:val="24"/>
        </w:rPr>
        <w:fldChar w:fldCharType="begin"/>
      </w:r>
      <w:r w:rsidRPr="003B6411">
        <w:rPr>
          <w:szCs w:val="24"/>
        </w:rPr>
        <w:instrText xml:space="preserve"> NOTEREF _Ref430681615 \h  \* MERGEFORMAT </w:instrText>
      </w:r>
      <w:r w:rsidRPr="003B6411">
        <w:rPr>
          <w:szCs w:val="24"/>
        </w:rPr>
      </w:r>
      <w:r w:rsidRPr="003B6411">
        <w:rPr>
          <w:szCs w:val="24"/>
        </w:rPr>
        <w:fldChar w:fldCharType="separate"/>
      </w:r>
      <w:r w:rsidR="00DA394E">
        <w:rPr>
          <w:szCs w:val="24"/>
        </w:rPr>
        <w:t>1</w:t>
      </w:r>
      <w:r w:rsidRPr="003B6411">
        <w:rPr>
          <w:szCs w:val="24"/>
        </w:rPr>
        <w:fldChar w:fldCharType="end"/>
      </w:r>
      <w:r w:rsidRPr="003B6411">
        <w:rPr>
          <w:szCs w:val="24"/>
        </w:rPr>
        <w:t>, at 19-20.</w:t>
      </w:r>
    </w:p>
  </w:endnote>
  <w:endnote w:id="360">
    <w:p w14:paraId="3AA8BAE6"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i/>
          <w:szCs w:val="24"/>
        </w:rPr>
        <w:t>Id.</w:t>
      </w:r>
      <w:r w:rsidRPr="003B6411">
        <w:rPr>
          <w:szCs w:val="24"/>
        </w:rPr>
        <w:t xml:space="preserve"> at 22.</w:t>
      </w:r>
    </w:p>
  </w:endnote>
  <w:endnote w:id="361">
    <w:p w14:paraId="7616EBEF"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szCs w:val="24"/>
        </w:rPr>
        <w:t>兒童權利委員會，第</w:t>
      </w:r>
      <w:r w:rsidRPr="003B6411">
        <w:rPr>
          <w:szCs w:val="24"/>
        </w:rPr>
        <w:t>6</w:t>
      </w:r>
      <w:r w:rsidRPr="003B6411">
        <w:rPr>
          <w:szCs w:val="24"/>
        </w:rPr>
        <w:t>號一般性意見「遠離原籍國無人陪伴和無父母陪伴的兒童待遇」，第</w:t>
      </w:r>
      <w:r w:rsidRPr="003B6411">
        <w:rPr>
          <w:szCs w:val="24"/>
        </w:rPr>
        <w:t>44</w:t>
      </w:r>
      <w:r w:rsidRPr="003B6411">
        <w:rPr>
          <w:szCs w:val="24"/>
        </w:rPr>
        <w:t>段。</w:t>
      </w:r>
      <w:r w:rsidRPr="003B6411">
        <w:rPr>
          <w:szCs w:val="24"/>
        </w:rPr>
        <w:t>Committee on the Rights of the Child, General Comment No. 6: Treatment of Unaccompanied and Separated Children Outside Their Country of Origin, ¶ 44, U.N. Doc. CRC/GC/2005/6 (Sept. 1, 2005).</w:t>
      </w:r>
    </w:p>
  </w:endnote>
  <w:endnote w:id="362">
    <w:p w14:paraId="68661C9E"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szCs w:val="24"/>
        </w:rPr>
        <w:t>兒童權利委員會，第</w:t>
      </w:r>
      <w:r w:rsidRPr="003B6411">
        <w:rPr>
          <w:szCs w:val="24"/>
        </w:rPr>
        <w:t>5</w:t>
      </w:r>
      <w:r w:rsidRPr="003B6411">
        <w:rPr>
          <w:szCs w:val="24"/>
        </w:rPr>
        <w:t>號一般性意見「執行兒童權利公約的一般措施」，第</w:t>
      </w:r>
      <w:r w:rsidRPr="003B6411">
        <w:rPr>
          <w:szCs w:val="24"/>
        </w:rPr>
        <w:t>6-7</w:t>
      </w:r>
      <w:r w:rsidRPr="003B6411">
        <w:rPr>
          <w:szCs w:val="24"/>
        </w:rPr>
        <w:t>段。</w:t>
      </w:r>
      <w:r w:rsidRPr="003B6411">
        <w:rPr>
          <w:szCs w:val="24"/>
        </w:rPr>
        <w:t>Committee on the Rights of the Child, General Comment No. 5: General Measures of Implementation of the Convention on the Rights of the Child (Arts. 4, 42 and 44, Para. 6), ¶¶ 30-31, U.N. Doc. CRC/GC/2003/5 (Nov. 27, 2003) [hereinafter General Comment No. 5].</w:t>
      </w:r>
    </w:p>
  </w:endnote>
  <w:endnote w:id="363">
    <w:p w14:paraId="3064CFB6"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szCs w:val="24"/>
        </w:rPr>
        <w:t>兒童權利委員會，第</w:t>
      </w:r>
      <w:r w:rsidRPr="003B6411">
        <w:rPr>
          <w:szCs w:val="24"/>
        </w:rPr>
        <w:t>4</w:t>
      </w:r>
      <w:r w:rsidRPr="003B6411">
        <w:rPr>
          <w:szCs w:val="24"/>
        </w:rPr>
        <w:t>號一般性意見「在兒童權利公約框架內青少年的健康和發展」，第</w:t>
      </w:r>
      <w:r w:rsidRPr="003B6411">
        <w:rPr>
          <w:szCs w:val="24"/>
        </w:rPr>
        <w:t>16</w:t>
      </w:r>
      <w:r w:rsidRPr="003B6411">
        <w:rPr>
          <w:szCs w:val="24"/>
        </w:rPr>
        <w:t>段。</w:t>
      </w:r>
      <w:r w:rsidRPr="003B6411">
        <w:rPr>
          <w:szCs w:val="24"/>
        </w:rPr>
        <w:t>Committee on the Rights of the Child, General Comment No. 4: Adolescent Health and Development in the Context of the Convention on the Rights of the Child, ¶ 16, U.N. Doc. CRC/GC/2003/4 (July 1, 2003).</w:t>
      </w:r>
    </w:p>
  </w:endnote>
  <w:endnote w:id="364">
    <w:p w14:paraId="26814BB1"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smallCaps/>
          <w:szCs w:val="24"/>
        </w:rPr>
        <w:t xml:space="preserve">Eide, </w:t>
      </w:r>
      <w:r w:rsidRPr="003B6411">
        <w:rPr>
          <w:i/>
          <w:szCs w:val="24"/>
        </w:rPr>
        <w:t xml:space="preserve">supra </w:t>
      </w:r>
      <w:r w:rsidRPr="003B6411">
        <w:rPr>
          <w:szCs w:val="24"/>
        </w:rPr>
        <w:t xml:space="preserve">note </w:t>
      </w:r>
      <w:r w:rsidRPr="003B6411">
        <w:rPr>
          <w:szCs w:val="24"/>
        </w:rPr>
        <w:fldChar w:fldCharType="begin"/>
      </w:r>
      <w:r w:rsidRPr="003B6411">
        <w:rPr>
          <w:szCs w:val="24"/>
        </w:rPr>
        <w:instrText xml:space="preserve"> NOTEREF _Ref430681615 \h  \* MERGEFORMAT </w:instrText>
      </w:r>
      <w:r w:rsidRPr="003B6411">
        <w:rPr>
          <w:szCs w:val="24"/>
        </w:rPr>
      </w:r>
      <w:r w:rsidRPr="003B6411">
        <w:rPr>
          <w:szCs w:val="24"/>
        </w:rPr>
        <w:fldChar w:fldCharType="separate"/>
      </w:r>
      <w:r w:rsidR="00DA394E">
        <w:rPr>
          <w:szCs w:val="24"/>
        </w:rPr>
        <w:t>1</w:t>
      </w:r>
      <w:r w:rsidRPr="003B6411">
        <w:rPr>
          <w:szCs w:val="24"/>
        </w:rPr>
        <w:fldChar w:fldCharType="end"/>
      </w:r>
      <w:r w:rsidRPr="003B6411">
        <w:rPr>
          <w:szCs w:val="24"/>
        </w:rPr>
        <w:t>, at 39.</w:t>
      </w:r>
    </w:p>
  </w:endnote>
  <w:endnote w:id="365">
    <w:p w14:paraId="49417F38"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Dismissal of Complaint Filed by A. N. Gorbunov Regarding the Violation of His Constitutional Rights by Article 261 of the Labour Code of the Russian Federation (Mar. 5, 2013) (Russ.), </w:t>
      </w:r>
      <w:r w:rsidRPr="003B6411">
        <w:rPr>
          <w:i/>
          <w:szCs w:val="24"/>
        </w:rPr>
        <w:t>available at</w:t>
      </w:r>
      <w:r w:rsidRPr="003B6411">
        <w:rPr>
          <w:szCs w:val="24"/>
        </w:rPr>
        <w:t xml:space="preserve"> https://www.crin.org/en/library/legal-database/dismissal-complaint-filed-n-gorbunov-regarding-violation-his-constitutional (case summary) (last visited Sept. 15, 2015)</w:t>
      </w:r>
    </w:p>
  </w:endnote>
  <w:endnote w:id="366">
    <w:p w14:paraId="70BA70D7"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Case No. 2-1665-06 of 18 August 2006, Taraz City (Mar. 5, 2013) (Kaz.), </w:t>
      </w:r>
      <w:r w:rsidRPr="003B6411">
        <w:rPr>
          <w:i/>
          <w:szCs w:val="24"/>
        </w:rPr>
        <w:t>available at</w:t>
      </w:r>
      <w:r w:rsidRPr="003B6411">
        <w:rPr>
          <w:szCs w:val="24"/>
        </w:rPr>
        <w:t xml:space="preserve"> https://www.crin.org/en/library/legal-database/case-no-2-1665-06-18-august-2006-taraz-city (case summary) (last visited Sept. 15, 2015)</w:t>
      </w:r>
    </w:p>
  </w:endnote>
  <w:endnote w:id="367">
    <w:p w14:paraId="3B87DEB8"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smallCaps/>
          <w:szCs w:val="24"/>
        </w:rPr>
        <w:t xml:space="preserve">Eide, </w:t>
      </w:r>
      <w:r w:rsidRPr="003B6411">
        <w:rPr>
          <w:i/>
          <w:szCs w:val="24"/>
        </w:rPr>
        <w:t xml:space="preserve">supra </w:t>
      </w:r>
      <w:r w:rsidRPr="003B6411">
        <w:rPr>
          <w:szCs w:val="24"/>
        </w:rPr>
        <w:t xml:space="preserve">note </w:t>
      </w:r>
      <w:r w:rsidRPr="003B6411">
        <w:rPr>
          <w:szCs w:val="24"/>
        </w:rPr>
        <w:fldChar w:fldCharType="begin"/>
      </w:r>
      <w:r w:rsidRPr="003B6411">
        <w:rPr>
          <w:szCs w:val="24"/>
        </w:rPr>
        <w:instrText xml:space="preserve"> NOTEREF _Ref430681615 \h  \* MERGEFORMAT </w:instrText>
      </w:r>
      <w:r w:rsidRPr="003B6411">
        <w:rPr>
          <w:szCs w:val="24"/>
        </w:rPr>
      </w:r>
      <w:r w:rsidRPr="003B6411">
        <w:rPr>
          <w:szCs w:val="24"/>
        </w:rPr>
        <w:fldChar w:fldCharType="separate"/>
      </w:r>
      <w:r w:rsidR="00DA394E">
        <w:rPr>
          <w:szCs w:val="24"/>
        </w:rPr>
        <w:t>1</w:t>
      </w:r>
      <w:r w:rsidRPr="003B6411">
        <w:rPr>
          <w:szCs w:val="24"/>
        </w:rPr>
        <w:fldChar w:fldCharType="end"/>
      </w:r>
      <w:r w:rsidRPr="003B6411">
        <w:rPr>
          <w:szCs w:val="24"/>
        </w:rPr>
        <w:t>, at 47.</w:t>
      </w:r>
    </w:p>
  </w:endnote>
  <w:endnote w:id="368">
    <w:p w14:paraId="667800FF"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szCs w:val="24"/>
        </w:rPr>
        <w:t>兒童權利委員會，第</w:t>
      </w:r>
      <w:r w:rsidRPr="003B6411">
        <w:rPr>
          <w:szCs w:val="24"/>
        </w:rPr>
        <w:t>1</w:t>
      </w:r>
      <w:r w:rsidRPr="003B6411">
        <w:rPr>
          <w:szCs w:val="24"/>
        </w:rPr>
        <w:t>號一般性意見「教育的目的」，第</w:t>
      </w:r>
      <w:r w:rsidRPr="003B6411">
        <w:rPr>
          <w:szCs w:val="24"/>
        </w:rPr>
        <w:t>2</w:t>
      </w:r>
      <w:r w:rsidRPr="003B6411">
        <w:rPr>
          <w:szCs w:val="24"/>
        </w:rPr>
        <w:t>段。</w:t>
      </w:r>
      <w:r w:rsidRPr="003B6411">
        <w:rPr>
          <w:szCs w:val="24"/>
        </w:rPr>
        <w:t>Committee on the Rights of the Child, General Comment No. 1: The Aims of Education, ¶ 2, U.N. Doc. CRC/GC/2001/1 (Apr. 17, 2001).</w:t>
      </w:r>
    </w:p>
  </w:endnote>
  <w:endnote w:id="369">
    <w:p w14:paraId="24CB33C5"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i/>
          <w:szCs w:val="24"/>
        </w:rPr>
        <w:t>Id</w:t>
      </w:r>
      <w:r w:rsidRPr="003B6411">
        <w:rPr>
          <w:szCs w:val="24"/>
        </w:rPr>
        <w:t>.</w:t>
      </w:r>
    </w:p>
  </w:endnote>
  <w:endnote w:id="370">
    <w:p w14:paraId="228DCD15"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i/>
          <w:szCs w:val="24"/>
        </w:rPr>
        <w:t>Id</w:t>
      </w:r>
      <w:r w:rsidRPr="003B6411">
        <w:rPr>
          <w:szCs w:val="24"/>
        </w:rPr>
        <w:t>, ¶ 9.</w:t>
      </w:r>
    </w:p>
  </w:endnote>
  <w:endnote w:id="371">
    <w:p w14:paraId="3501612B"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szCs w:val="24"/>
        </w:rPr>
        <w:t>兒童權利委員會，第</w:t>
      </w:r>
      <w:r w:rsidRPr="003B6411">
        <w:rPr>
          <w:szCs w:val="24"/>
        </w:rPr>
        <w:t>3</w:t>
      </w:r>
      <w:r w:rsidRPr="003B6411">
        <w:rPr>
          <w:szCs w:val="24"/>
        </w:rPr>
        <w:t>號一般性意見「愛滋病與兒童權利」，第</w:t>
      </w:r>
      <w:r w:rsidRPr="003B6411">
        <w:rPr>
          <w:szCs w:val="24"/>
        </w:rPr>
        <w:t>6</w:t>
      </w:r>
      <w:r w:rsidRPr="003B6411">
        <w:rPr>
          <w:szCs w:val="24"/>
        </w:rPr>
        <w:t>段。</w:t>
      </w:r>
      <w:r w:rsidRPr="003B6411">
        <w:rPr>
          <w:szCs w:val="24"/>
        </w:rPr>
        <w:t>Committee on the Rights of the Child, General Comment No. 3: HIV/AIDS and the Rights of the Child, ¶ 6, U.N. Doc. CRC/GC/2003/3 (Mar. 17, 2003).</w:t>
      </w:r>
    </w:p>
  </w:endnote>
  <w:endnote w:id="372">
    <w:p w14:paraId="10F96D7D"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szCs w:val="24"/>
        </w:rPr>
        <w:t>兒童權利委員會，第</w:t>
      </w:r>
      <w:r w:rsidRPr="003B6411">
        <w:rPr>
          <w:szCs w:val="24"/>
        </w:rPr>
        <w:t>6</w:t>
      </w:r>
      <w:r w:rsidRPr="003B6411">
        <w:rPr>
          <w:szCs w:val="24"/>
        </w:rPr>
        <w:t>號一般性意見「遠離原籍國無人陪伴和無父母陪伴的兒童待遇」，第</w:t>
      </w:r>
      <w:r w:rsidRPr="003B6411">
        <w:rPr>
          <w:szCs w:val="24"/>
        </w:rPr>
        <w:t>14</w:t>
      </w:r>
      <w:r w:rsidRPr="003B6411">
        <w:rPr>
          <w:szCs w:val="24"/>
        </w:rPr>
        <w:t>段。</w:t>
      </w:r>
      <w:r w:rsidRPr="003B6411">
        <w:rPr>
          <w:szCs w:val="24"/>
        </w:rPr>
        <w:t>Committee on the Rights of the Child, General Comment No. 6: Treatment of Unaccompanied and Separated Children Outside Their Country of Origin, ¶ 14, U.N. Doc. CRC/GC/2005/6 (Sep. 1, 2005).</w:t>
      </w:r>
    </w:p>
  </w:endnote>
  <w:endnote w:id="373">
    <w:p w14:paraId="4BEA1719"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szCs w:val="24"/>
        </w:rPr>
        <w:t>兒童權利委員會，第</w:t>
      </w:r>
      <w:r w:rsidRPr="003B6411">
        <w:rPr>
          <w:szCs w:val="24"/>
        </w:rPr>
        <w:t>8</w:t>
      </w:r>
      <w:r w:rsidRPr="003B6411">
        <w:rPr>
          <w:szCs w:val="24"/>
        </w:rPr>
        <w:t>號一般性意見「兒童受保護免遭體罰和其他殘忍或不人道形式懲罰的權利」，第</w:t>
      </w:r>
      <w:r w:rsidRPr="003B6411">
        <w:rPr>
          <w:szCs w:val="24"/>
        </w:rPr>
        <w:t>20</w:t>
      </w:r>
      <w:r w:rsidRPr="003B6411">
        <w:rPr>
          <w:szCs w:val="24"/>
        </w:rPr>
        <w:t>段。</w:t>
      </w:r>
      <w:r w:rsidRPr="003B6411">
        <w:rPr>
          <w:szCs w:val="24"/>
        </w:rPr>
        <w:t xml:space="preserve">Committee on the Rights of the Child, General Comment No.8: The Right of the Child to Protection from Corporal Punishment and Other Cruel or Degrading Forms of Punishment, ¶20, U.N. Doc. </w:t>
      </w:r>
      <w:r w:rsidRPr="003B6411">
        <w:rPr>
          <w:bCs/>
          <w:szCs w:val="24"/>
        </w:rPr>
        <w:t>CRC/C/GC/8 (Mar. 2, 2007).</w:t>
      </w:r>
    </w:p>
  </w:endnote>
  <w:endnote w:id="374">
    <w:p w14:paraId="6E84E6E2"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szCs w:val="24"/>
        </w:rPr>
        <w:t>經濟社會及文化委員會，第</w:t>
      </w:r>
      <w:r w:rsidRPr="003B6411">
        <w:rPr>
          <w:szCs w:val="24"/>
        </w:rPr>
        <w:t>11</w:t>
      </w:r>
      <w:r w:rsidRPr="003B6411">
        <w:rPr>
          <w:szCs w:val="24"/>
        </w:rPr>
        <w:t>號一般性意見「初級教育行動計畫」。</w:t>
      </w:r>
      <w:r w:rsidRPr="003B6411">
        <w:rPr>
          <w:szCs w:val="24"/>
        </w:rPr>
        <w:t>Committee on Economic, Social and Cultural Rights, General Comment No. 11:</w:t>
      </w:r>
      <w:r w:rsidRPr="003B6411">
        <w:t xml:space="preserve"> </w:t>
      </w:r>
      <w:r w:rsidRPr="003B6411">
        <w:rPr>
          <w:szCs w:val="24"/>
        </w:rPr>
        <w:t>Plans of Action for Primary Education, U.N. Doc. HRI/GEN/1/Rev.9 (Vol. I), at 52 (May 27, 2008).</w:t>
      </w:r>
    </w:p>
  </w:endnote>
  <w:endnote w:id="375">
    <w:p w14:paraId="7B9A4CE8"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Committee on the Rights of the Child, Concluding Observations: United Kingdom of Great Britain and Northern Ireland, ¶ 48, U.N. Doc. CRC/C/15/Add.188 (Oct. 9, 2002).</w:t>
      </w:r>
    </w:p>
  </w:endnote>
  <w:endnote w:id="376">
    <w:p w14:paraId="69855431"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Association for the Protection of All Children (APPROACH) v. France, European Committee of Social Rights, Mar. 4, 2015, </w:t>
      </w:r>
      <w:r w:rsidRPr="003B6411">
        <w:rPr>
          <w:i/>
          <w:szCs w:val="24"/>
        </w:rPr>
        <w:t>available at</w:t>
      </w:r>
      <w:r w:rsidRPr="003B6411">
        <w:rPr>
          <w:szCs w:val="24"/>
        </w:rPr>
        <w:t xml:space="preserve"> http://www.coe.int/t/dghl/</w:t>
      </w:r>
      <w:r w:rsidRPr="003B6411">
        <w:rPr>
          <w:szCs w:val="24"/>
        </w:rPr>
        <w:br/>
        <w:t>monitoring/socialcharter/Complaints/CC92Merits_en.pdf (last visited July 1, 2015).</w:t>
      </w:r>
    </w:p>
  </w:endnote>
  <w:endnote w:id="377">
    <w:p w14:paraId="3AFBDC01"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World Organisation against Torture (OMCT) v. Portugal, Complaint No. 34/2006, (Dec. 5, 2006).</w:t>
      </w:r>
    </w:p>
  </w:endnote>
  <w:endnote w:id="378">
    <w:p w14:paraId="6B33E408"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Swaziland National Ex-Miners Workers Association v. The Minister of Education and Others, (335/09) [2009] SZHC 104 (16 March 2009), </w:t>
      </w:r>
      <w:r w:rsidRPr="003B6411">
        <w:rPr>
          <w:i/>
          <w:szCs w:val="24"/>
        </w:rPr>
        <w:t xml:space="preserve">available at </w:t>
      </w:r>
      <w:r w:rsidRPr="003B6411">
        <w:rPr>
          <w:szCs w:val="24"/>
        </w:rPr>
        <w:t>http://www.swazilii.org/sz/judgment/2009/104 (last visited June 30, 2015).</w:t>
      </w:r>
    </w:p>
  </w:endnote>
  <w:endnote w:id="379">
    <w:p w14:paraId="40C006A9"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“Every Swazi child shall within three years of the commencement of this Constitution have the right to free education in public schools at least up to the end of primary school, beginning with the first grade.”</w:t>
      </w:r>
    </w:p>
  </w:endnote>
  <w:endnote w:id="380">
    <w:p w14:paraId="21CC4FB2"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szCs w:val="24"/>
        </w:rPr>
        <w:t>兒童權利委員會，第</w:t>
      </w:r>
      <w:r w:rsidRPr="003B6411">
        <w:rPr>
          <w:szCs w:val="24"/>
        </w:rPr>
        <w:t>1</w:t>
      </w:r>
      <w:r w:rsidRPr="003B6411">
        <w:rPr>
          <w:szCs w:val="24"/>
        </w:rPr>
        <w:t>號一般性意見「教育的目的」，第</w:t>
      </w:r>
      <w:r w:rsidRPr="003B6411">
        <w:rPr>
          <w:szCs w:val="24"/>
        </w:rPr>
        <w:t>1</w:t>
      </w:r>
      <w:r w:rsidRPr="003B6411">
        <w:rPr>
          <w:szCs w:val="24"/>
        </w:rPr>
        <w:t>段。</w:t>
      </w:r>
      <w:r w:rsidRPr="003B6411">
        <w:rPr>
          <w:szCs w:val="24"/>
        </w:rPr>
        <w:t>Committee on the Rights of the Child, General Comment No. 1: The Aims of Education, ¶ 1, U.N. Doc. CRC/GC/2001/1 (Apr. 17, 2001) [hereinafter General Comment No. 1].</w:t>
      </w:r>
    </w:p>
  </w:endnote>
  <w:endnote w:id="381">
    <w:p w14:paraId="361A3263"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i/>
          <w:szCs w:val="24"/>
        </w:rPr>
        <w:t>Id</w:t>
      </w:r>
      <w:r w:rsidRPr="003B6411">
        <w:rPr>
          <w:szCs w:val="24"/>
        </w:rPr>
        <w:t>, ¶ 2.</w:t>
      </w:r>
    </w:p>
  </w:endnote>
  <w:endnote w:id="382">
    <w:p w14:paraId="260BC7D3"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i/>
          <w:szCs w:val="24"/>
        </w:rPr>
        <w:t>Id</w:t>
      </w:r>
      <w:r w:rsidRPr="003B6411">
        <w:rPr>
          <w:szCs w:val="24"/>
        </w:rPr>
        <w:t>, ¶ 3.</w:t>
      </w:r>
    </w:p>
  </w:endnote>
  <w:endnote w:id="383">
    <w:p w14:paraId="2CFDA48C" w14:textId="77777777" w:rsidR="00E856B6" w:rsidRPr="003B6411" w:rsidRDefault="00E856B6" w:rsidP="00EA57D7">
      <w:pPr>
        <w:pStyle w:val="af1"/>
        <w:jc w:val="both"/>
        <w:rPr>
          <w:b/>
          <w:bCs/>
          <w:szCs w:val="24"/>
        </w:rPr>
      </w:pPr>
      <w:r w:rsidRPr="003B6411">
        <w:rPr>
          <w:rStyle w:val="af3"/>
          <w:szCs w:val="24"/>
        </w:rPr>
        <w:endnoteRef/>
      </w:r>
      <w:r w:rsidRPr="003B6411">
        <w:rPr>
          <w:szCs w:val="24"/>
        </w:rPr>
        <w:t xml:space="preserve"> Committee on the Rights of Child, </w:t>
      </w:r>
      <w:r w:rsidRPr="003B6411">
        <w:rPr>
          <w:bCs/>
          <w:szCs w:val="24"/>
        </w:rPr>
        <w:t xml:space="preserve">Concluding Observations: Japan, </w:t>
      </w:r>
      <w:r w:rsidRPr="003B6411">
        <w:rPr>
          <w:szCs w:val="24"/>
        </w:rPr>
        <w:t>¶</w:t>
      </w:r>
      <w:r w:rsidRPr="003B6411">
        <w:rPr>
          <w:bCs/>
          <w:szCs w:val="24"/>
        </w:rPr>
        <w:t xml:space="preserve"> 49, U.N. Doc. CRC/C/15/Add.231 (Feb. 26, 2004).</w:t>
      </w:r>
    </w:p>
  </w:endnote>
  <w:endnote w:id="384">
    <w:p w14:paraId="199E5FDC"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General Comment No. 1, s</w:t>
      </w:r>
      <w:r w:rsidRPr="003B6411">
        <w:rPr>
          <w:i/>
          <w:szCs w:val="24"/>
        </w:rPr>
        <w:t xml:space="preserve">upra </w:t>
      </w:r>
      <w:r w:rsidRPr="003B6411">
        <w:rPr>
          <w:szCs w:val="24"/>
        </w:rPr>
        <w:t xml:space="preserve">note </w:t>
      </w:r>
      <w:r w:rsidRPr="003B6411">
        <w:rPr>
          <w:szCs w:val="24"/>
        </w:rPr>
        <w:fldChar w:fldCharType="begin"/>
      </w:r>
      <w:r w:rsidRPr="003B6411">
        <w:rPr>
          <w:szCs w:val="24"/>
        </w:rPr>
        <w:instrText xml:space="preserve"> NOTEREF _Ref429386285 \h  \* MERGEFORMAT </w:instrText>
      </w:r>
      <w:r w:rsidRPr="003B6411">
        <w:rPr>
          <w:szCs w:val="24"/>
        </w:rPr>
      </w:r>
      <w:r w:rsidRPr="003B6411">
        <w:rPr>
          <w:szCs w:val="24"/>
        </w:rPr>
        <w:fldChar w:fldCharType="separate"/>
      </w:r>
      <w:r w:rsidR="00DA394E">
        <w:rPr>
          <w:szCs w:val="24"/>
        </w:rPr>
        <w:t>1</w:t>
      </w:r>
      <w:r w:rsidRPr="003B6411">
        <w:rPr>
          <w:szCs w:val="24"/>
        </w:rPr>
        <w:fldChar w:fldCharType="end"/>
      </w:r>
      <w:r w:rsidRPr="003B6411">
        <w:rPr>
          <w:szCs w:val="24"/>
        </w:rPr>
        <w:t>, ¶ 12.</w:t>
      </w:r>
    </w:p>
  </w:endnote>
  <w:endnote w:id="385">
    <w:p w14:paraId="6BD03BF5"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smallCaps/>
          <w:szCs w:val="24"/>
        </w:rPr>
        <w:t xml:space="preserve">UNICEF, Implementation Handbook for the Convention on the Rights of the Child 442 </w:t>
      </w:r>
      <w:r w:rsidRPr="003B6411">
        <w:rPr>
          <w:szCs w:val="24"/>
        </w:rPr>
        <w:t>(3d ed. 2007).</w:t>
      </w:r>
    </w:p>
  </w:endnote>
  <w:endnote w:id="386">
    <w:p w14:paraId="2E991952" w14:textId="77777777" w:rsidR="00E856B6" w:rsidRPr="003B6411" w:rsidRDefault="00E856B6" w:rsidP="00EA57D7">
      <w:pPr>
        <w:autoSpaceDE w:val="0"/>
        <w:autoSpaceDN w:val="0"/>
        <w:adjustRightInd w:val="0"/>
        <w:snapToGrid w:val="0"/>
        <w:jc w:val="both"/>
        <w:rPr>
          <w:szCs w:val="24"/>
        </w:rPr>
      </w:pPr>
      <w:r w:rsidRPr="003B6411">
        <w:rPr>
          <w:rStyle w:val="af3"/>
          <w:szCs w:val="24"/>
        </w:rPr>
        <w:endnoteRef/>
      </w:r>
      <w:r w:rsidRPr="003B6411">
        <w:rPr>
          <w:szCs w:val="24"/>
        </w:rPr>
        <w:t xml:space="preserve"> Committee on the Rights of Child, </w:t>
      </w:r>
      <w:r w:rsidRPr="003B6411">
        <w:rPr>
          <w:bCs/>
          <w:szCs w:val="24"/>
        </w:rPr>
        <w:t xml:space="preserve">Concluding Observations: </w:t>
      </w:r>
      <w:r w:rsidRPr="003B6411">
        <w:rPr>
          <w:iCs/>
          <w:kern w:val="0"/>
          <w:szCs w:val="24"/>
        </w:rPr>
        <w:t xml:space="preserve">Finland, </w:t>
      </w:r>
      <w:r w:rsidRPr="003B6411">
        <w:rPr>
          <w:szCs w:val="24"/>
        </w:rPr>
        <w:t>¶</w:t>
      </w:r>
      <w:r w:rsidRPr="003B6411">
        <w:rPr>
          <w:iCs/>
          <w:kern w:val="0"/>
          <w:szCs w:val="24"/>
        </w:rPr>
        <w:t xml:space="preserve"> 45, U.N. Doc. CRC/C/15/Add.272 (Oct. 20, 2005).</w:t>
      </w:r>
    </w:p>
  </w:endnote>
  <w:endnote w:id="387">
    <w:p w14:paraId="426D273F"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UNICEF</w:t>
      </w:r>
      <w:r w:rsidRPr="003B6411">
        <w:rPr>
          <w:i/>
          <w:szCs w:val="24"/>
        </w:rPr>
        <w:t xml:space="preserve">, supra </w:t>
      </w:r>
      <w:r w:rsidRPr="003B6411">
        <w:rPr>
          <w:szCs w:val="24"/>
        </w:rPr>
        <w:t xml:space="preserve">note </w:t>
      </w:r>
      <w:r w:rsidRPr="003B6411">
        <w:rPr>
          <w:szCs w:val="24"/>
        </w:rPr>
        <w:fldChar w:fldCharType="begin"/>
      </w:r>
      <w:r w:rsidRPr="003B6411">
        <w:rPr>
          <w:szCs w:val="24"/>
        </w:rPr>
        <w:instrText xml:space="preserve"> NOTEREF _Ref429386304 \h  \* MERGEFORMAT </w:instrText>
      </w:r>
      <w:r w:rsidRPr="003B6411">
        <w:rPr>
          <w:szCs w:val="24"/>
        </w:rPr>
      </w:r>
      <w:r w:rsidRPr="003B6411">
        <w:rPr>
          <w:szCs w:val="24"/>
        </w:rPr>
        <w:fldChar w:fldCharType="separate"/>
      </w:r>
      <w:r w:rsidR="00DA394E">
        <w:rPr>
          <w:szCs w:val="24"/>
        </w:rPr>
        <w:t>6</w:t>
      </w:r>
      <w:r w:rsidRPr="003B6411">
        <w:rPr>
          <w:szCs w:val="24"/>
        </w:rPr>
        <w:fldChar w:fldCharType="end"/>
      </w:r>
      <w:r w:rsidRPr="003B6411">
        <w:rPr>
          <w:szCs w:val="24"/>
        </w:rPr>
        <w:t>, at 422.</w:t>
      </w:r>
    </w:p>
  </w:endnote>
  <w:endnote w:id="388">
    <w:p w14:paraId="70876829"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General Comment No. 1, </w:t>
      </w:r>
      <w:r w:rsidRPr="003B6411">
        <w:rPr>
          <w:i/>
          <w:szCs w:val="24"/>
        </w:rPr>
        <w:t xml:space="preserve">supra </w:t>
      </w:r>
      <w:r w:rsidRPr="003B6411">
        <w:rPr>
          <w:szCs w:val="24"/>
        </w:rPr>
        <w:t xml:space="preserve">note </w:t>
      </w:r>
      <w:r w:rsidRPr="003B6411">
        <w:rPr>
          <w:szCs w:val="24"/>
        </w:rPr>
        <w:fldChar w:fldCharType="begin"/>
      </w:r>
      <w:r w:rsidRPr="003B6411">
        <w:rPr>
          <w:szCs w:val="24"/>
        </w:rPr>
        <w:instrText xml:space="preserve"> NOTEREF _Ref429386285 \h  \* MERGEFORMAT </w:instrText>
      </w:r>
      <w:r w:rsidRPr="003B6411">
        <w:rPr>
          <w:szCs w:val="24"/>
        </w:rPr>
      </w:r>
      <w:r w:rsidRPr="003B6411">
        <w:rPr>
          <w:szCs w:val="24"/>
        </w:rPr>
        <w:fldChar w:fldCharType="separate"/>
      </w:r>
      <w:r w:rsidR="00DA394E">
        <w:rPr>
          <w:szCs w:val="24"/>
        </w:rPr>
        <w:t>1</w:t>
      </w:r>
      <w:r w:rsidRPr="003B6411">
        <w:rPr>
          <w:szCs w:val="24"/>
        </w:rPr>
        <w:fldChar w:fldCharType="end"/>
      </w:r>
      <w:r w:rsidRPr="003B6411">
        <w:rPr>
          <w:szCs w:val="24"/>
        </w:rPr>
        <w:t>, ¶ 4.</w:t>
      </w:r>
    </w:p>
  </w:endnote>
  <w:endnote w:id="389">
    <w:p w14:paraId="15B3E9A7"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UNICEF,</w:t>
      </w:r>
      <w:r w:rsidRPr="003B6411">
        <w:rPr>
          <w:i/>
          <w:szCs w:val="24"/>
        </w:rPr>
        <w:t xml:space="preserve"> supra </w:t>
      </w:r>
      <w:r w:rsidRPr="003B6411">
        <w:rPr>
          <w:szCs w:val="24"/>
        </w:rPr>
        <w:t xml:space="preserve">note </w:t>
      </w:r>
      <w:r w:rsidRPr="003B6411">
        <w:rPr>
          <w:szCs w:val="24"/>
        </w:rPr>
        <w:fldChar w:fldCharType="begin"/>
      </w:r>
      <w:r w:rsidRPr="003B6411">
        <w:rPr>
          <w:szCs w:val="24"/>
        </w:rPr>
        <w:instrText xml:space="preserve"> NOTEREF _Ref429386304 \h  \* MERGEFORMAT </w:instrText>
      </w:r>
      <w:r w:rsidRPr="003B6411">
        <w:rPr>
          <w:szCs w:val="24"/>
        </w:rPr>
      </w:r>
      <w:r w:rsidRPr="003B6411">
        <w:rPr>
          <w:szCs w:val="24"/>
        </w:rPr>
        <w:fldChar w:fldCharType="separate"/>
      </w:r>
      <w:r w:rsidR="00DA394E">
        <w:rPr>
          <w:szCs w:val="24"/>
        </w:rPr>
        <w:t>6</w:t>
      </w:r>
      <w:r w:rsidRPr="003B6411">
        <w:rPr>
          <w:szCs w:val="24"/>
        </w:rPr>
        <w:fldChar w:fldCharType="end"/>
      </w:r>
      <w:r w:rsidRPr="003B6411">
        <w:rPr>
          <w:szCs w:val="24"/>
        </w:rPr>
        <w:t>, at 445.</w:t>
      </w:r>
    </w:p>
  </w:endnote>
  <w:endnote w:id="390">
    <w:p w14:paraId="32176FC7"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General Comment No. 1, </w:t>
      </w:r>
      <w:r w:rsidRPr="003B6411">
        <w:rPr>
          <w:i/>
          <w:szCs w:val="24"/>
        </w:rPr>
        <w:t xml:space="preserve">supra </w:t>
      </w:r>
      <w:r w:rsidRPr="003B6411">
        <w:rPr>
          <w:szCs w:val="24"/>
        </w:rPr>
        <w:t xml:space="preserve">note </w:t>
      </w:r>
      <w:r w:rsidRPr="003B6411">
        <w:rPr>
          <w:szCs w:val="24"/>
        </w:rPr>
        <w:fldChar w:fldCharType="begin"/>
      </w:r>
      <w:r w:rsidRPr="003B6411">
        <w:rPr>
          <w:szCs w:val="24"/>
        </w:rPr>
        <w:instrText xml:space="preserve"> NOTEREF _Ref429386285 \h  \* MERGEFORMAT </w:instrText>
      </w:r>
      <w:r w:rsidRPr="003B6411">
        <w:rPr>
          <w:szCs w:val="24"/>
        </w:rPr>
      </w:r>
      <w:r w:rsidRPr="003B6411">
        <w:rPr>
          <w:szCs w:val="24"/>
        </w:rPr>
        <w:fldChar w:fldCharType="separate"/>
      </w:r>
      <w:r w:rsidR="00DA394E">
        <w:rPr>
          <w:szCs w:val="24"/>
        </w:rPr>
        <w:t>1</w:t>
      </w:r>
      <w:r w:rsidRPr="003B6411">
        <w:rPr>
          <w:szCs w:val="24"/>
        </w:rPr>
        <w:fldChar w:fldCharType="end"/>
      </w:r>
      <w:r w:rsidRPr="003B6411">
        <w:rPr>
          <w:szCs w:val="24"/>
        </w:rPr>
        <w:t>, ¶ 13.</w:t>
      </w:r>
    </w:p>
  </w:endnote>
  <w:endnote w:id="391">
    <w:p w14:paraId="48280367"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UNICEF,</w:t>
      </w:r>
      <w:r w:rsidRPr="003B6411">
        <w:rPr>
          <w:i/>
          <w:szCs w:val="24"/>
        </w:rPr>
        <w:t xml:space="preserve"> supra </w:t>
      </w:r>
      <w:r w:rsidRPr="003B6411">
        <w:rPr>
          <w:szCs w:val="24"/>
        </w:rPr>
        <w:t xml:space="preserve">note </w:t>
      </w:r>
      <w:r w:rsidRPr="003B6411">
        <w:rPr>
          <w:szCs w:val="24"/>
        </w:rPr>
        <w:fldChar w:fldCharType="begin"/>
      </w:r>
      <w:r w:rsidRPr="003B6411">
        <w:rPr>
          <w:szCs w:val="24"/>
        </w:rPr>
        <w:instrText xml:space="preserve"> NOTEREF _Ref429386304 \h  \* MERGEFORMAT </w:instrText>
      </w:r>
      <w:r w:rsidRPr="003B6411">
        <w:rPr>
          <w:szCs w:val="24"/>
        </w:rPr>
      </w:r>
      <w:r w:rsidRPr="003B6411">
        <w:rPr>
          <w:szCs w:val="24"/>
        </w:rPr>
        <w:fldChar w:fldCharType="separate"/>
      </w:r>
      <w:r w:rsidR="00DA394E">
        <w:rPr>
          <w:szCs w:val="24"/>
        </w:rPr>
        <w:t>6</w:t>
      </w:r>
      <w:r w:rsidRPr="003B6411">
        <w:rPr>
          <w:szCs w:val="24"/>
        </w:rPr>
        <w:fldChar w:fldCharType="end"/>
      </w:r>
      <w:r w:rsidRPr="003B6411">
        <w:rPr>
          <w:szCs w:val="24"/>
        </w:rPr>
        <w:t>, a 451.</w:t>
      </w:r>
    </w:p>
  </w:endnote>
  <w:endnote w:id="392">
    <w:p w14:paraId="421765A7"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Human Rights Committee, Leirvåg v. Norway, Communication No. 1155/2003, U.N. Doc. CCPR/C/82/D/1155/2003 (Nov. 3, 2004).</w:t>
      </w:r>
    </w:p>
  </w:endnote>
  <w:endnote w:id="393">
    <w:p w14:paraId="16A38C57"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Western Cape Forum for Intellectual Disability v. Government of the Republic of South Africa &amp; Government of the Province of Western Cape, Case no: 18678/2007, </w:t>
      </w:r>
      <w:r w:rsidRPr="003B6411">
        <w:rPr>
          <w:szCs w:val="24"/>
          <w:shd w:val="clear" w:color="auto" w:fill="FFFFFF"/>
        </w:rPr>
        <w:t>High Court of South Africa</w:t>
      </w:r>
      <w:r w:rsidRPr="003B6411">
        <w:rPr>
          <w:szCs w:val="24"/>
        </w:rPr>
        <w:t xml:space="preserve"> </w:t>
      </w:r>
      <w:r w:rsidRPr="003B6411">
        <w:rPr>
          <w:szCs w:val="24"/>
          <w:shd w:val="clear" w:color="auto" w:fill="FFFFFF"/>
        </w:rPr>
        <w:t xml:space="preserve">(Nov. 11, 2010), </w:t>
      </w:r>
      <w:r w:rsidRPr="003B6411">
        <w:rPr>
          <w:i/>
          <w:szCs w:val="24"/>
          <w:shd w:val="clear" w:color="auto" w:fill="FFFFFF"/>
        </w:rPr>
        <w:t>available at</w:t>
      </w:r>
      <w:r w:rsidRPr="003B6411">
        <w:rPr>
          <w:i/>
          <w:szCs w:val="24"/>
        </w:rPr>
        <w:t xml:space="preserve"> </w:t>
      </w:r>
      <w:r w:rsidRPr="003B6411">
        <w:rPr>
          <w:szCs w:val="24"/>
          <w:shd w:val="clear" w:color="auto" w:fill="FFFFFF"/>
        </w:rPr>
        <w:t>http://www.escr-net.org/</w:t>
      </w:r>
      <w:r w:rsidRPr="003B6411">
        <w:rPr>
          <w:szCs w:val="24"/>
          <w:shd w:val="clear" w:color="auto" w:fill="FFFFFF"/>
        </w:rPr>
        <w:br/>
        <w:t>sites/default/files/WC_Intellectual_Disability_final.doc</w:t>
      </w:r>
      <w:r w:rsidRPr="003B6411">
        <w:rPr>
          <w:szCs w:val="24"/>
        </w:rPr>
        <w:t xml:space="preserve"> (last visited Aug. 19, 2015).</w:t>
      </w:r>
    </w:p>
  </w:endnote>
  <w:endnote w:id="394">
    <w:p w14:paraId="1B4BA2D3"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smallCaps/>
          <w:szCs w:val="24"/>
        </w:rPr>
        <w:t xml:space="preserve">UNICEF, Implementation Handbook for the Convention on the Rights of the Child </w:t>
      </w:r>
      <w:r w:rsidRPr="003B6411">
        <w:rPr>
          <w:szCs w:val="24"/>
        </w:rPr>
        <w:t>455 (3d ed. 2007).</w:t>
      </w:r>
    </w:p>
  </w:endnote>
  <w:endnote w:id="395">
    <w:p w14:paraId="3FB23B7D" w14:textId="77777777" w:rsidR="00E856B6" w:rsidRPr="003B6411" w:rsidRDefault="00E856B6" w:rsidP="00EA57D7">
      <w:pPr>
        <w:pStyle w:val="af1"/>
        <w:jc w:val="both"/>
        <w:rPr>
          <w:rFonts w:eastAsia="新細明體"/>
          <w:szCs w:val="24"/>
        </w:rPr>
      </w:pPr>
      <w:r w:rsidRPr="003B6411">
        <w:rPr>
          <w:rStyle w:val="af3"/>
          <w:szCs w:val="24"/>
        </w:rPr>
        <w:endnoteRef/>
      </w:r>
      <w:r w:rsidRPr="003B6411">
        <w:rPr>
          <w:szCs w:val="24"/>
        </w:rPr>
        <w:t xml:space="preserve"> Committee on the Rights of the Child, Report on the Thirty-Fourth Session, at 133, </w:t>
      </w:r>
      <w:r w:rsidRPr="003B6411">
        <w:rPr>
          <w:rFonts w:eastAsia="新細明體"/>
          <w:szCs w:val="24"/>
        </w:rPr>
        <w:t xml:space="preserve">U.N. Doc. </w:t>
      </w:r>
      <w:r w:rsidRPr="003B6411">
        <w:rPr>
          <w:szCs w:val="24"/>
        </w:rPr>
        <w:t>CRC/C/133 (Jan. 14, 2004)</w:t>
      </w:r>
      <w:r w:rsidRPr="003B6411">
        <w:rPr>
          <w:rFonts w:eastAsia="新細明體"/>
          <w:szCs w:val="24"/>
        </w:rPr>
        <w:t>.</w:t>
      </w:r>
    </w:p>
  </w:endnote>
  <w:endnote w:id="396">
    <w:p w14:paraId="33A10526"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smallCaps/>
          <w:szCs w:val="24"/>
        </w:rPr>
        <w:t>UNICEF,</w:t>
      </w:r>
      <w:r w:rsidRPr="003B6411">
        <w:rPr>
          <w:i/>
          <w:szCs w:val="24"/>
        </w:rPr>
        <w:t xml:space="preserve"> </w:t>
      </w:r>
      <w:r w:rsidRPr="003B6411">
        <w:rPr>
          <w:rFonts w:eastAsia="新細明體"/>
          <w:i/>
          <w:szCs w:val="24"/>
        </w:rPr>
        <w:t>s</w:t>
      </w:r>
      <w:r w:rsidRPr="003B6411">
        <w:rPr>
          <w:i/>
          <w:szCs w:val="24"/>
        </w:rPr>
        <w:t xml:space="preserve">upra </w:t>
      </w:r>
      <w:r w:rsidRPr="003B6411">
        <w:rPr>
          <w:szCs w:val="24"/>
        </w:rPr>
        <w:t xml:space="preserve">note </w:t>
      </w:r>
      <w:r w:rsidRPr="003B6411">
        <w:rPr>
          <w:szCs w:val="24"/>
        </w:rPr>
        <w:fldChar w:fldCharType="begin"/>
      </w:r>
      <w:r w:rsidRPr="003B6411">
        <w:rPr>
          <w:szCs w:val="24"/>
        </w:rPr>
        <w:instrText xml:space="preserve"> NOTEREF _Ref429387175 \h  \* MERGEFORMAT </w:instrText>
      </w:r>
      <w:r w:rsidRPr="003B6411">
        <w:rPr>
          <w:szCs w:val="24"/>
        </w:rPr>
      </w:r>
      <w:r w:rsidRPr="003B6411">
        <w:rPr>
          <w:szCs w:val="24"/>
        </w:rPr>
        <w:fldChar w:fldCharType="separate"/>
      </w:r>
      <w:r w:rsidR="00DA394E">
        <w:rPr>
          <w:szCs w:val="24"/>
        </w:rPr>
        <w:t>1</w:t>
      </w:r>
      <w:r w:rsidRPr="003B6411">
        <w:rPr>
          <w:szCs w:val="24"/>
        </w:rPr>
        <w:fldChar w:fldCharType="end"/>
      </w:r>
      <w:r w:rsidRPr="003B6411">
        <w:rPr>
          <w:szCs w:val="24"/>
        </w:rPr>
        <w:t>, p. 461.</w:t>
      </w:r>
    </w:p>
  </w:endnote>
  <w:endnote w:id="397">
    <w:p w14:paraId="434F5B5F" w14:textId="77777777" w:rsidR="00E856B6" w:rsidRPr="003B6411" w:rsidRDefault="00E856B6" w:rsidP="00EA57D7">
      <w:pPr>
        <w:pStyle w:val="af1"/>
        <w:jc w:val="both"/>
        <w:rPr>
          <w:rFonts w:eastAsia="新細明體"/>
          <w:szCs w:val="24"/>
        </w:rPr>
      </w:pPr>
      <w:r w:rsidRPr="003B6411">
        <w:rPr>
          <w:rStyle w:val="af3"/>
          <w:szCs w:val="24"/>
        </w:rPr>
        <w:endnoteRef/>
      </w:r>
      <w:r w:rsidRPr="003B6411">
        <w:rPr>
          <w:szCs w:val="24"/>
        </w:rPr>
        <w:t xml:space="preserve"> Committee on the Rights of the Child</w:t>
      </w:r>
      <w:r w:rsidRPr="003B6411">
        <w:rPr>
          <w:rFonts w:eastAsia="新細明體"/>
          <w:szCs w:val="24"/>
        </w:rPr>
        <w:t xml:space="preserve">, Concluding Observation: China, </w:t>
      </w:r>
      <w:r w:rsidRPr="003B6411">
        <w:rPr>
          <w:szCs w:val="24"/>
        </w:rPr>
        <w:t xml:space="preserve">¶ </w:t>
      </w:r>
      <w:r w:rsidRPr="003B6411">
        <w:rPr>
          <w:rFonts w:eastAsia="新細明體"/>
          <w:szCs w:val="24"/>
        </w:rPr>
        <w:t>40, U.N. Doc. CRC/C/15/Add.56 (June 7, 1996).</w:t>
      </w:r>
    </w:p>
  </w:endnote>
  <w:endnote w:id="398">
    <w:p w14:paraId="567119D0" w14:textId="77777777" w:rsidR="00E856B6" w:rsidRPr="003B6411" w:rsidRDefault="00E856B6" w:rsidP="00EA57D7">
      <w:pPr>
        <w:pStyle w:val="af1"/>
        <w:jc w:val="both"/>
        <w:rPr>
          <w:rFonts w:eastAsia="新細明體"/>
          <w:szCs w:val="24"/>
        </w:rPr>
      </w:pPr>
      <w:r w:rsidRPr="003B6411">
        <w:rPr>
          <w:rStyle w:val="af3"/>
          <w:szCs w:val="24"/>
        </w:rPr>
        <w:endnoteRef/>
      </w:r>
      <w:r w:rsidRPr="003B6411">
        <w:rPr>
          <w:szCs w:val="24"/>
        </w:rPr>
        <w:t xml:space="preserve"> Committee on the Rights of the Child</w:t>
      </w:r>
      <w:r w:rsidRPr="003B6411">
        <w:rPr>
          <w:rFonts w:eastAsia="新細明體"/>
          <w:szCs w:val="24"/>
        </w:rPr>
        <w:t xml:space="preserve">, Concluding Observation: </w:t>
      </w:r>
      <w:r w:rsidRPr="003B6411">
        <w:rPr>
          <w:szCs w:val="24"/>
        </w:rPr>
        <w:t>United Kingdom, ¶ 33</w:t>
      </w:r>
      <w:r w:rsidRPr="003B6411">
        <w:rPr>
          <w:rFonts w:eastAsia="新細明體"/>
          <w:szCs w:val="24"/>
        </w:rPr>
        <w:t>,</w:t>
      </w:r>
      <w:r w:rsidRPr="003B6411">
        <w:rPr>
          <w:szCs w:val="24"/>
        </w:rPr>
        <w:t xml:space="preserve"> </w:t>
      </w:r>
      <w:r w:rsidRPr="003B6411">
        <w:rPr>
          <w:rFonts w:eastAsia="新細明體"/>
          <w:szCs w:val="24"/>
        </w:rPr>
        <w:t xml:space="preserve">U.N. Doc. </w:t>
      </w:r>
      <w:r w:rsidRPr="003B6411">
        <w:rPr>
          <w:szCs w:val="24"/>
        </w:rPr>
        <w:t>CRC/C/15/Add.34 (Feb. 15, 1995).</w:t>
      </w:r>
    </w:p>
  </w:endnote>
  <w:endnote w:id="399">
    <w:p w14:paraId="4BF81348" w14:textId="77777777" w:rsidR="00E856B6" w:rsidRPr="003B6411" w:rsidRDefault="00E856B6" w:rsidP="00EA57D7">
      <w:pPr>
        <w:pStyle w:val="af1"/>
        <w:jc w:val="both"/>
        <w:rPr>
          <w:rFonts w:eastAsia="新細明體"/>
          <w:szCs w:val="24"/>
        </w:rPr>
      </w:pPr>
      <w:r w:rsidRPr="003B6411">
        <w:rPr>
          <w:rStyle w:val="af3"/>
          <w:szCs w:val="24"/>
        </w:rPr>
        <w:endnoteRef/>
      </w:r>
      <w:r w:rsidRPr="003B6411">
        <w:rPr>
          <w:szCs w:val="24"/>
        </w:rPr>
        <w:t xml:space="preserve"> Committee on the Rights of the Child</w:t>
      </w:r>
      <w:r w:rsidRPr="003B6411">
        <w:rPr>
          <w:rFonts w:eastAsia="新細明體"/>
          <w:szCs w:val="24"/>
        </w:rPr>
        <w:t>,</w:t>
      </w:r>
      <w:r w:rsidRPr="003B6411">
        <w:rPr>
          <w:i/>
          <w:szCs w:val="24"/>
        </w:rPr>
        <w:t xml:space="preserve"> </w:t>
      </w:r>
      <w:r w:rsidRPr="003B6411">
        <w:rPr>
          <w:rFonts w:eastAsia="新細明體"/>
          <w:i/>
          <w:szCs w:val="24"/>
        </w:rPr>
        <w:t>s</w:t>
      </w:r>
      <w:r w:rsidRPr="003B6411">
        <w:rPr>
          <w:i/>
          <w:szCs w:val="24"/>
        </w:rPr>
        <w:t>upra</w:t>
      </w:r>
      <w:r w:rsidRPr="003B6411">
        <w:rPr>
          <w:szCs w:val="24"/>
        </w:rPr>
        <w:t xml:space="preserve"> note </w:t>
      </w:r>
      <w:r w:rsidRPr="003B6411">
        <w:rPr>
          <w:szCs w:val="24"/>
        </w:rPr>
        <w:fldChar w:fldCharType="begin"/>
      </w:r>
      <w:r w:rsidRPr="003B6411">
        <w:rPr>
          <w:szCs w:val="24"/>
        </w:rPr>
        <w:instrText xml:space="preserve"> NOTEREF _Ref429387327 \h  \* MERGEFORMAT </w:instrText>
      </w:r>
      <w:r w:rsidRPr="003B6411">
        <w:rPr>
          <w:szCs w:val="24"/>
        </w:rPr>
      </w:r>
      <w:r w:rsidRPr="003B6411">
        <w:rPr>
          <w:szCs w:val="24"/>
        </w:rPr>
        <w:fldChar w:fldCharType="separate"/>
      </w:r>
      <w:r w:rsidR="00DA394E">
        <w:rPr>
          <w:szCs w:val="24"/>
        </w:rPr>
        <w:t>2</w:t>
      </w:r>
      <w:r w:rsidRPr="003B6411">
        <w:rPr>
          <w:szCs w:val="24"/>
        </w:rPr>
        <w:fldChar w:fldCharType="end"/>
      </w:r>
      <w:r w:rsidRPr="003B6411">
        <w:rPr>
          <w:szCs w:val="24"/>
        </w:rPr>
        <w:t>, ¶ 15.</w:t>
      </w:r>
    </w:p>
  </w:endnote>
  <w:endnote w:id="400">
    <w:p w14:paraId="07089F61" w14:textId="77777777" w:rsidR="00E856B6" w:rsidRPr="003B6411" w:rsidRDefault="00E856B6" w:rsidP="00EA57D7">
      <w:pPr>
        <w:pStyle w:val="af1"/>
        <w:jc w:val="both"/>
        <w:rPr>
          <w:rFonts w:eastAsia="新細明體"/>
          <w:bCs/>
          <w:szCs w:val="24"/>
        </w:rPr>
      </w:pPr>
      <w:r w:rsidRPr="003B6411">
        <w:rPr>
          <w:rStyle w:val="af3"/>
          <w:szCs w:val="24"/>
        </w:rPr>
        <w:endnoteRef/>
      </w:r>
      <w:r w:rsidRPr="003B6411">
        <w:rPr>
          <w:szCs w:val="24"/>
        </w:rPr>
        <w:t xml:space="preserve"> </w:t>
      </w:r>
      <w:r w:rsidRPr="003B6411">
        <w:rPr>
          <w:szCs w:val="24"/>
        </w:rPr>
        <w:t>兒童權利委員會，第</w:t>
      </w:r>
      <w:r w:rsidRPr="003B6411">
        <w:rPr>
          <w:szCs w:val="24"/>
        </w:rPr>
        <w:t>11</w:t>
      </w:r>
      <w:r w:rsidRPr="003B6411">
        <w:rPr>
          <w:szCs w:val="24"/>
        </w:rPr>
        <w:t>號一般性意見「原住民兒童及其在公約下的權利」第</w:t>
      </w:r>
      <w:r w:rsidRPr="003B6411">
        <w:rPr>
          <w:szCs w:val="24"/>
        </w:rPr>
        <w:t>19-22</w:t>
      </w:r>
      <w:r w:rsidRPr="003B6411">
        <w:rPr>
          <w:szCs w:val="24"/>
        </w:rPr>
        <w:t>段。</w:t>
      </w:r>
      <w:r w:rsidRPr="003B6411">
        <w:rPr>
          <w:szCs w:val="24"/>
        </w:rPr>
        <w:t>Committee on the Rights of the Child</w:t>
      </w:r>
      <w:r w:rsidRPr="003B6411">
        <w:rPr>
          <w:rFonts w:eastAsia="新細明體"/>
          <w:szCs w:val="24"/>
        </w:rPr>
        <w:t>,</w:t>
      </w:r>
      <w:r w:rsidRPr="003B6411">
        <w:rPr>
          <w:bCs/>
          <w:szCs w:val="24"/>
        </w:rPr>
        <w:t xml:space="preserve"> General Comment No. 11</w:t>
      </w:r>
      <w:r w:rsidRPr="003B6411">
        <w:rPr>
          <w:rFonts w:eastAsia="新細明體"/>
          <w:bCs/>
          <w:szCs w:val="24"/>
        </w:rPr>
        <w:t xml:space="preserve">: </w:t>
      </w:r>
      <w:r w:rsidRPr="003B6411">
        <w:rPr>
          <w:bCs/>
          <w:szCs w:val="24"/>
        </w:rPr>
        <w:t xml:space="preserve">Indigenous Children and Their Rights under the Convention, </w:t>
      </w:r>
      <w:r w:rsidRPr="003B6411">
        <w:rPr>
          <w:szCs w:val="24"/>
        </w:rPr>
        <w:t>¶¶</w:t>
      </w:r>
      <w:r w:rsidRPr="003B6411">
        <w:rPr>
          <w:bCs/>
          <w:szCs w:val="24"/>
        </w:rPr>
        <w:t xml:space="preserve"> 19-22, U.N. Doc. CRC/GC/2001/1 (Feb. 12, 2009).</w:t>
      </w:r>
    </w:p>
  </w:endnote>
  <w:endnote w:id="401">
    <w:p w14:paraId="70D70721" w14:textId="77777777" w:rsidR="00E856B6" w:rsidRPr="003B6411" w:rsidRDefault="00E856B6" w:rsidP="00EA57D7">
      <w:pPr>
        <w:pStyle w:val="af1"/>
        <w:jc w:val="both"/>
        <w:rPr>
          <w:rFonts w:eastAsia="新細明體"/>
          <w:szCs w:val="24"/>
        </w:rPr>
      </w:pPr>
      <w:r w:rsidRPr="003B6411">
        <w:rPr>
          <w:rStyle w:val="af3"/>
          <w:szCs w:val="24"/>
        </w:rPr>
        <w:endnoteRef/>
      </w:r>
      <w:r w:rsidRPr="003B6411">
        <w:rPr>
          <w:szCs w:val="24"/>
        </w:rPr>
        <w:t xml:space="preserve"> V.M. and others v. Belgium, 7 July 2015, Application No. 60125/11</w:t>
      </w:r>
      <w:r w:rsidRPr="003B6411">
        <w:rPr>
          <w:rFonts w:eastAsia="新細明體"/>
          <w:szCs w:val="24"/>
        </w:rPr>
        <w:t>, 2015 Eur. Ct. H.R. 665.</w:t>
      </w:r>
    </w:p>
  </w:endnote>
  <w:endnote w:id="402">
    <w:p w14:paraId="0439745A" w14:textId="77777777" w:rsidR="00E856B6" w:rsidRPr="003B6411" w:rsidRDefault="00E856B6" w:rsidP="00EA57D7">
      <w:pPr>
        <w:pStyle w:val="af1"/>
        <w:jc w:val="both"/>
        <w:rPr>
          <w:rFonts w:eastAsia="新細明體"/>
          <w:szCs w:val="24"/>
        </w:rPr>
      </w:pPr>
      <w:r w:rsidRPr="003B6411">
        <w:rPr>
          <w:rStyle w:val="af3"/>
          <w:szCs w:val="24"/>
        </w:rPr>
        <w:endnoteRef/>
      </w:r>
      <w:r w:rsidRPr="003B6411">
        <w:rPr>
          <w:szCs w:val="24"/>
        </w:rPr>
        <w:t xml:space="preserve"> In the Matter of the Child and Family Services Act and in the Matter of R.T., M.T., M.A.T., A.L. and K.A. (2004) SKQB 503 (Re R.T.), </w:t>
      </w:r>
      <w:r w:rsidRPr="003B6411">
        <w:rPr>
          <w:i/>
          <w:szCs w:val="24"/>
        </w:rPr>
        <w:t xml:space="preserve">available at </w:t>
      </w:r>
      <w:r w:rsidRPr="003B6411">
        <w:rPr>
          <w:szCs w:val="24"/>
        </w:rPr>
        <w:t>http://caselaw.</w:t>
      </w:r>
      <w:r w:rsidRPr="003B6411">
        <w:rPr>
          <w:szCs w:val="24"/>
        </w:rPr>
        <w:br/>
        <w:t>canada.globe24h.com/0/0/saskatchewan/court-of-queen-s-bench-for-saskatchewan/2004/12/10/r-t-re-2004-skqb-503.shtml (last visited: July 30, 2015).</w:t>
      </w:r>
    </w:p>
  </w:endnote>
  <w:endnote w:id="403">
    <w:p w14:paraId="2B3161CF"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smallCaps/>
          <w:szCs w:val="24"/>
        </w:rPr>
        <w:t>UNICEF, Implementation Handbook for the Convention on the Rights of the Child 465</w:t>
      </w:r>
      <w:r w:rsidRPr="003B6411">
        <w:rPr>
          <w:szCs w:val="24"/>
        </w:rPr>
        <w:t>. 2007).</w:t>
      </w:r>
    </w:p>
  </w:endnote>
  <w:endnote w:id="404">
    <w:p w14:paraId="2082161F"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szCs w:val="24"/>
        </w:rPr>
        <w:t>兒童權利委員會，第</w:t>
      </w:r>
      <w:r w:rsidRPr="003B6411">
        <w:rPr>
          <w:szCs w:val="24"/>
        </w:rPr>
        <w:t>17</w:t>
      </w:r>
      <w:r w:rsidRPr="003B6411">
        <w:rPr>
          <w:szCs w:val="24"/>
        </w:rPr>
        <w:t>號一般性意見「兒童休閒權」，第</w:t>
      </w:r>
      <w:r w:rsidRPr="003B6411">
        <w:rPr>
          <w:szCs w:val="24"/>
        </w:rPr>
        <w:t>14(a)</w:t>
      </w:r>
      <w:r w:rsidRPr="003B6411">
        <w:rPr>
          <w:szCs w:val="24"/>
        </w:rPr>
        <w:t>段。</w:t>
      </w:r>
      <w:r w:rsidRPr="003B6411">
        <w:rPr>
          <w:szCs w:val="24"/>
        </w:rPr>
        <w:t>Committee on the Rights of the Child, General Comment No. 17 on the Right of the Child to Rest, Leisure, Play, Recreational Activities, Cultural Life and the Arts (Art. 31), ¶ 14(a), U.N. Doc. CRC/C/GC/17 (Apr. 17, 2013).</w:t>
      </w:r>
    </w:p>
  </w:endnote>
  <w:endnote w:id="405">
    <w:p w14:paraId="39976786"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i/>
          <w:szCs w:val="24"/>
        </w:rPr>
        <w:t>Id.</w:t>
      </w:r>
      <w:r w:rsidRPr="003B6411">
        <w:rPr>
          <w:szCs w:val="24"/>
        </w:rPr>
        <w:t xml:space="preserve"> ¶ 14(b).</w:t>
      </w:r>
    </w:p>
  </w:endnote>
  <w:endnote w:id="406">
    <w:p w14:paraId="006B455E"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i/>
          <w:szCs w:val="24"/>
        </w:rPr>
        <w:t>Id.</w:t>
      </w:r>
      <w:r w:rsidRPr="003B6411">
        <w:rPr>
          <w:szCs w:val="24"/>
        </w:rPr>
        <w:t xml:space="preserve"> ¶ 14(c)</w:t>
      </w:r>
    </w:p>
  </w:endnote>
  <w:endnote w:id="407">
    <w:p w14:paraId="2E50D7C7"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i/>
          <w:szCs w:val="24"/>
        </w:rPr>
        <w:t>Id.</w:t>
      </w:r>
      <w:r w:rsidRPr="003B6411">
        <w:rPr>
          <w:szCs w:val="24"/>
        </w:rPr>
        <w:t xml:space="preserve"> ¶ 14(d)</w:t>
      </w:r>
    </w:p>
  </w:endnote>
  <w:endnote w:id="408">
    <w:p w14:paraId="6E72C2B6"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i/>
          <w:szCs w:val="24"/>
        </w:rPr>
        <w:t>Id.</w:t>
      </w:r>
      <w:r w:rsidRPr="003B6411">
        <w:rPr>
          <w:szCs w:val="24"/>
        </w:rPr>
        <w:t xml:space="preserve"> ¶ 14(e)</w:t>
      </w:r>
    </w:p>
  </w:endnote>
  <w:endnote w:id="409">
    <w:p w14:paraId="43A4A828"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i/>
          <w:szCs w:val="24"/>
        </w:rPr>
        <w:t>Id.</w:t>
      </w:r>
      <w:r w:rsidRPr="003B6411">
        <w:rPr>
          <w:szCs w:val="24"/>
        </w:rPr>
        <w:t xml:space="preserve"> ¶ 14(f)</w:t>
      </w:r>
    </w:p>
  </w:endnote>
  <w:endnote w:id="410">
    <w:p w14:paraId="1ED3D549"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i/>
          <w:szCs w:val="24"/>
        </w:rPr>
        <w:t>Id.</w:t>
      </w:r>
      <w:r w:rsidRPr="003B6411">
        <w:rPr>
          <w:szCs w:val="24"/>
        </w:rPr>
        <w:t xml:space="preserve"> ¶ 14(g)</w:t>
      </w:r>
    </w:p>
  </w:endnote>
  <w:endnote w:id="411">
    <w:p w14:paraId="3FAA0153"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Education for Social Justice, Children’s Rights and Social Justice - Case Studies from Nicarague as Resource for Student and Teachers, http://uk.educationforsocialjustice.</w:t>
      </w:r>
      <w:r w:rsidRPr="003B6411">
        <w:rPr>
          <w:szCs w:val="24"/>
        </w:rPr>
        <w:br/>
        <w:t>org/file.php/1/Case_Studies/Case_study3/Case_Studies_CESESMA_3.pdf</w:t>
      </w:r>
    </w:p>
  </w:endnote>
  <w:endnote w:id="412">
    <w:p w14:paraId="7801A2A4"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szCs w:val="24"/>
        </w:rPr>
        <w:t>張逸芃，如穎成長中心，遊戲治療</w:t>
      </w:r>
      <w:r w:rsidRPr="003B6411">
        <w:rPr>
          <w:szCs w:val="24"/>
        </w:rPr>
        <w:t>──</w:t>
      </w:r>
      <w:r w:rsidRPr="003B6411">
        <w:rPr>
          <w:szCs w:val="24"/>
        </w:rPr>
        <w:t>瞭解兒童與世界溝通的語言，</w:t>
      </w:r>
      <w:r w:rsidRPr="003B6411">
        <w:rPr>
          <w:szCs w:val="24"/>
        </w:rPr>
        <w:t>http://blog.ru-yin.org/2013/01/%E9%81%</w:t>
      </w:r>
      <w:smartTag w:uri="urn:schemas-microsoft-com:office:smarttags" w:element="chmetcnv">
        <w:smartTagPr>
          <w:attr w:name="UnitName" w:val="a"/>
          <w:attr w:name="SourceValue" w:val="8"/>
          <w:attr w:name="HasSpace" w:val="False"/>
          <w:attr w:name="Negative" w:val="False"/>
          <w:attr w:name="NumberType" w:val="1"/>
          <w:attr w:name="TCSC" w:val="0"/>
        </w:smartTagPr>
        <w:r w:rsidRPr="003B6411">
          <w:rPr>
            <w:szCs w:val="24"/>
          </w:rPr>
          <w:t>8A</w:t>
        </w:r>
      </w:smartTag>
      <w:r w:rsidRPr="003B6411">
        <w:rPr>
          <w:szCs w:val="24"/>
        </w:rPr>
        <w:t>%E6%88%B2%E6%B2%BB%E7%99%</w:t>
      </w:r>
      <w:r w:rsidRPr="003B6411">
        <w:rPr>
          <w:szCs w:val="24"/>
        </w:rPr>
        <w:br/>
        <w:t>82%E2%80%94%E7%9E%AD%E8%A7%A3%E5%85%92%E7%AB%A5%E8%88%87%E4%B8%96%E7%95%</w:t>
      </w:r>
      <w:smartTag w:uri="urn:schemas-microsoft-com:office:smarttags" w:element="chmetcnv">
        <w:smartTagPr>
          <w:attr w:name="UnitName" w:val="C"/>
          <w:attr w:name="SourceValue" w:val="8"/>
          <w:attr w:name="HasSpace" w:val="False"/>
          <w:attr w:name="Negative" w:val="False"/>
          <w:attr w:name="NumberType" w:val="1"/>
          <w:attr w:name="TCSC" w:val="0"/>
        </w:smartTagPr>
        <w:r w:rsidRPr="003B6411">
          <w:rPr>
            <w:szCs w:val="24"/>
          </w:rPr>
          <w:t>8C</w:t>
        </w:r>
      </w:smartTag>
      <w:r w:rsidRPr="003B6411">
        <w:rPr>
          <w:szCs w:val="24"/>
        </w:rPr>
        <w:t>%E6%BA%9D%E9%80%</w:t>
      </w:r>
      <w:smartTag w:uri="urn:schemas-microsoft-com:office:smarttags" w:element="chmetcnv">
        <w:smartTagPr>
          <w:attr w:name="UnitName" w:val="a"/>
          <w:attr w:name="SourceValue" w:val="9"/>
          <w:attr w:name="HasSpace" w:val="False"/>
          <w:attr w:name="Negative" w:val="False"/>
          <w:attr w:name="NumberType" w:val="1"/>
          <w:attr w:name="TCSC" w:val="0"/>
        </w:smartTagPr>
        <w:r w:rsidRPr="003B6411">
          <w:rPr>
            <w:szCs w:val="24"/>
          </w:rPr>
          <w:t>9A</w:t>
        </w:r>
      </w:smartTag>
      <w:r w:rsidRPr="003B6411">
        <w:rPr>
          <w:szCs w:val="24"/>
        </w:rPr>
        <w:t>%E7%</w:t>
      </w:r>
      <w:smartTag w:uri="urn:schemas-microsoft-com:office:smarttags" w:element="chmetcnv">
        <w:smartTagPr>
          <w:attr w:name="UnitName" w:val="a"/>
          <w:attr w:name="SourceValue" w:val="9"/>
          <w:attr w:name="HasSpace" w:val="False"/>
          <w:attr w:name="Negative" w:val="False"/>
          <w:attr w:name="NumberType" w:val="1"/>
          <w:attr w:name="TCSC" w:val="0"/>
        </w:smartTagPr>
        <w:r w:rsidRPr="003B6411">
          <w:rPr>
            <w:szCs w:val="24"/>
          </w:rPr>
          <w:t>9A</w:t>
        </w:r>
      </w:smartTag>
      <w:r w:rsidRPr="003B6411">
        <w:rPr>
          <w:szCs w:val="24"/>
        </w:rPr>
        <w:t>%84%E8%AA%9E%E8%A8%80/</w:t>
      </w:r>
    </w:p>
  </w:endnote>
  <w:endnote w:id="413">
    <w:p w14:paraId="71C97772"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Committee on the Rights of the Child, </w:t>
      </w:r>
      <w:r w:rsidRPr="003B6411">
        <w:rPr>
          <w:i/>
          <w:szCs w:val="24"/>
        </w:rPr>
        <w:t xml:space="preserve">supra </w:t>
      </w:r>
      <w:r w:rsidRPr="003B6411">
        <w:rPr>
          <w:szCs w:val="24"/>
        </w:rPr>
        <w:t xml:space="preserve">note </w:t>
      </w:r>
      <w:r w:rsidRPr="003B6411">
        <w:rPr>
          <w:szCs w:val="24"/>
        </w:rPr>
        <w:fldChar w:fldCharType="begin"/>
      </w:r>
      <w:r w:rsidRPr="003B6411">
        <w:rPr>
          <w:szCs w:val="24"/>
        </w:rPr>
        <w:instrText xml:space="preserve"> NOTEREF _Ref430782017 \h  \* MERGEFORMAT </w:instrText>
      </w:r>
      <w:r w:rsidRPr="003B6411">
        <w:rPr>
          <w:szCs w:val="24"/>
        </w:rPr>
      </w:r>
      <w:r w:rsidRPr="003B6411">
        <w:rPr>
          <w:szCs w:val="24"/>
        </w:rPr>
        <w:fldChar w:fldCharType="separate"/>
      </w:r>
      <w:r w:rsidR="00DA394E">
        <w:rPr>
          <w:szCs w:val="24"/>
        </w:rPr>
        <w:t>2</w:t>
      </w:r>
      <w:r w:rsidRPr="003B6411">
        <w:rPr>
          <w:szCs w:val="24"/>
        </w:rPr>
        <w:fldChar w:fldCharType="end"/>
      </w:r>
      <w:r w:rsidRPr="003B6411">
        <w:rPr>
          <w:szCs w:val="24"/>
        </w:rPr>
        <w:t>, ¶ 9</w:t>
      </w:r>
    </w:p>
  </w:endnote>
  <w:endnote w:id="414">
    <w:p w14:paraId="58F832A5" w14:textId="77777777" w:rsidR="00E856B6" w:rsidRPr="003B6411" w:rsidRDefault="00E856B6" w:rsidP="00EA57D7">
      <w:pPr>
        <w:pStyle w:val="af1"/>
        <w:jc w:val="both"/>
        <w:rPr>
          <w:szCs w:val="24"/>
        </w:rPr>
      </w:pPr>
      <w:r w:rsidRPr="003B6411">
        <w:rPr>
          <w:rStyle w:val="af3"/>
          <w:szCs w:val="24"/>
        </w:rPr>
        <w:endnoteRef/>
      </w:r>
      <w:r w:rsidRPr="003B6411">
        <w:rPr>
          <w:szCs w:val="24"/>
          <w:shd w:val="clear" w:color="auto" w:fill="FFFFFF"/>
        </w:rPr>
        <w:t xml:space="preserve"> </w:t>
      </w:r>
      <w:r w:rsidRPr="003B6411">
        <w:rPr>
          <w:szCs w:val="24"/>
          <w:shd w:val="clear" w:color="auto" w:fill="FFFFFF"/>
        </w:rPr>
        <w:t>曾文志、張滿玲、鍾昆源、劉思怡、李偉斌、簡晉龍、吳正仲、蕭麗玫、朱錦鳳，</w:t>
      </w:r>
      <w:r w:rsidRPr="003B6411">
        <w:rPr>
          <w:szCs w:val="24"/>
        </w:rPr>
        <w:t>教育與心裡研究，第</w:t>
      </w:r>
      <w:r w:rsidRPr="003B6411">
        <w:rPr>
          <w:szCs w:val="24"/>
        </w:rPr>
        <w:t>35</w:t>
      </w:r>
      <w:r w:rsidRPr="003B6411">
        <w:rPr>
          <w:szCs w:val="24"/>
        </w:rPr>
        <w:t>卷</w:t>
      </w:r>
      <w:r w:rsidRPr="003B6411">
        <w:rPr>
          <w:szCs w:val="24"/>
        </w:rPr>
        <w:t>2</w:t>
      </w:r>
      <w:r w:rsidRPr="003B6411">
        <w:rPr>
          <w:szCs w:val="24"/>
        </w:rPr>
        <w:t>期，頁</w:t>
      </w:r>
      <w:r w:rsidRPr="003B6411">
        <w:rPr>
          <w:szCs w:val="24"/>
        </w:rPr>
        <w:t>89</w:t>
      </w:r>
      <w:r w:rsidRPr="003B6411">
        <w:rPr>
          <w:szCs w:val="24"/>
        </w:rPr>
        <w:t>。</w:t>
      </w:r>
    </w:p>
  </w:endnote>
  <w:endnote w:id="415">
    <w:p w14:paraId="44BBC2E0"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Child Rights International Network, Article 31: Leisure, Recreation and Culture, https://www.crin.org/en/home/rights/convention/articles/article-31-leisure-recreation-and-culture (last visited Sept. 15, 2015).</w:t>
      </w:r>
    </w:p>
  </w:endnote>
  <w:endnote w:id="416">
    <w:p w14:paraId="722FEA88"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szCs w:val="24"/>
        </w:rPr>
        <w:t>參見兒童權利委員會，第</w:t>
      </w:r>
      <w:r w:rsidRPr="003B6411">
        <w:rPr>
          <w:szCs w:val="24"/>
        </w:rPr>
        <w:t>4</w:t>
      </w:r>
      <w:r w:rsidRPr="003B6411">
        <w:rPr>
          <w:szCs w:val="24"/>
        </w:rPr>
        <w:t>號一般性意見「少年健康與發展」，第</w:t>
      </w:r>
      <w:r w:rsidRPr="003B6411">
        <w:rPr>
          <w:szCs w:val="24"/>
        </w:rPr>
        <w:t>39(e)</w:t>
      </w:r>
      <w:r w:rsidRPr="003B6411">
        <w:rPr>
          <w:szCs w:val="24"/>
        </w:rPr>
        <w:t>段。</w:t>
      </w:r>
      <w:r w:rsidRPr="003B6411">
        <w:rPr>
          <w:i/>
          <w:szCs w:val="24"/>
        </w:rPr>
        <w:t>See</w:t>
      </w:r>
      <w:r w:rsidRPr="003B6411">
        <w:rPr>
          <w:szCs w:val="24"/>
        </w:rPr>
        <w:t xml:space="preserve"> Committee on the Rights of the Child, General Comment No. 4: Adolescent Health and Development in the Context of the Convention on the Rights of the Child, ¶ 39(e), U.N. Doc. CRC/GC/2003/4 (July 1, 2003) [hereinafter General Comment No. 4].</w:t>
      </w:r>
    </w:p>
  </w:endnote>
  <w:endnote w:id="417">
    <w:p w14:paraId="33455779"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szCs w:val="24"/>
        </w:rPr>
        <w:t>兒童權利委員會，第</w:t>
      </w:r>
      <w:r w:rsidRPr="003B6411">
        <w:rPr>
          <w:szCs w:val="24"/>
        </w:rPr>
        <w:t>5</w:t>
      </w:r>
      <w:r w:rsidRPr="003B6411">
        <w:rPr>
          <w:szCs w:val="24"/>
        </w:rPr>
        <w:t>屆會議報告，第</w:t>
      </w:r>
      <w:r w:rsidRPr="003B6411">
        <w:rPr>
          <w:szCs w:val="24"/>
        </w:rPr>
        <w:t>39</w:t>
      </w:r>
      <w:r w:rsidRPr="003B6411">
        <w:rPr>
          <w:szCs w:val="24"/>
        </w:rPr>
        <w:t>頁。</w:t>
      </w:r>
      <w:r w:rsidRPr="003B6411">
        <w:rPr>
          <w:szCs w:val="24"/>
        </w:rPr>
        <w:t>Committee on the Rights of the Child, Report on the Fifth Session, at 39, U.N. Doc. CRC/C/24 (Mar. 8, 1994).</w:t>
      </w:r>
    </w:p>
  </w:endnote>
  <w:endnote w:id="418">
    <w:p w14:paraId="06397E60"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smallCaps/>
          <w:szCs w:val="24"/>
        </w:rPr>
        <w:t>Lee Swepston, A Commentary on the United Nations Convention on the Rights of the Child: Article 32. Protection from Economic Exploitation</w:t>
      </w:r>
      <w:r w:rsidRPr="003B6411">
        <w:rPr>
          <w:szCs w:val="24"/>
        </w:rPr>
        <w:t xml:space="preserve"> 19 (André Alen et al. eds., 2012).</w:t>
      </w:r>
    </w:p>
  </w:endnote>
  <w:endnote w:id="419">
    <w:p w14:paraId="66B1CBF0"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General Comment No. 4, </w:t>
      </w:r>
      <w:r w:rsidRPr="003B6411">
        <w:rPr>
          <w:i/>
          <w:szCs w:val="24"/>
        </w:rPr>
        <w:t>supra</w:t>
      </w:r>
      <w:r w:rsidRPr="003B6411">
        <w:rPr>
          <w:szCs w:val="24"/>
        </w:rPr>
        <w:t xml:space="preserve"> note </w:t>
      </w:r>
      <w:r w:rsidRPr="003B6411">
        <w:fldChar w:fldCharType="begin"/>
      </w:r>
      <w:r w:rsidRPr="003B6411">
        <w:instrText xml:space="preserve"> NOTEREF _Ref425293995 \h  \* MERGEFORMAT </w:instrText>
      </w:r>
      <w:r w:rsidRPr="003B6411">
        <w:fldChar w:fldCharType="separate"/>
      </w:r>
      <w:r w:rsidR="00DA394E">
        <w:t>1</w:t>
      </w:r>
      <w:r w:rsidRPr="003B6411">
        <w:fldChar w:fldCharType="end"/>
      </w:r>
      <w:r w:rsidRPr="003B6411">
        <w:rPr>
          <w:szCs w:val="24"/>
        </w:rPr>
        <w:t>, ¶ 12.</w:t>
      </w:r>
    </w:p>
  </w:endnote>
  <w:endnote w:id="420">
    <w:p w14:paraId="4DE9B6B0"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i/>
          <w:szCs w:val="24"/>
        </w:rPr>
        <w:t>Id.</w:t>
      </w:r>
      <w:r w:rsidRPr="003B6411">
        <w:rPr>
          <w:szCs w:val="24"/>
        </w:rPr>
        <w:t xml:space="preserve"> ¶ 18.</w:t>
      </w:r>
    </w:p>
  </w:endnote>
  <w:endnote w:id="421">
    <w:p w14:paraId="1A126B7C"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Committee on the Rights of the Child, Concluding Observations: Albania, ¶ 79, U.N. Doc. CRC/C/ALB/CO/2-4 (Dec. 7, 2012).</w:t>
      </w:r>
    </w:p>
  </w:endnote>
  <w:endnote w:id="422">
    <w:p w14:paraId="4FB23CF4"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smallCaps/>
          <w:szCs w:val="24"/>
        </w:rPr>
        <w:t xml:space="preserve">Swepston, </w:t>
      </w:r>
      <w:r w:rsidRPr="003B6411">
        <w:rPr>
          <w:i/>
          <w:szCs w:val="24"/>
        </w:rPr>
        <w:t xml:space="preserve">supra </w:t>
      </w:r>
      <w:r w:rsidRPr="003B6411">
        <w:rPr>
          <w:szCs w:val="24"/>
        </w:rPr>
        <w:t xml:space="preserve">note </w:t>
      </w:r>
      <w:r w:rsidRPr="003B6411">
        <w:rPr>
          <w:szCs w:val="24"/>
        </w:rPr>
        <w:fldChar w:fldCharType="begin"/>
      </w:r>
      <w:r w:rsidRPr="003B6411">
        <w:rPr>
          <w:szCs w:val="24"/>
        </w:rPr>
        <w:instrText xml:space="preserve"> NOTEREF _Ref425203803 \h  \* MERGEFORMAT </w:instrText>
      </w:r>
      <w:r w:rsidRPr="003B6411">
        <w:rPr>
          <w:szCs w:val="24"/>
        </w:rPr>
      </w:r>
      <w:r w:rsidRPr="003B6411">
        <w:rPr>
          <w:szCs w:val="24"/>
        </w:rPr>
        <w:fldChar w:fldCharType="separate"/>
      </w:r>
      <w:r w:rsidR="00DA394E">
        <w:rPr>
          <w:szCs w:val="24"/>
        </w:rPr>
        <w:t>3</w:t>
      </w:r>
      <w:r w:rsidRPr="003B6411">
        <w:rPr>
          <w:szCs w:val="24"/>
        </w:rPr>
        <w:fldChar w:fldCharType="end"/>
      </w:r>
      <w:r w:rsidRPr="003B6411">
        <w:rPr>
          <w:szCs w:val="24"/>
        </w:rPr>
        <w:t>, at 21.</w:t>
      </w:r>
    </w:p>
  </w:endnote>
  <w:endnote w:id="423">
    <w:p w14:paraId="03D92C5E"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i/>
          <w:szCs w:val="24"/>
        </w:rPr>
        <w:t>E.g.</w:t>
      </w:r>
      <w:r w:rsidRPr="003B6411">
        <w:rPr>
          <w:szCs w:val="24"/>
        </w:rPr>
        <w:t>, Committee on the Rights of the Child, Concluding Observations: Belarus, ¶ 6, U.N. Doc. CRC/C/15/Add.17 (Feb. 7, 1994); Committee on the Rights of the Child, Concluding Observations: Albania, ¶ 41, U.N. Doc. CRC/C/15/Add.40 (June 21, 1995).</w:t>
      </w:r>
    </w:p>
  </w:endnote>
  <w:endnote w:id="424">
    <w:p w14:paraId="3D87CFD1"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smallCaps/>
          <w:szCs w:val="24"/>
        </w:rPr>
        <w:t xml:space="preserve">Swepston, </w:t>
      </w:r>
      <w:r w:rsidRPr="003B6411">
        <w:rPr>
          <w:i/>
          <w:szCs w:val="24"/>
        </w:rPr>
        <w:t xml:space="preserve">supra </w:t>
      </w:r>
      <w:r w:rsidRPr="003B6411">
        <w:rPr>
          <w:szCs w:val="24"/>
        </w:rPr>
        <w:t xml:space="preserve">note </w:t>
      </w:r>
      <w:r w:rsidRPr="003B6411">
        <w:rPr>
          <w:szCs w:val="24"/>
        </w:rPr>
        <w:fldChar w:fldCharType="begin"/>
      </w:r>
      <w:r w:rsidRPr="003B6411">
        <w:rPr>
          <w:szCs w:val="24"/>
        </w:rPr>
        <w:instrText xml:space="preserve"> NOTEREF _Ref425203803 \h  \* MERGEFORMAT </w:instrText>
      </w:r>
      <w:r w:rsidRPr="003B6411">
        <w:rPr>
          <w:szCs w:val="24"/>
        </w:rPr>
      </w:r>
      <w:r w:rsidRPr="003B6411">
        <w:rPr>
          <w:szCs w:val="24"/>
        </w:rPr>
        <w:fldChar w:fldCharType="separate"/>
      </w:r>
      <w:r w:rsidR="00DA394E">
        <w:rPr>
          <w:szCs w:val="24"/>
        </w:rPr>
        <w:t>3</w:t>
      </w:r>
      <w:r w:rsidRPr="003B6411">
        <w:rPr>
          <w:szCs w:val="24"/>
        </w:rPr>
        <w:fldChar w:fldCharType="end"/>
      </w:r>
      <w:r w:rsidRPr="003B6411">
        <w:rPr>
          <w:szCs w:val="24"/>
        </w:rPr>
        <w:t xml:space="preserve">, at 24. </w:t>
      </w:r>
      <w:r w:rsidRPr="003B6411">
        <w:rPr>
          <w:i/>
          <w:szCs w:val="24"/>
        </w:rPr>
        <w:t xml:space="preserve">See also </w:t>
      </w:r>
      <w:r w:rsidRPr="003B6411">
        <w:rPr>
          <w:smallCaps/>
          <w:szCs w:val="24"/>
        </w:rPr>
        <w:t xml:space="preserve">UNICEF, Implementation Handbook for the Convention on the Rights of the Child </w:t>
      </w:r>
      <w:r w:rsidRPr="003B6411">
        <w:rPr>
          <w:szCs w:val="24"/>
        </w:rPr>
        <w:t>492-94 (3d ed. 2007).</w:t>
      </w:r>
    </w:p>
  </w:endnote>
  <w:endnote w:id="425">
    <w:p w14:paraId="1E3C4B36"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smallCaps/>
          <w:szCs w:val="24"/>
        </w:rPr>
        <w:t xml:space="preserve">Swepston, </w:t>
      </w:r>
      <w:r w:rsidRPr="003B6411">
        <w:rPr>
          <w:i/>
          <w:szCs w:val="24"/>
        </w:rPr>
        <w:t xml:space="preserve">supra </w:t>
      </w:r>
      <w:r w:rsidRPr="003B6411">
        <w:rPr>
          <w:szCs w:val="24"/>
        </w:rPr>
        <w:t xml:space="preserve">note </w:t>
      </w:r>
      <w:r w:rsidRPr="003B6411">
        <w:rPr>
          <w:szCs w:val="24"/>
        </w:rPr>
        <w:fldChar w:fldCharType="begin"/>
      </w:r>
      <w:r w:rsidRPr="003B6411">
        <w:rPr>
          <w:szCs w:val="24"/>
        </w:rPr>
        <w:instrText xml:space="preserve"> NOTEREF _Ref425203803 \h  \* MERGEFORMAT </w:instrText>
      </w:r>
      <w:r w:rsidRPr="003B6411">
        <w:rPr>
          <w:szCs w:val="24"/>
        </w:rPr>
      </w:r>
      <w:r w:rsidRPr="003B6411">
        <w:rPr>
          <w:szCs w:val="24"/>
        </w:rPr>
        <w:fldChar w:fldCharType="separate"/>
      </w:r>
      <w:r w:rsidR="00DA394E">
        <w:rPr>
          <w:szCs w:val="24"/>
        </w:rPr>
        <w:t>3</w:t>
      </w:r>
      <w:r w:rsidRPr="003B6411">
        <w:rPr>
          <w:szCs w:val="24"/>
        </w:rPr>
        <w:fldChar w:fldCharType="end"/>
      </w:r>
      <w:r w:rsidRPr="003B6411">
        <w:rPr>
          <w:szCs w:val="24"/>
        </w:rPr>
        <w:t>, at 25.</w:t>
      </w:r>
    </w:p>
  </w:endnote>
  <w:endnote w:id="426">
    <w:p w14:paraId="0A1E18A2"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i/>
          <w:szCs w:val="24"/>
        </w:rPr>
        <w:t>E.g.</w:t>
      </w:r>
      <w:r w:rsidRPr="003B6411">
        <w:rPr>
          <w:szCs w:val="24"/>
        </w:rPr>
        <w:t>, Committee on the Rights of the Child, Concluding Observations: Costa Rica, ¶ 74, U.N. Doc. CRC/C/CRI/CO/4 (Aug. 3, 2011).</w:t>
      </w:r>
    </w:p>
  </w:endnote>
  <w:endnote w:id="427">
    <w:p w14:paraId="3FA3B34D"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i/>
          <w:szCs w:val="24"/>
        </w:rPr>
        <w:t>E.g.</w:t>
      </w:r>
      <w:r w:rsidRPr="003B6411">
        <w:rPr>
          <w:szCs w:val="24"/>
        </w:rPr>
        <w:t xml:space="preserve">, Committee on the Rights of the Child, Concluding Observations: Albania, </w:t>
      </w:r>
      <w:r w:rsidRPr="003B6411">
        <w:rPr>
          <w:i/>
          <w:szCs w:val="24"/>
        </w:rPr>
        <w:t xml:space="preserve">supra </w:t>
      </w:r>
      <w:r w:rsidRPr="003B6411">
        <w:rPr>
          <w:szCs w:val="24"/>
        </w:rPr>
        <w:t xml:space="preserve">note </w:t>
      </w:r>
      <w:r w:rsidRPr="003B6411">
        <w:fldChar w:fldCharType="begin"/>
      </w:r>
      <w:r w:rsidRPr="003B6411">
        <w:instrText xml:space="preserve"> NOTEREF _Ref426180026 \h  \* MERGEFORMAT </w:instrText>
      </w:r>
      <w:r w:rsidRPr="003B6411">
        <w:fldChar w:fldCharType="separate"/>
      </w:r>
      <w:r w:rsidR="00DA394E">
        <w:t>6</w:t>
      </w:r>
      <w:r w:rsidRPr="003B6411">
        <w:fldChar w:fldCharType="end"/>
      </w:r>
      <w:r w:rsidRPr="003B6411">
        <w:rPr>
          <w:szCs w:val="24"/>
        </w:rPr>
        <w:t>, ¶ 79.</w:t>
      </w:r>
    </w:p>
  </w:endnote>
  <w:endnote w:id="428">
    <w:p w14:paraId="06227083"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i/>
          <w:szCs w:val="24"/>
        </w:rPr>
        <w:t>E.g.</w:t>
      </w:r>
      <w:r w:rsidRPr="003B6411">
        <w:rPr>
          <w:szCs w:val="24"/>
        </w:rPr>
        <w:t>, Committee on the Rights of the Child, Concluding Observations: Ecuador, ¶ 68, U.N. Doc. CRC/C/15/Add.262 (Sept. 3, 2005).</w:t>
      </w:r>
    </w:p>
  </w:endnote>
  <w:endnote w:id="429">
    <w:p w14:paraId="7242F567"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i/>
          <w:szCs w:val="24"/>
        </w:rPr>
        <w:t>E.g.</w:t>
      </w:r>
      <w:r w:rsidRPr="003B6411">
        <w:rPr>
          <w:szCs w:val="24"/>
        </w:rPr>
        <w:t>, Committee on the Rights of the Child, Concluding Observations: Madagascar, ¶ 60, U.N. Doc. CRC/C/MDG/CO/3-4 (Mar. 8, 2012).</w:t>
      </w:r>
    </w:p>
  </w:endnote>
  <w:endnote w:id="430">
    <w:p w14:paraId="0DCD69E1"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smallCaps/>
          <w:szCs w:val="24"/>
        </w:rPr>
        <w:t xml:space="preserve">Swepston, </w:t>
      </w:r>
      <w:r w:rsidRPr="003B6411">
        <w:rPr>
          <w:i/>
          <w:szCs w:val="24"/>
        </w:rPr>
        <w:t xml:space="preserve">supra </w:t>
      </w:r>
      <w:r w:rsidRPr="003B6411">
        <w:rPr>
          <w:szCs w:val="24"/>
        </w:rPr>
        <w:t xml:space="preserve">note </w:t>
      </w:r>
      <w:r w:rsidRPr="003B6411">
        <w:rPr>
          <w:szCs w:val="24"/>
        </w:rPr>
        <w:fldChar w:fldCharType="begin"/>
      </w:r>
      <w:r w:rsidRPr="003B6411">
        <w:rPr>
          <w:szCs w:val="24"/>
        </w:rPr>
        <w:instrText xml:space="preserve"> NOTEREF _Ref425203803 \h  \* MERGEFORMAT </w:instrText>
      </w:r>
      <w:r w:rsidRPr="003B6411">
        <w:rPr>
          <w:szCs w:val="24"/>
        </w:rPr>
      </w:r>
      <w:r w:rsidRPr="003B6411">
        <w:rPr>
          <w:szCs w:val="24"/>
        </w:rPr>
        <w:fldChar w:fldCharType="separate"/>
      </w:r>
      <w:r w:rsidR="00DA394E">
        <w:rPr>
          <w:szCs w:val="24"/>
        </w:rPr>
        <w:t>3</w:t>
      </w:r>
      <w:r w:rsidRPr="003B6411">
        <w:rPr>
          <w:szCs w:val="24"/>
        </w:rPr>
        <w:fldChar w:fldCharType="end"/>
      </w:r>
      <w:r w:rsidRPr="003B6411">
        <w:rPr>
          <w:szCs w:val="24"/>
        </w:rPr>
        <w:t>, at 28.</w:t>
      </w:r>
    </w:p>
  </w:endnote>
  <w:endnote w:id="431">
    <w:p w14:paraId="1C63A126"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i/>
          <w:szCs w:val="24"/>
        </w:rPr>
        <w:t>Id.</w:t>
      </w:r>
      <w:r w:rsidRPr="003B6411">
        <w:rPr>
          <w:szCs w:val="24"/>
        </w:rPr>
        <w:t xml:space="preserve"> at 29.</w:t>
      </w:r>
    </w:p>
  </w:endnote>
  <w:endnote w:id="432">
    <w:p w14:paraId="352A026D"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i/>
          <w:szCs w:val="24"/>
        </w:rPr>
        <w:t>E.g.</w:t>
      </w:r>
      <w:r w:rsidRPr="003B6411">
        <w:rPr>
          <w:szCs w:val="24"/>
        </w:rPr>
        <w:t>, Committee on the Rights of the Child, Concluding Observations: Burundi, ¶ 71, U.N. Doc. CRC/C/BDI/CO/2 (Oct. 20, 2010).</w:t>
      </w:r>
    </w:p>
  </w:endnote>
  <w:endnote w:id="433">
    <w:p w14:paraId="27ABDE59"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smallCaps/>
          <w:szCs w:val="24"/>
        </w:rPr>
        <w:t xml:space="preserve">Swepston, </w:t>
      </w:r>
      <w:r w:rsidRPr="003B6411">
        <w:rPr>
          <w:i/>
          <w:szCs w:val="24"/>
        </w:rPr>
        <w:t xml:space="preserve">supra </w:t>
      </w:r>
      <w:r w:rsidRPr="003B6411">
        <w:rPr>
          <w:szCs w:val="24"/>
        </w:rPr>
        <w:t xml:space="preserve">note </w:t>
      </w:r>
      <w:r w:rsidRPr="003B6411">
        <w:rPr>
          <w:szCs w:val="24"/>
        </w:rPr>
        <w:fldChar w:fldCharType="begin"/>
      </w:r>
      <w:r w:rsidRPr="003B6411">
        <w:rPr>
          <w:szCs w:val="24"/>
        </w:rPr>
        <w:instrText xml:space="preserve"> NOTEREF _Ref425203803 \h  \* MERGEFORMAT </w:instrText>
      </w:r>
      <w:r w:rsidRPr="003B6411">
        <w:rPr>
          <w:szCs w:val="24"/>
        </w:rPr>
      </w:r>
      <w:r w:rsidRPr="003B6411">
        <w:rPr>
          <w:szCs w:val="24"/>
        </w:rPr>
        <w:fldChar w:fldCharType="separate"/>
      </w:r>
      <w:r w:rsidR="00DA394E">
        <w:rPr>
          <w:szCs w:val="24"/>
        </w:rPr>
        <w:t>3</w:t>
      </w:r>
      <w:r w:rsidRPr="003B6411">
        <w:rPr>
          <w:szCs w:val="24"/>
        </w:rPr>
        <w:fldChar w:fldCharType="end"/>
      </w:r>
      <w:r w:rsidRPr="003B6411">
        <w:rPr>
          <w:szCs w:val="24"/>
        </w:rPr>
        <w:t>, at 31.</w:t>
      </w:r>
    </w:p>
  </w:endnote>
  <w:endnote w:id="434">
    <w:p w14:paraId="077DD281"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i/>
          <w:szCs w:val="24"/>
        </w:rPr>
        <w:t>Id.</w:t>
      </w:r>
      <w:r w:rsidRPr="003B6411">
        <w:rPr>
          <w:szCs w:val="24"/>
        </w:rPr>
        <w:t xml:space="preserve"> at 32.</w:t>
      </w:r>
    </w:p>
  </w:endnote>
  <w:endnote w:id="435">
    <w:p w14:paraId="01014DFF"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i/>
          <w:szCs w:val="24"/>
        </w:rPr>
        <w:t>E.g.</w:t>
      </w:r>
      <w:r w:rsidRPr="003B6411">
        <w:rPr>
          <w:szCs w:val="24"/>
        </w:rPr>
        <w:t>, Committee on the Rights of the Child, Concluding Observations: Tajikistan, ¶ 67, U.N. Doc. CRC/C/TJK/CO/2 (Feb. 5, 2010).</w:t>
      </w:r>
    </w:p>
  </w:endnote>
  <w:endnote w:id="436">
    <w:p w14:paraId="2A19ECC8"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Siliadin v. France, App. No. 73316/01, 43 Eur. H.R. Rep. 287 (2005).</w:t>
      </w:r>
    </w:p>
  </w:endnote>
  <w:endnote w:id="437">
    <w:p w14:paraId="3F9D7087"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Centre for Human Rights, University of Pretoria and La Rencontre Africaine pour la Defense des Droits de L’Homme v. Senegal, African Committee of Experts on the Rights and Welfare of the Child Decision No 003/Com/001/2012 (2014).</w:t>
      </w:r>
    </w:p>
  </w:endnote>
  <w:endnote w:id="438">
    <w:p w14:paraId="15F2AF0B"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smallCaps/>
          <w:szCs w:val="24"/>
        </w:rPr>
        <w:t xml:space="preserve">Swepston, </w:t>
      </w:r>
      <w:r w:rsidRPr="003B6411">
        <w:rPr>
          <w:i/>
          <w:szCs w:val="24"/>
        </w:rPr>
        <w:t xml:space="preserve">supra </w:t>
      </w:r>
      <w:r w:rsidRPr="003B6411">
        <w:rPr>
          <w:szCs w:val="24"/>
        </w:rPr>
        <w:t xml:space="preserve">note </w:t>
      </w:r>
      <w:r w:rsidRPr="003B6411">
        <w:rPr>
          <w:szCs w:val="24"/>
        </w:rPr>
        <w:fldChar w:fldCharType="begin"/>
      </w:r>
      <w:r w:rsidRPr="003B6411">
        <w:rPr>
          <w:szCs w:val="24"/>
        </w:rPr>
        <w:instrText xml:space="preserve"> NOTEREF _Ref425203803 \h  \* MERGEFORMAT </w:instrText>
      </w:r>
      <w:r w:rsidRPr="003B6411">
        <w:rPr>
          <w:szCs w:val="24"/>
        </w:rPr>
      </w:r>
      <w:r w:rsidRPr="003B6411">
        <w:rPr>
          <w:szCs w:val="24"/>
        </w:rPr>
        <w:fldChar w:fldCharType="separate"/>
      </w:r>
      <w:r w:rsidR="00DA394E">
        <w:rPr>
          <w:szCs w:val="24"/>
        </w:rPr>
        <w:t>3</w:t>
      </w:r>
      <w:r w:rsidRPr="003B6411">
        <w:rPr>
          <w:szCs w:val="24"/>
        </w:rPr>
        <w:fldChar w:fldCharType="end"/>
      </w:r>
      <w:r w:rsidRPr="003B6411">
        <w:rPr>
          <w:szCs w:val="24"/>
        </w:rPr>
        <w:t>, at 1.</w:t>
      </w:r>
    </w:p>
  </w:endnote>
  <w:endnote w:id="439">
    <w:p w14:paraId="1A31F970"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i/>
          <w:szCs w:val="24"/>
        </w:rPr>
        <w:t>E.g.</w:t>
      </w:r>
      <w:r w:rsidRPr="003B6411">
        <w:rPr>
          <w:szCs w:val="24"/>
        </w:rPr>
        <w:t xml:space="preserve">, Committee on the Rights of the Child, Concluding Observations: Cambodia, ¶¶ 55-56, U.N. Doc. </w:t>
      </w:r>
      <w:r w:rsidRPr="003B6411">
        <w:rPr>
          <w:rFonts w:eastAsia="新細明體"/>
          <w:szCs w:val="24"/>
        </w:rPr>
        <w:t>CRC/C/KHM/CO/2</w:t>
      </w:r>
      <w:r w:rsidRPr="003B6411">
        <w:rPr>
          <w:szCs w:val="24"/>
        </w:rPr>
        <w:t xml:space="preserve"> (Aug. 3, 2011).</w:t>
      </w:r>
    </w:p>
  </w:endnote>
  <w:endnote w:id="440">
    <w:p w14:paraId="0A3AF942"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szCs w:val="24"/>
        </w:rPr>
        <w:t>兒童權利委員會，關於締約國根據兒童權利公約第</w:t>
      </w:r>
      <w:r w:rsidRPr="003B6411">
        <w:rPr>
          <w:szCs w:val="24"/>
        </w:rPr>
        <w:t>44</w:t>
      </w:r>
      <w:r w:rsidRPr="003B6411">
        <w:rPr>
          <w:szCs w:val="24"/>
        </w:rPr>
        <w:t>條第</w:t>
      </w:r>
      <w:r w:rsidRPr="003B6411">
        <w:rPr>
          <w:szCs w:val="24"/>
        </w:rPr>
        <w:t>1</w:t>
      </w:r>
      <w:r w:rsidRPr="003B6411">
        <w:rPr>
          <w:szCs w:val="24"/>
        </w:rPr>
        <w:t>款</w:t>
      </w:r>
      <w:r w:rsidRPr="003B6411">
        <w:rPr>
          <w:szCs w:val="24"/>
        </w:rPr>
        <w:t>(b)</w:t>
      </w:r>
      <w:r w:rsidRPr="003B6411">
        <w:rPr>
          <w:szCs w:val="24"/>
        </w:rPr>
        <w:t>項提交的定期報告的形式和內容的條約專要準則，第</w:t>
      </w:r>
      <w:r w:rsidRPr="003B6411">
        <w:rPr>
          <w:szCs w:val="24"/>
        </w:rPr>
        <w:t>35(e)</w:t>
      </w:r>
      <w:r w:rsidRPr="003B6411">
        <w:rPr>
          <w:szCs w:val="24"/>
        </w:rPr>
        <w:t>及</w:t>
      </w:r>
      <w:r w:rsidRPr="003B6411">
        <w:rPr>
          <w:szCs w:val="24"/>
        </w:rPr>
        <w:t>40(d)(ii)</w:t>
      </w:r>
      <w:r w:rsidRPr="003B6411">
        <w:rPr>
          <w:szCs w:val="24"/>
        </w:rPr>
        <w:t>段。</w:t>
      </w:r>
      <w:r w:rsidRPr="003B6411">
        <w:rPr>
          <w:rFonts w:eastAsia="新細明體"/>
          <w:szCs w:val="24"/>
        </w:rPr>
        <w:t xml:space="preserve">Committee on the Rights of the Child, Treaty-Specific Guidelines Regarding the Form and Content of Periodic Reports to Be Submitted by States Parties under Article 44, Paragraph 1 (b), of the Convention on the Rights of the Child, </w:t>
      </w:r>
      <w:r w:rsidRPr="003B6411">
        <w:rPr>
          <w:szCs w:val="24"/>
        </w:rPr>
        <w:t xml:space="preserve">¶¶ 35(e), 40(d)(ii), U.N. Doc. </w:t>
      </w:r>
      <w:r w:rsidRPr="003B6411">
        <w:rPr>
          <w:rFonts w:eastAsia="新細明體"/>
          <w:szCs w:val="24"/>
        </w:rPr>
        <w:t>CRC/C/58/Rev.3</w:t>
      </w:r>
      <w:r w:rsidRPr="003B6411">
        <w:rPr>
          <w:szCs w:val="24"/>
        </w:rPr>
        <w:t xml:space="preserve"> (Mar. 3, 2015).</w:t>
      </w:r>
    </w:p>
  </w:endnote>
  <w:endnote w:id="441">
    <w:p w14:paraId="13791BF7"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smallCaps/>
          <w:szCs w:val="24"/>
        </w:rPr>
        <w:t xml:space="preserve">Sharon Detrick, A Commentary on the United Nations Convention on the Rights of the Child </w:t>
      </w:r>
      <w:r w:rsidRPr="003B6411">
        <w:rPr>
          <w:szCs w:val="24"/>
        </w:rPr>
        <w:t>584 (1999).</w:t>
      </w:r>
    </w:p>
  </w:endnote>
  <w:endnote w:id="442">
    <w:p w14:paraId="2832950B"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Roxana Stere, </w:t>
      </w:r>
      <w:r w:rsidRPr="003B6411">
        <w:rPr>
          <w:i/>
          <w:szCs w:val="24"/>
        </w:rPr>
        <w:t>Human Rights and Drug Control: The Importance of Children’s Rights</w:t>
      </w:r>
      <w:r w:rsidRPr="003B6411">
        <w:rPr>
          <w:szCs w:val="24"/>
        </w:rPr>
        <w:t xml:space="preserve">, </w:t>
      </w:r>
      <w:r w:rsidRPr="003B6411">
        <w:rPr>
          <w:i/>
          <w:szCs w:val="24"/>
        </w:rPr>
        <w:t>in</w:t>
      </w:r>
      <w:r w:rsidRPr="003B6411">
        <w:rPr>
          <w:szCs w:val="24"/>
        </w:rPr>
        <w:t xml:space="preserve"> </w:t>
      </w:r>
      <w:r w:rsidRPr="003B6411">
        <w:rPr>
          <w:smallCaps/>
          <w:szCs w:val="24"/>
        </w:rPr>
        <w:t>Human Rights, Human Security, and State Security: The Intersection</w:t>
      </w:r>
      <w:r w:rsidRPr="003B6411">
        <w:rPr>
          <w:szCs w:val="24"/>
        </w:rPr>
        <w:t xml:space="preserve"> 145, 151 (Saul Takahashi ed., 2014).</w:t>
      </w:r>
    </w:p>
  </w:endnote>
  <w:endnote w:id="443">
    <w:p w14:paraId="378C9752"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szCs w:val="24"/>
        </w:rPr>
        <w:t>兒童權利委員會，第</w:t>
      </w:r>
      <w:r w:rsidRPr="003B6411">
        <w:rPr>
          <w:szCs w:val="24"/>
        </w:rPr>
        <w:t>13</w:t>
      </w:r>
      <w:r w:rsidRPr="003B6411">
        <w:rPr>
          <w:szCs w:val="24"/>
        </w:rPr>
        <w:t>號一般性意見「兒童免遭一切形式暴力侵害的權利」，第</w:t>
      </w:r>
      <w:r w:rsidRPr="003B6411">
        <w:rPr>
          <w:szCs w:val="24"/>
        </w:rPr>
        <w:t>37</w:t>
      </w:r>
      <w:r w:rsidRPr="003B6411">
        <w:rPr>
          <w:szCs w:val="24"/>
        </w:rPr>
        <w:t>段。</w:t>
      </w:r>
      <w:r w:rsidRPr="003B6411">
        <w:rPr>
          <w:szCs w:val="24"/>
        </w:rPr>
        <w:t>Committee on the Rights of the Child, General Comment No. 13 (2011): The Right of the Child to Freedom from All Forms of Violence, ¶ 37, U.N. Doc. CRC/C/GC/13 (Apr. 18, 2011).</w:t>
      </w:r>
    </w:p>
  </w:endnote>
  <w:endnote w:id="444">
    <w:p w14:paraId="2795F3D7"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i/>
          <w:szCs w:val="24"/>
        </w:rPr>
        <w:t>Id.</w:t>
      </w:r>
      <w:r w:rsidRPr="003B6411">
        <w:rPr>
          <w:szCs w:val="24"/>
        </w:rPr>
        <w:t xml:space="preserve"> ¶ 39.</w:t>
      </w:r>
    </w:p>
  </w:endnote>
  <w:endnote w:id="445">
    <w:p w14:paraId="3EB84AC9"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smallCaps/>
          <w:szCs w:val="24"/>
        </w:rPr>
        <w:t>Damon Barrett &amp; Philip E. Veerman, A Commentary on the United Nations Convention on the Rights of the Child: Article 33. Protection from Narcotic Drugs and Psychotropic Substances</w:t>
      </w:r>
      <w:r w:rsidRPr="003B6411">
        <w:rPr>
          <w:szCs w:val="24"/>
        </w:rPr>
        <w:t xml:space="preserve"> 43 (André Alen et al. eds., 2012).</w:t>
      </w:r>
    </w:p>
  </w:endnote>
  <w:endnote w:id="446">
    <w:p w14:paraId="3F19C607"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Committee on the Rights of the Child, Concluding Observations: Russian Federation, ¶ 77, U.N. Doc. CRC/C/RUS/CO/3 (Nov. 23, 2005).</w:t>
      </w:r>
    </w:p>
  </w:endnote>
  <w:endnote w:id="447">
    <w:p w14:paraId="5ACEDF8C"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i/>
          <w:szCs w:val="24"/>
        </w:rPr>
        <w:t>E.g.</w:t>
      </w:r>
      <w:r w:rsidRPr="003B6411">
        <w:rPr>
          <w:szCs w:val="24"/>
        </w:rPr>
        <w:t>, Committee on the Rights of the Child, Concluding Observations: Kiribati, ¶ 49, U.N. Doc. CRC/C/KIR/CO/1 (Sept. 29, 2006); Committee on the Rights of the Child, Concluding Observations: Denmark, ¶ 55, U.N. Doc. CRC/C/ DNK/CO/3 (Nov. 23, 2005).</w:t>
      </w:r>
    </w:p>
  </w:endnote>
  <w:endnote w:id="448">
    <w:p w14:paraId="4D62D201"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Committee on the Rights of the Child, Concluding Observations: Belarus, ¶ 52, U.N. Doc. CRC/C/15/Add.180 (June 13, 2002).</w:t>
      </w:r>
    </w:p>
  </w:endnote>
  <w:endnote w:id="449">
    <w:p w14:paraId="631F4987"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smallCaps/>
          <w:szCs w:val="24"/>
        </w:rPr>
        <w:t>Damon Barrett &amp; Philip E. Veerman, Article 33: Protection from Narcotic Drugs and Psychotropic Substances</w:t>
      </w:r>
      <w:r w:rsidRPr="003B6411">
        <w:rPr>
          <w:szCs w:val="24"/>
        </w:rPr>
        <w:t xml:space="preserve"> 31 (André Alen et al. eds., 2012).</w:t>
      </w:r>
    </w:p>
  </w:endnote>
  <w:endnote w:id="450">
    <w:p w14:paraId="42549FBA"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Committee on the Rights of the Child, Concluding Observations: Ukraine, ¶ 61, U.N. Doc. CRC/C/UKR/CO/3-4 (Apr. 21, 2011).</w:t>
      </w:r>
    </w:p>
  </w:endnote>
  <w:endnote w:id="451">
    <w:p w14:paraId="43807AB0"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szCs w:val="24"/>
        </w:rPr>
        <w:t>兒童權利委員會，第</w:t>
      </w:r>
      <w:r w:rsidRPr="003B6411">
        <w:rPr>
          <w:szCs w:val="24"/>
        </w:rPr>
        <w:t>15</w:t>
      </w:r>
      <w:r w:rsidRPr="003B6411">
        <w:rPr>
          <w:szCs w:val="24"/>
        </w:rPr>
        <w:t>號一般性意見「關於兒童享有可達到的最高標準健康的權利問題」，第</w:t>
      </w:r>
      <w:r w:rsidRPr="003B6411">
        <w:rPr>
          <w:szCs w:val="24"/>
        </w:rPr>
        <w:t>66</w:t>
      </w:r>
      <w:r w:rsidRPr="003B6411">
        <w:rPr>
          <w:szCs w:val="24"/>
        </w:rPr>
        <w:t>段。</w:t>
      </w:r>
      <w:r w:rsidRPr="003B6411">
        <w:rPr>
          <w:szCs w:val="24"/>
        </w:rPr>
        <w:t>Committee on the Rights of the Child, General Comment No. 15 (2013) on the Right of the Child to the Enjoyment of the Highest Attainable Standard of Health (Art. 24), ¶ 66, U.N. Doc. CRC/C/GC/15 (Apr. 17, 2013).</w:t>
      </w:r>
    </w:p>
  </w:endnote>
  <w:endnote w:id="452">
    <w:p w14:paraId="32EF7CCB"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smallCaps/>
          <w:szCs w:val="24"/>
        </w:rPr>
        <w:t xml:space="preserve">Barrett &amp; Veerman, </w:t>
      </w:r>
      <w:r w:rsidRPr="003B6411">
        <w:rPr>
          <w:i/>
          <w:szCs w:val="24"/>
        </w:rPr>
        <w:t xml:space="preserve">supra </w:t>
      </w:r>
      <w:r w:rsidRPr="003B6411">
        <w:rPr>
          <w:szCs w:val="24"/>
        </w:rPr>
        <w:t xml:space="preserve">note </w:t>
      </w:r>
      <w:r w:rsidRPr="003B6411">
        <w:rPr>
          <w:szCs w:val="24"/>
        </w:rPr>
        <w:fldChar w:fldCharType="begin"/>
      </w:r>
      <w:r w:rsidRPr="003B6411">
        <w:rPr>
          <w:szCs w:val="24"/>
        </w:rPr>
        <w:instrText xml:space="preserve"> NOTEREF _Ref429124477 \h  \* MERGEFORMAT </w:instrText>
      </w:r>
      <w:r w:rsidRPr="003B6411">
        <w:rPr>
          <w:szCs w:val="24"/>
        </w:rPr>
      </w:r>
      <w:r w:rsidRPr="003B6411">
        <w:rPr>
          <w:szCs w:val="24"/>
        </w:rPr>
        <w:fldChar w:fldCharType="separate"/>
      </w:r>
      <w:r w:rsidR="00DA394E">
        <w:rPr>
          <w:szCs w:val="24"/>
        </w:rPr>
        <w:t>7</w:t>
      </w:r>
      <w:r w:rsidRPr="003B6411">
        <w:rPr>
          <w:szCs w:val="24"/>
        </w:rPr>
        <w:fldChar w:fldCharType="end"/>
      </w:r>
      <w:r w:rsidRPr="003B6411">
        <w:rPr>
          <w:szCs w:val="24"/>
        </w:rPr>
        <w:t>, at 43-44.</w:t>
      </w:r>
    </w:p>
  </w:endnote>
  <w:endnote w:id="453">
    <w:p w14:paraId="28933CD5"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smallCaps/>
          <w:szCs w:val="24"/>
        </w:rPr>
        <w:t>Office of the United Nations High Commissioner for Human Rights, 2 Legislative History of the Convention on the Rights of the Child</w:t>
      </w:r>
      <w:r w:rsidRPr="003B6411">
        <w:rPr>
          <w:szCs w:val="24"/>
        </w:rPr>
        <w:t xml:space="preserve"> 709-12 (2007).</w:t>
      </w:r>
    </w:p>
  </w:endnote>
  <w:endnote w:id="454">
    <w:p w14:paraId="33917CFD"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smallCaps/>
          <w:szCs w:val="24"/>
        </w:rPr>
        <w:t xml:space="preserve">Barrett &amp; Veerman, </w:t>
      </w:r>
      <w:r w:rsidRPr="003B6411">
        <w:rPr>
          <w:i/>
          <w:szCs w:val="24"/>
        </w:rPr>
        <w:t xml:space="preserve">supra </w:t>
      </w:r>
      <w:r w:rsidRPr="003B6411">
        <w:rPr>
          <w:szCs w:val="24"/>
        </w:rPr>
        <w:t xml:space="preserve">note </w:t>
      </w:r>
      <w:r w:rsidRPr="003B6411">
        <w:rPr>
          <w:szCs w:val="24"/>
        </w:rPr>
        <w:fldChar w:fldCharType="begin"/>
      </w:r>
      <w:r w:rsidRPr="003B6411">
        <w:rPr>
          <w:szCs w:val="24"/>
        </w:rPr>
        <w:instrText xml:space="preserve"> NOTEREF _Ref429124477 \h  \* MERGEFORMAT </w:instrText>
      </w:r>
      <w:r w:rsidRPr="003B6411">
        <w:rPr>
          <w:szCs w:val="24"/>
        </w:rPr>
      </w:r>
      <w:r w:rsidRPr="003B6411">
        <w:rPr>
          <w:szCs w:val="24"/>
        </w:rPr>
        <w:fldChar w:fldCharType="separate"/>
      </w:r>
      <w:r w:rsidR="00DA394E">
        <w:rPr>
          <w:szCs w:val="24"/>
        </w:rPr>
        <w:t>7</w:t>
      </w:r>
      <w:r w:rsidRPr="003B6411">
        <w:rPr>
          <w:szCs w:val="24"/>
        </w:rPr>
        <w:fldChar w:fldCharType="end"/>
      </w:r>
      <w:r w:rsidRPr="003B6411">
        <w:rPr>
          <w:szCs w:val="24"/>
        </w:rPr>
        <w:t>, at 73.</w:t>
      </w:r>
    </w:p>
  </w:endnote>
  <w:endnote w:id="455">
    <w:p w14:paraId="6F74C5EE"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i/>
          <w:szCs w:val="24"/>
        </w:rPr>
        <w:t>Id.</w:t>
      </w:r>
      <w:r w:rsidRPr="003B6411">
        <w:rPr>
          <w:szCs w:val="24"/>
        </w:rPr>
        <w:t xml:space="preserve"> at 74-75, 79.</w:t>
      </w:r>
    </w:p>
  </w:endnote>
  <w:endnote w:id="456">
    <w:p w14:paraId="6DDA3B5C"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i/>
          <w:szCs w:val="24"/>
        </w:rPr>
        <w:t>Id.</w:t>
      </w:r>
      <w:r w:rsidRPr="003B6411">
        <w:rPr>
          <w:szCs w:val="24"/>
        </w:rPr>
        <w:t xml:space="preserve"> at 47.</w:t>
      </w:r>
    </w:p>
  </w:endnote>
  <w:endnote w:id="457">
    <w:p w14:paraId="68243B05"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i/>
          <w:szCs w:val="24"/>
        </w:rPr>
        <w:t>Id.</w:t>
      </w:r>
      <w:r w:rsidRPr="003B6411">
        <w:rPr>
          <w:szCs w:val="24"/>
        </w:rPr>
        <w:t xml:space="preserve"> </w:t>
      </w:r>
    </w:p>
  </w:endnote>
  <w:endnote w:id="458">
    <w:p w14:paraId="50F91FBC"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Committee on the Rights of the Child, Concluding Observations: Mexico (OPAC), ¶¶ 18(g), U.N. Doc. </w:t>
      </w:r>
      <w:r w:rsidRPr="003B6411">
        <w:rPr>
          <w:rFonts w:eastAsia="新細明體"/>
          <w:szCs w:val="24"/>
        </w:rPr>
        <w:t>CRC/C/OPAC/MEX/CO/1</w:t>
      </w:r>
      <w:r w:rsidRPr="003B6411">
        <w:rPr>
          <w:szCs w:val="24"/>
        </w:rPr>
        <w:t xml:space="preserve"> (Apr. 7, 2011).</w:t>
      </w:r>
    </w:p>
  </w:endnote>
  <w:endnote w:id="459">
    <w:p w14:paraId="00433EE0"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smallCaps/>
          <w:szCs w:val="24"/>
        </w:rPr>
        <w:t xml:space="preserve">Barrett &amp; Veerman, </w:t>
      </w:r>
      <w:r w:rsidRPr="003B6411">
        <w:rPr>
          <w:i/>
          <w:szCs w:val="24"/>
        </w:rPr>
        <w:t xml:space="preserve">supra </w:t>
      </w:r>
      <w:r w:rsidRPr="003B6411">
        <w:rPr>
          <w:szCs w:val="24"/>
        </w:rPr>
        <w:t xml:space="preserve">note </w:t>
      </w:r>
      <w:r w:rsidRPr="003B6411">
        <w:rPr>
          <w:szCs w:val="24"/>
        </w:rPr>
        <w:fldChar w:fldCharType="begin"/>
      </w:r>
      <w:r w:rsidRPr="003B6411">
        <w:rPr>
          <w:szCs w:val="24"/>
        </w:rPr>
        <w:instrText xml:space="preserve"> NOTEREF _Ref429124477 \h  \* MERGEFORMAT </w:instrText>
      </w:r>
      <w:r w:rsidRPr="003B6411">
        <w:rPr>
          <w:szCs w:val="24"/>
        </w:rPr>
      </w:r>
      <w:r w:rsidRPr="003B6411">
        <w:rPr>
          <w:szCs w:val="24"/>
        </w:rPr>
        <w:fldChar w:fldCharType="separate"/>
      </w:r>
      <w:r w:rsidR="00DA394E">
        <w:rPr>
          <w:szCs w:val="24"/>
        </w:rPr>
        <w:t>7</w:t>
      </w:r>
      <w:r w:rsidRPr="003B6411">
        <w:rPr>
          <w:szCs w:val="24"/>
        </w:rPr>
        <w:fldChar w:fldCharType="end"/>
      </w:r>
      <w:r w:rsidRPr="003B6411">
        <w:rPr>
          <w:szCs w:val="24"/>
        </w:rPr>
        <w:t>, at 69.</w:t>
      </w:r>
    </w:p>
  </w:endnote>
  <w:endnote w:id="460">
    <w:p w14:paraId="2ECFC71B"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Decision 54/2004 (XII. 13.) AB, Dec. 13, 2004 (Hon.).</w:t>
      </w:r>
    </w:p>
  </w:endnote>
  <w:endnote w:id="461">
    <w:p w14:paraId="74162555"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U.N. Commission on Narcotic Drugs Resolution 57/3 (Mar. 2014), </w:t>
      </w:r>
      <w:r w:rsidRPr="003B6411">
        <w:rPr>
          <w:i/>
          <w:szCs w:val="24"/>
        </w:rPr>
        <w:t>available at</w:t>
      </w:r>
      <w:r w:rsidRPr="003B6411">
        <w:rPr>
          <w:szCs w:val="24"/>
        </w:rPr>
        <w:t xml:space="preserve"> http://www.unodc.org/documents/commissions/CND/Drug_Resolutions/2010-2019/</w:t>
      </w:r>
      <w:r w:rsidRPr="003B6411">
        <w:rPr>
          <w:szCs w:val="24"/>
        </w:rPr>
        <w:br/>
        <w:t xml:space="preserve">2014/CND_Res_57_3.pdf (last visited Sept. 10, 2015); U.N. Commission on Narcotic Drugs Resolution 58/3 (Mar. 2015), </w:t>
      </w:r>
      <w:r w:rsidRPr="003B6411">
        <w:rPr>
          <w:i/>
          <w:szCs w:val="24"/>
        </w:rPr>
        <w:t xml:space="preserve">available at </w:t>
      </w:r>
      <w:r w:rsidRPr="003B6411">
        <w:rPr>
          <w:szCs w:val="24"/>
        </w:rPr>
        <w:t>http://www.unodc.org/documents/</w:t>
      </w:r>
      <w:r w:rsidRPr="003B6411">
        <w:rPr>
          <w:szCs w:val="24"/>
        </w:rPr>
        <w:br/>
        <w:t>commissions/CND/CND_Sessions/CND_58/2015_Resolutions/Resolution_58_3.pdf (last visited Sept. 10, 2015).</w:t>
      </w:r>
    </w:p>
  </w:endnote>
  <w:endnote w:id="462">
    <w:p w14:paraId="10A323E5"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smallCaps/>
          <w:szCs w:val="24"/>
        </w:rPr>
        <w:t xml:space="preserve">Barrett &amp; Veerman, </w:t>
      </w:r>
      <w:r w:rsidRPr="003B6411">
        <w:rPr>
          <w:i/>
          <w:szCs w:val="24"/>
        </w:rPr>
        <w:t xml:space="preserve">supra </w:t>
      </w:r>
      <w:r w:rsidRPr="003B6411">
        <w:rPr>
          <w:szCs w:val="24"/>
        </w:rPr>
        <w:t xml:space="preserve">note </w:t>
      </w:r>
      <w:r w:rsidRPr="003B6411">
        <w:rPr>
          <w:szCs w:val="24"/>
        </w:rPr>
        <w:fldChar w:fldCharType="begin"/>
      </w:r>
      <w:r w:rsidRPr="003B6411">
        <w:rPr>
          <w:szCs w:val="24"/>
        </w:rPr>
        <w:instrText xml:space="preserve"> NOTEREF _Ref429124477 \h  \* MERGEFORMAT </w:instrText>
      </w:r>
      <w:r w:rsidRPr="003B6411">
        <w:rPr>
          <w:szCs w:val="24"/>
        </w:rPr>
      </w:r>
      <w:r w:rsidRPr="003B6411">
        <w:rPr>
          <w:szCs w:val="24"/>
        </w:rPr>
        <w:fldChar w:fldCharType="separate"/>
      </w:r>
      <w:r w:rsidR="00DA394E">
        <w:rPr>
          <w:szCs w:val="24"/>
        </w:rPr>
        <w:t>7</w:t>
      </w:r>
      <w:r w:rsidRPr="003B6411">
        <w:rPr>
          <w:szCs w:val="24"/>
        </w:rPr>
        <w:fldChar w:fldCharType="end"/>
      </w:r>
      <w:r w:rsidRPr="003B6411">
        <w:rPr>
          <w:szCs w:val="24"/>
        </w:rPr>
        <w:t>, at 80.</w:t>
      </w:r>
    </w:p>
  </w:endnote>
  <w:endnote w:id="463">
    <w:p w14:paraId="5DA4BEF6" w14:textId="77777777" w:rsidR="00E856B6" w:rsidRPr="003B6411" w:rsidRDefault="00E856B6" w:rsidP="00EA57D7">
      <w:pPr>
        <w:pStyle w:val="af1"/>
        <w:jc w:val="both"/>
        <w:rPr>
          <w:i/>
          <w:szCs w:val="24"/>
        </w:rPr>
      </w:pPr>
      <w:r w:rsidRPr="003B6411">
        <w:rPr>
          <w:rStyle w:val="af3"/>
          <w:szCs w:val="24"/>
        </w:rPr>
        <w:endnoteRef/>
      </w:r>
      <w:r w:rsidRPr="003B6411">
        <w:rPr>
          <w:szCs w:val="24"/>
        </w:rPr>
        <w:t xml:space="preserve"> </w:t>
      </w:r>
      <w:r w:rsidRPr="003B6411">
        <w:rPr>
          <w:smallCaps/>
          <w:szCs w:val="24"/>
        </w:rPr>
        <w:t xml:space="preserve">Vitit Muntarbhorn, A Commentary on the United Nations Convention on the Rights of the Child: Article 34. Sexual Exploitation and Sexual Abuse of Children </w:t>
      </w:r>
      <w:r w:rsidRPr="003B6411">
        <w:rPr>
          <w:szCs w:val="24"/>
        </w:rPr>
        <w:t>23 (2007).</w:t>
      </w:r>
    </w:p>
  </w:endnote>
  <w:endnote w:id="464">
    <w:p w14:paraId="143EDB1B"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szCs w:val="24"/>
        </w:rPr>
        <w:t>相關資料參</w:t>
      </w:r>
      <w:r w:rsidRPr="003B6411">
        <w:rPr>
          <w:szCs w:val="24"/>
        </w:rPr>
        <w:t>ECPAT International, World Congress against the Commercial Sexual Exploitation of Children, http://www.ecpat.net/world-congress-against-commercial-sexual-exploitation-children (last visited Sept. 5, 2015).</w:t>
      </w:r>
    </w:p>
  </w:endnote>
  <w:endnote w:id="465">
    <w:p w14:paraId="4A685853"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ECPAT, Child Pornography on the Internet: a Position paper for ECPAT International, https://www.crin.org/iasc/sedoc11.htm (last visited Mar. 9, 2015).</w:t>
      </w:r>
    </w:p>
  </w:endnote>
  <w:endnote w:id="466">
    <w:p w14:paraId="201146DD"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INHOPE, http://www.inhope.org (last visited Sept. 5, 2015).</w:t>
      </w:r>
    </w:p>
  </w:endnote>
  <w:endnote w:id="467">
    <w:p w14:paraId="51D8568A"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INSAFE, http://www.saferinternet.org/ (last visited Sept. 5, 2015).</w:t>
      </w:r>
    </w:p>
  </w:endnote>
  <w:endnote w:id="468">
    <w:p w14:paraId="737CC632"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Virtual Global Taskforce, http://www.virtualglobaltaskforce.com (last visited Sept. 5, 2015).</w:t>
      </w:r>
    </w:p>
  </w:endnote>
  <w:endnote w:id="469">
    <w:p w14:paraId="14CC52BE" w14:textId="77777777" w:rsidR="00E856B6" w:rsidRPr="003B6411" w:rsidRDefault="00E856B6" w:rsidP="00FC16DD">
      <w:pPr>
        <w:pStyle w:val="af1"/>
        <w:jc w:val="both"/>
      </w:pPr>
      <w:r w:rsidRPr="003B6411">
        <w:rPr>
          <w:rStyle w:val="af3"/>
        </w:rPr>
        <w:endnoteRef/>
      </w:r>
      <w:r w:rsidRPr="003B6411">
        <w:t xml:space="preserve"> 495 U.S. 103(1990).</w:t>
      </w:r>
    </w:p>
  </w:endnote>
  <w:endnote w:id="470">
    <w:p w14:paraId="7D8F101F"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M.J. McLelland &amp; S. Yoo, </w:t>
      </w:r>
      <w:r w:rsidRPr="003B6411">
        <w:rPr>
          <w:i/>
          <w:szCs w:val="24"/>
        </w:rPr>
        <w:t>The International Yaoi Boys’ Love Fandom and the Regulation of Virtual Child Pornography: Current Legislation and its Implications</w:t>
      </w:r>
      <w:r w:rsidRPr="003B6411">
        <w:rPr>
          <w:szCs w:val="24"/>
        </w:rPr>
        <w:t xml:space="preserve">, 4 </w:t>
      </w:r>
      <w:r w:rsidRPr="003B6411">
        <w:rPr>
          <w:smallCaps/>
          <w:szCs w:val="24"/>
        </w:rPr>
        <w:t xml:space="preserve">Sexuality Res. &amp; Soc. Pol’y: J. of NSRC 93 </w:t>
      </w:r>
      <w:r w:rsidRPr="003B6411">
        <w:rPr>
          <w:szCs w:val="24"/>
        </w:rPr>
        <w:t>(2007).</w:t>
      </w:r>
    </w:p>
  </w:endnote>
  <w:endnote w:id="471">
    <w:p w14:paraId="746A71F1"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P. Anta Seeda, </w:t>
      </w:r>
      <w:r w:rsidRPr="003B6411">
        <w:rPr>
          <w:i/>
          <w:szCs w:val="24"/>
        </w:rPr>
        <w:t>Expert Urges Global Law to End Child Pornography on the Internet</w:t>
      </w:r>
      <w:r w:rsidRPr="003B6411">
        <w:rPr>
          <w:szCs w:val="24"/>
        </w:rPr>
        <w:t xml:space="preserve">, </w:t>
      </w:r>
      <w:r w:rsidRPr="003B6411">
        <w:rPr>
          <w:smallCaps/>
          <w:szCs w:val="24"/>
        </w:rPr>
        <w:t>Bangkok Post</w:t>
      </w:r>
      <w:r w:rsidRPr="003B6411">
        <w:rPr>
          <w:szCs w:val="24"/>
        </w:rPr>
        <w:t>, June 3, 1998), at 3.</w:t>
      </w:r>
    </w:p>
  </w:endnote>
  <w:endnote w:id="472">
    <w:p w14:paraId="32A20DFB"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i/>
          <w:szCs w:val="24"/>
        </w:rPr>
        <w:t>See</w:t>
      </w:r>
      <w:r w:rsidRPr="003B6411">
        <w:rPr>
          <w:szCs w:val="24"/>
        </w:rPr>
        <w:t xml:space="preserve"> Declaration and Agenda for Action, 1st World Congress against Commercial Sexual Exploitation of Children, </w:t>
      </w:r>
      <w:r w:rsidRPr="003B6411">
        <w:rPr>
          <w:i/>
          <w:szCs w:val="24"/>
        </w:rPr>
        <w:t>available at</w:t>
      </w:r>
      <w:r w:rsidRPr="003B6411">
        <w:rPr>
          <w:szCs w:val="24"/>
        </w:rPr>
        <w:t xml:space="preserve"> http://www.ecpat.net/sites/default/files/</w:t>
      </w:r>
      <w:r w:rsidRPr="003B6411">
        <w:rPr>
          <w:szCs w:val="24"/>
        </w:rPr>
        <w:br/>
        <w:t>stockholm_declaration_1996.pdf (last visited Sept. 5, 2015).</w:t>
      </w:r>
    </w:p>
  </w:endnote>
  <w:endnote w:id="473">
    <w:p w14:paraId="0DFF3186"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smallCaps/>
          <w:szCs w:val="24"/>
        </w:rPr>
        <w:t xml:space="preserve">UNICEF, Implementation Handbook for the Convention on the Rights of the Child 531 </w:t>
      </w:r>
      <w:r w:rsidRPr="003B6411">
        <w:rPr>
          <w:szCs w:val="24"/>
        </w:rPr>
        <w:t>(3d. 2007).</w:t>
      </w:r>
    </w:p>
  </w:endnote>
  <w:endnote w:id="474">
    <w:p w14:paraId="121BA545"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i/>
          <w:szCs w:val="24"/>
        </w:rPr>
        <w:t>Id.</w:t>
      </w:r>
      <w:r w:rsidRPr="003B6411">
        <w:rPr>
          <w:szCs w:val="24"/>
        </w:rPr>
        <w:t xml:space="preserve"> at 534.</w:t>
      </w:r>
    </w:p>
  </w:endnote>
  <w:endnote w:id="475">
    <w:p w14:paraId="499FF566"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Committee on the Rights of the Child, Concluding Observations: Russian Federation, ¶ 81, U.N. Doc. CRC/C/RUS/CO/3 (Nov. 23, 2005).</w:t>
      </w:r>
    </w:p>
  </w:endnote>
  <w:endnote w:id="476">
    <w:p w14:paraId="18961FC6"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smallCaps/>
          <w:szCs w:val="24"/>
        </w:rPr>
        <w:t xml:space="preserve">UNICEF, </w:t>
      </w:r>
      <w:r w:rsidRPr="003B6411">
        <w:rPr>
          <w:i/>
          <w:szCs w:val="24"/>
        </w:rPr>
        <w:t xml:space="preserve">supra </w:t>
      </w:r>
      <w:r w:rsidRPr="003B6411">
        <w:rPr>
          <w:szCs w:val="24"/>
        </w:rPr>
        <w:t xml:space="preserve">note </w:t>
      </w:r>
      <w:r w:rsidRPr="003B6411">
        <w:rPr>
          <w:szCs w:val="24"/>
        </w:rPr>
        <w:fldChar w:fldCharType="begin"/>
      </w:r>
      <w:r w:rsidRPr="003B6411">
        <w:rPr>
          <w:szCs w:val="24"/>
        </w:rPr>
        <w:instrText xml:space="preserve"> NOTEREF _Ref430670165 \h  \* MERGEFORMAT </w:instrText>
      </w:r>
      <w:r w:rsidRPr="003B6411">
        <w:rPr>
          <w:szCs w:val="24"/>
        </w:rPr>
      </w:r>
      <w:r w:rsidRPr="003B6411">
        <w:rPr>
          <w:szCs w:val="24"/>
        </w:rPr>
        <w:fldChar w:fldCharType="separate"/>
      </w:r>
      <w:r w:rsidR="00DA394E">
        <w:rPr>
          <w:szCs w:val="24"/>
        </w:rPr>
        <w:t>1</w:t>
      </w:r>
      <w:r w:rsidRPr="003B6411">
        <w:rPr>
          <w:szCs w:val="24"/>
        </w:rPr>
        <w:fldChar w:fldCharType="end"/>
      </w:r>
      <w:r w:rsidRPr="003B6411">
        <w:rPr>
          <w:szCs w:val="24"/>
        </w:rPr>
        <w:t>, at 535-37.</w:t>
      </w:r>
    </w:p>
  </w:endnote>
  <w:endnote w:id="477">
    <w:p w14:paraId="524DC0FA"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World Health Organization Guiding Principles on Human Cell, Tissue and Organ Transplantation, May 21, 2010, </w:t>
      </w:r>
      <w:r w:rsidRPr="003B6411">
        <w:rPr>
          <w:i/>
          <w:szCs w:val="24"/>
        </w:rPr>
        <w:t>available at</w:t>
      </w:r>
      <w:r w:rsidRPr="003B6411">
        <w:rPr>
          <w:szCs w:val="24"/>
        </w:rPr>
        <w:t xml:space="preserve"> http://www.who.int/transplantation/</w:t>
      </w:r>
      <w:r w:rsidRPr="003B6411">
        <w:rPr>
          <w:szCs w:val="24"/>
        </w:rPr>
        <w:br/>
        <w:t>Guiding_PrinciplesTransplantation_WHA63.22en.pdf (last visited Sept. 15, 2015).</w:t>
      </w:r>
    </w:p>
  </w:endnote>
  <w:endnote w:id="478">
    <w:p w14:paraId="0BF10CB1"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Committee on the Rights of the Child, Concluding Observations: Benin, ¶ 72, U.N. Doc. CRC/C/BEN/CO/2 (Oct. 20, 2006).</w:t>
      </w:r>
    </w:p>
  </w:endnote>
  <w:endnote w:id="479">
    <w:p w14:paraId="39809BEC"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szCs w:val="24"/>
        </w:rPr>
        <w:t>兒童權利委員會，第</w:t>
      </w:r>
      <w:r w:rsidRPr="003B6411">
        <w:rPr>
          <w:szCs w:val="24"/>
        </w:rPr>
        <w:t>6</w:t>
      </w:r>
      <w:r w:rsidRPr="003B6411">
        <w:rPr>
          <w:szCs w:val="24"/>
        </w:rPr>
        <w:t>號一般性意見「遠離原籍國無人陪伴和無父母陪伴的兒童待遇」，第</w:t>
      </w:r>
      <w:r w:rsidRPr="003B6411">
        <w:rPr>
          <w:szCs w:val="24"/>
        </w:rPr>
        <w:t>52</w:t>
      </w:r>
      <w:r w:rsidRPr="003B6411">
        <w:rPr>
          <w:szCs w:val="24"/>
        </w:rPr>
        <w:t>段。</w:t>
      </w:r>
      <w:r w:rsidRPr="003B6411">
        <w:rPr>
          <w:szCs w:val="24"/>
        </w:rPr>
        <w:t>Committee on the Rights of the Child, General Comment No. 6: Treatment of Unaccompanied and Separated Children Outside Their Country of Origin, ¶ 52, U.N. Doc. CRC/GC/2005/6 (Sept. 1, 2005).</w:t>
      </w:r>
    </w:p>
  </w:endnote>
  <w:endnote w:id="480">
    <w:p w14:paraId="15EA7A5D"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Protocol to Prevent, Suppress and Punish Trafficking in Persons, Especially Women and Children, supplementing the United Nations Convention against Transnational Organized Crime, Nov. 15, 2000, 2237 U.N.T.S. 319.</w:t>
      </w:r>
    </w:p>
  </w:endnote>
  <w:endnote w:id="481">
    <w:p w14:paraId="5F64FC27"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szCs w:val="24"/>
        </w:rPr>
        <w:t>聯合國人權事務高級專員辦事處，兒童權利公約立法歷史，頁</w:t>
      </w:r>
      <w:r w:rsidRPr="003B6411">
        <w:rPr>
          <w:szCs w:val="24"/>
        </w:rPr>
        <w:t>733-36</w:t>
      </w:r>
      <w:r w:rsidRPr="003B6411">
        <w:rPr>
          <w:szCs w:val="24"/>
        </w:rPr>
        <w:t>。</w:t>
      </w:r>
      <w:r w:rsidRPr="003B6411">
        <w:rPr>
          <w:smallCaps/>
          <w:szCs w:val="24"/>
        </w:rPr>
        <w:t>Office of the United Nations High Commissioner for Human Rights (OHCHR), 2 Legislative History of the Convention on the Rights of the Child</w:t>
      </w:r>
      <w:r w:rsidRPr="003B6411">
        <w:rPr>
          <w:szCs w:val="24"/>
        </w:rPr>
        <w:t xml:space="preserve"> 733-36 (2007).</w:t>
      </w:r>
    </w:p>
  </w:endnote>
  <w:endnote w:id="482">
    <w:p w14:paraId="402A511D"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i/>
          <w:szCs w:val="24"/>
        </w:rPr>
        <w:t xml:space="preserve">Id. </w:t>
      </w:r>
      <w:r w:rsidRPr="003B6411">
        <w:rPr>
          <w:szCs w:val="24"/>
        </w:rPr>
        <w:t>at 733.</w:t>
      </w:r>
    </w:p>
  </w:endnote>
  <w:endnote w:id="483">
    <w:p w14:paraId="3276A36C"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szCs w:val="24"/>
        </w:rPr>
        <w:t>林沛君，兒少人權向前行，臺北市，台灣展翅協會，</w:t>
      </w:r>
      <w:r w:rsidRPr="003B6411">
        <w:rPr>
          <w:szCs w:val="24"/>
        </w:rPr>
        <w:t>2015</w:t>
      </w:r>
      <w:r w:rsidRPr="003B6411">
        <w:rPr>
          <w:szCs w:val="24"/>
        </w:rPr>
        <w:t>年</w:t>
      </w:r>
      <w:r w:rsidRPr="003B6411">
        <w:rPr>
          <w:szCs w:val="24"/>
        </w:rPr>
        <w:t>4</w:t>
      </w:r>
      <w:r w:rsidRPr="003B6411">
        <w:rPr>
          <w:szCs w:val="24"/>
        </w:rPr>
        <w:t>月，頁</w:t>
      </w:r>
      <w:r w:rsidRPr="003B6411">
        <w:rPr>
          <w:szCs w:val="24"/>
        </w:rPr>
        <w:t>159</w:t>
      </w:r>
      <w:r w:rsidRPr="003B6411">
        <w:rPr>
          <w:szCs w:val="24"/>
        </w:rPr>
        <w:t>。</w:t>
      </w:r>
    </w:p>
  </w:endnote>
  <w:endnote w:id="484">
    <w:p w14:paraId="0C683091"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smallCaps/>
          <w:szCs w:val="24"/>
        </w:rPr>
        <w:t>UNICEF, Implementation Handbook for the Convention on the Rights of the Child</w:t>
      </w:r>
      <w:r w:rsidRPr="003B6411">
        <w:rPr>
          <w:szCs w:val="24"/>
        </w:rPr>
        <w:t xml:space="preserve"> 543 (3d. 2007).</w:t>
      </w:r>
    </w:p>
  </w:endnote>
  <w:endnote w:id="485">
    <w:p w14:paraId="141BE559"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i/>
          <w:szCs w:val="24"/>
        </w:rPr>
        <w:t xml:space="preserve">Id. </w:t>
      </w:r>
      <w:r w:rsidRPr="003B6411">
        <w:rPr>
          <w:szCs w:val="24"/>
        </w:rPr>
        <w:t>at 544.</w:t>
      </w:r>
    </w:p>
  </w:endnote>
  <w:endnote w:id="486">
    <w:p w14:paraId="0D3A436E"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szCs w:val="24"/>
        </w:rPr>
        <w:t>兒童權利委員會，第</w:t>
      </w:r>
      <w:r w:rsidRPr="003B6411">
        <w:rPr>
          <w:szCs w:val="24"/>
        </w:rPr>
        <w:t>11</w:t>
      </w:r>
      <w:r w:rsidRPr="003B6411">
        <w:rPr>
          <w:szCs w:val="24"/>
        </w:rPr>
        <w:t>屆會議報告，第</w:t>
      </w:r>
      <w:r w:rsidRPr="003B6411">
        <w:rPr>
          <w:szCs w:val="24"/>
        </w:rPr>
        <w:t>80</w:t>
      </w:r>
      <w:r w:rsidRPr="003B6411">
        <w:rPr>
          <w:szCs w:val="24"/>
        </w:rPr>
        <w:t>頁。</w:t>
      </w:r>
      <w:r w:rsidRPr="003B6411">
        <w:rPr>
          <w:szCs w:val="24"/>
        </w:rPr>
        <w:t>Committee on the Rights of the Child, Report on the Eleventh Session, U.N. Doc. CRC/C/50 (Mar. 22, 1996).</w:t>
      </w:r>
    </w:p>
  </w:endnote>
  <w:endnote w:id="487">
    <w:p w14:paraId="0F397A00"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szCs w:val="24"/>
        </w:rPr>
        <w:t>兒童權利委員會，第</w:t>
      </w:r>
      <w:r w:rsidRPr="003B6411">
        <w:rPr>
          <w:szCs w:val="24"/>
        </w:rPr>
        <w:t>3</w:t>
      </w:r>
      <w:r w:rsidRPr="003B6411">
        <w:rPr>
          <w:szCs w:val="24"/>
        </w:rPr>
        <w:t>號一般性意見「愛滋病與兒童權利」，第</w:t>
      </w:r>
      <w:r w:rsidRPr="003B6411">
        <w:rPr>
          <w:szCs w:val="24"/>
        </w:rPr>
        <w:t>29</w:t>
      </w:r>
      <w:r w:rsidRPr="003B6411">
        <w:rPr>
          <w:szCs w:val="24"/>
        </w:rPr>
        <w:t>段。</w:t>
      </w:r>
      <w:r w:rsidRPr="003B6411">
        <w:rPr>
          <w:szCs w:val="24"/>
        </w:rPr>
        <w:t>Committee on the Rights of the Child, General Comment No. 3: HIV/AIDS and the Rights of the Child, ¶ 29, U.N. Doc. CRC/GC/2003/3 (Mar. 17, 2003).</w:t>
      </w:r>
    </w:p>
  </w:endnote>
  <w:endnote w:id="488">
    <w:p w14:paraId="2B0A1DD4"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smallCaps/>
          <w:szCs w:val="24"/>
        </w:rPr>
        <w:t xml:space="preserve">UNICEF, </w:t>
      </w:r>
      <w:r w:rsidRPr="003B6411">
        <w:rPr>
          <w:i/>
          <w:szCs w:val="24"/>
        </w:rPr>
        <w:t xml:space="preserve">supra </w:t>
      </w:r>
      <w:r w:rsidRPr="003B6411">
        <w:rPr>
          <w:szCs w:val="24"/>
        </w:rPr>
        <w:t xml:space="preserve">note </w:t>
      </w:r>
      <w:r w:rsidRPr="003B6411">
        <w:rPr>
          <w:szCs w:val="24"/>
        </w:rPr>
        <w:fldChar w:fldCharType="begin"/>
      </w:r>
      <w:r w:rsidRPr="003B6411">
        <w:rPr>
          <w:szCs w:val="24"/>
        </w:rPr>
        <w:instrText xml:space="preserve"> NOTEREF _Ref430776375 \h  \* MERGEFORMAT </w:instrText>
      </w:r>
      <w:r w:rsidRPr="003B6411">
        <w:rPr>
          <w:szCs w:val="24"/>
        </w:rPr>
      </w:r>
      <w:r w:rsidRPr="003B6411">
        <w:rPr>
          <w:szCs w:val="24"/>
        </w:rPr>
        <w:fldChar w:fldCharType="separate"/>
      </w:r>
      <w:r w:rsidR="00DA394E">
        <w:rPr>
          <w:szCs w:val="24"/>
        </w:rPr>
        <w:t>4</w:t>
      </w:r>
      <w:r w:rsidRPr="003B6411">
        <w:rPr>
          <w:szCs w:val="24"/>
        </w:rPr>
        <w:fldChar w:fldCharType="end"/>
      </w:r>
      <w:r w:rsidRPr="003B6411">
        <w:rPr>
          <w:szCs w:val="24"/>
        </w:rPr>
        <w:t>, at 545.</w:t>
      </w:r>
    </w:p>
  </w:endnote>
  <w:endnote w:id="489">
    <w:p w14:paraId="3E2720F6" w14:textId="77777777" w:rsidR="00E856B6" w:rsidRPr="003B6411" w:rsidRDefault="00E856B6" w:rsidP="00EA57D7">
      <w:pPr>
        <w:pStyle w:val="af1"/>
        <w:jc w:val="both"/>
        <w:rPr>
          <w:bCs/>
          <w:szCs w:val="24"/>
        </w:rPr>
      </w:pPr>
      <w:r w:rsidRPr="003B6411">
        <w:rPr>
          <w:rStyle w:val="af3"/>
          <w:szCs w:val="24"/>
        </w:rPr>
        <w:endnoteRef/>
      </w:r>
      <w:r w:rsidRPr="003B6411">
        <w:rPr>
          <w:szCs w:val="24"/>
        </w:rPr>
        <w:t xml:space="preserve"> </w:t>
      </w:r>
      <w:r w:rsidRPr="003B6411">
        <w:rPr>
          <w:smallCaps/>
          <w:szCs w:val="24"/>
        </w:rPr>
        <w:t xml:space="preserve">William Schabas &amp; Helmut Sax, A Commentary on the United Nations Convention on the Rights of the Child: </w:t>
      </w:r>
      <w:r w:rsidRPr="003B6411">
        <w:rPr>
          <w:bCs/>
          <w:smallCaps/>
          <w:szCs w:val="24"/>
        </w:rPr>
        <w:t>Article 37. Prohibition of Torture, Death Penalty, Life Imprisonment and Deprivation of Liberty</w:t>
      </w:r>
      <w:r w:rsidRPr="003B6411">
        <w:rPr>
          <w:bCs/>
          <w:szCs w:val="24"/>
        </w:rPr>
        <w:t xml:space="preserve"> 12 (2006).</w:t>
      </w:r>
    </w:p>
  </w:endnote>
  <w:endnote w:id="490">
    <w:p w14:paraId="7E285A20"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“‘[T]orture’ means any act by which severe pain or suffering, whether physical or mental, is intentionally inflicted on a person for such purposes as obtaining from him or a third person information or a confession, punishing him for an act he or a third person has committed or is suspected of having committed, or intimidating or coercing him or a third person, or for any reason based on discrimination of any kind, when such pain or suffering is inflicted by or at the instigation of or with the consent or acquiescence of a public official or other person acting in an official capacity. It does not include pain or suffering arising only from, inherent in or incidental to lawful sanctions.”</w:t>
      </w:r>
    </w:p>
  </w:endnote>
  <w:endnote w:id="491">
    <w:p w14:paraId="6D1678E1"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szCs w:val="24"/>
        </w:rPr>
        <w:t>人權委員會，第</w:t>
      </w:r>
      <w:r w:rsidRPr="003B6411">
        <w:rPr>
          <w:szCs w:val="24"/>
        </w:rPr>
        <w:t>20</w:t>
      </w:r>
      <w:r w:rsidRPr="003B6411">
        <w:rPr>
          <w:szCs w:val="24"/>
        </w:rPr>
        <w:t>號一般性意見「第</w:t>
      </w:r>
      <w:r w:rsidRPr="003B6411">
        <w:rPr>
          <w:szCs w:val="24"/>
        </w:rPr>
        <w:t>7</w:t>
      </w:r>
      <w:r w:rsidRPr="003B6411">
        <w:rPr>
          <w:szCs w:val="24"/>
        </w:rPr>
        <w:t>條（禁止酷刑或與以殘忍、不人道或侮辱之處遇或懲罰」，第</w:t>
      </w:r>
      <w:r w:rsidRPr="003B6411">
        <w:rPr>
          <w:szCs w:val="24"/>
        </w:rPr>
        <w:t>5</w:t>
      </w:r>
      <w:r w:rsidRPr="003B6411">
        <w:rPr>
          <w:szCs w:val="24"/>
        </w:rPr>
        <w:t>段。</w:t>
      </w:r>
      <w:r w:rsidRPr="003B6411">
        <w:rPr>
          <w:szCs w:val="24"/>
        </w:rPr>
        <w:t>Human Right Committee, General Comment No. 20: Article 7: Prohibition of Torture, or Other Cruel, Inhuman or Degrading Treatment or Punishment, ¶ 5, U.N. Doc. HRI/GEN/1/Rev.9 (Vol. I), at 200 (May 27, 2008).</w:t>
      </w:r>
    </w:p>
  </w:endnote>
  <w:endnote w:id="492">
    <w:p w14:paraId="1228484D"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szCs w:val="24"/>
        </w:rPr>
        <w:t>兒童權利委員會第</w:t>
      </w:r>
      <w:r w:rsidRPr="003B6411">
        <w:rPr>
          <w:szCs w:val="24"/>
        </w:rPr>
        <w:t>13</w:t>
      </w:r>
      <w:r w:rsidRPr="003B6411">
        <w:rPr>
          <w:szCs w:val="24"/>
        </w:rPr>
        <w:t>號一般性意見「兒童免遭一切形式暴力侵害的權利」，</w:t>
      </w:r>
    </w:p>
    <w:p w14:paraId="2E6A6F7D" w14:textId="77777777" w:rsidR="00E856B6" w:rsidRPr="003B6411" w:rsidRDefault="00E856B6" w:rsidP="00EA57D7">
      <w:pPr>
        <w:pStyle w:val="af1"/>
        <w:jc w:val="both"/>
        <w:rPr>
          <w:szCs w:val="24"/>
        </w:rPr>
      </w:pPr>
      <w:r w:rsidRPr="003B6411">
        <w:rPr>
          <w:szCs w:val="24"/>
        </w:rPr>
        <w:t>Committee on the Rights of the Child, General Comment No. 13: The Right of the Child to Freedom from All Forms of Violence, U.N. Doc. CRC/C/GC/13 (Apr. 18, 2011).</w:t>
      </w:r>
    </w:p>
  </w:endnote>
  <w:endnote w:id="493">
    <w:p w14:paraId="4443ED1F"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Committee on the Rights of the Child, Concluding Observations of the Committee on the Rights of the Child: China, ¶ 21, U.N. Doc. CRC/C/15/Add/56 (June 7, 1996).</w:t>
      </w:r>
    </w:p>
  </w:endnote>
  <w:endnote w:id="494">
    <w:p w14:paraId="7CEC8883"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szCs w:val="24"/>
        </w:rPr>
        <w:t>兒童權利委員會，關於締約國根據兒童權利公約第</w:t>
      </w:r>
      <w:r w:rsidRPr="003B6411">
        <w:rPr>
          <w:szCs w:val="24"/>
        </w:rPr>
        <w:t>44</w:t>
      </w:r>
      <w:r w:rsidRPr="003B6411">
        <w:rPr>
          <w:szCs w:val="24"/>
        </w:rPr>
        <w:t>條第</w:t>
      </w:r>
      <w:r w:rsidRPr="003B6411">
        <w:rPr>
          <w:szCs w:val="24"/>
        </w:rPr>
        <w:t>1</w:t>
      </w:r>
      <w:r w:rsidRPr="003B6411">
        <w:rPr>
          <w:szCs w:val="24"/>
        </w:rPr>
        <w:t>款</w:t>
      </w:r>
      <w:r w:rsidRPr="003B6411">
        <w:rPr>
          <w:szCs w:val="24"/>
        </w:rPr>
        <w:t>(b)</w:t>
      </w:r>
      <w:r w:rsidRPr="003B6411">
        <w:rPr>
          <w:szCs w:val="24"/>
        </w:rPr>
        <w:t>項提交的定期報告的形式和內容的條約專要準則，第</w:t>
      </w:r>
      <w:r w:rsidRPr="003B6411">
        <w:rPr>
          <w:szCs w:val="24"/>
        </w:rPr>
        <w:t>138</w:t>
      </w:r>
      <w:r w:rsidRPr="003B6411">
        <w:rPr>
          <w:szCs w:val="24"/>
        </w:rPr>
        <w:t>段。</w:t>
      </w:r>
      <w:r w:rsidRPr="003B6411">
        <w:rPr>
          <w:szCs w:val="24"/>
        </w:rPr>
        <w:t>Committee on the Rights of the Child, Treaty-Specific Guidelines Regarding the Form and Content of Periodic Reports to Be Submitted by States Parties under Article 44, Paragraph 1 (b), of the Convention on the Rights of the Child, ¶ 138, U.N. Doc. CRC/C/58 (Nov. 20, 1996).</w:t>
      </w:r>
    </w:p>
  </w:endnote>
  <w:endnote w:id="495">
    <w:p w14:paraId="193E0A05"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szCs w:val="24"/>
        </w:rPr>
        <w:t>人權事務委員會，第</w:t>
      </w:r>
      <w:r w:rsidRPr="003B6411">
        <w:rPr>
          <w:szCs w:val="24"/>
        </w:rPr>
        <w:t>8</w:t>
      </w:r>
      <w:r w:rsidRPr="003B6411">
        <w:rPr>
          <w:szCs w:val="24"/>
        </w:rPr>
        <w:t>號一般性意見「第</w:t>
      </w:r>
      <w:r w:rsidRPr="003B6411">
        <w:rPr>
          <w:szCs w:val="24"/>
        </w:rPr>
        <w:t>9</w:t>
      </w:r>
      <w:r w:rsidRPr="003B6411">
        <w:rPr>
          <w:szCs w:val="24"/>
        </w:rPr>
        <w:t>條」，第</w:t>
      </w:r>
      <w:r w:rsidRPr="003B6411">
        <w:rPr>
          <w:szCs w:val="24"/>
        </w:rPr>
        <w:t>1</w:t>
      </w:r>
      <w:r w:rsidRPr="003B6411">
        <w:rPr>
          <w:szCs w:val="24"/>
        </w:rPr>
        <w:t>段。</w:t>
      </w:r>
      <w:r w:rsidRPr="003B6411">
        <w:rPr>
          <w:szCs w:val="24"/>
        </w:rPr>
        <w:t xml:space="preserve">Human Rights Committee, General Comment No. 8: </w:t>
      </w:r>
      <w:r w:rsidRPr="003B6411">
        <w:rPr>
          <w:bCs/>
          <w:kern w:val="0"/>
          <w:szCs w:val="24"/>
        </w:rPr>
        <w:t>Article 9: Right to Liberty and Security of Persons)</w:t>
      </w:r>
      <w:r w:rsidRPr="003B6411">
        <w:rPr>
          <w:szCs w:val="24"/>
        </w:rPr>
        <w:t>, ¶ 1, U.N. Doc. HRI/GEN/1/Rev.9 (Vol. I), at 179 (May 27, 2008).</w:t>
      </w:r>
    </w:p>
  </w:endnote>
  <w:endnote w:id="496">
    <w:p w14:paraId="7C13222D"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szCs w:val="24"/>
        </w:rPr>
        <w:t>兒童權利委員會，第</w:t>
      </w:r>
      <w:r w:rsidRPr="003B6411">
        <w:rPr>
          <w:szCs w:val="24"/>
        </w:rPr>
        <w:t>10</w:t>
      </w:r>
      <w:r w:rsidRPr="003B6411">
        <w:rPr>
          <w:szCs w:val="24"/>
        </w:rPr>
        <w:t>號一般性意見「少年司法中的兒童權利」，第</w:t>
      </w:r>
      <w:r w:rsidRPr="003B6411">
        <w:rPr>
          <w:szCs w:val="24"/>
        </w:rPr>
        <w:t>80</w:t>
      </w:r>
      <w:r w:rsidRPr="003B6411">
        <w:rPr>
          <w:szCs w:val="24"/>
        </w:rPr>
        <w:t>段。</w:t>
      </w:r>
      <w:r w:rsidRPr="003B6411">
        <w:rPr>
          <w:szCs w:val="24"/>
        </w:rPr>
        <w:t>Committee on the Rights of the Child, General Comment No. 10: Children’s Rights in Juvenile Justice, ¶ 80, U.N. Doc. CRC/GC/10 (Apr. 25, 2007).</w:t>
      </w:r>
    </w:p>
  </w:endnote>
  <w:endnote w:id="497">
    <w:p w14:paraId="051319AE"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Committee on the Rights of the Child, Concluding Observations: United Kingdom of Great Britain and Northern Ireland, ¶ 62(g), U.N. Doc. CRC/C/15/Add.188 (Oct. 9, 2002).</w:t>
      </w:r>
    </w:p>
  </w:endnote>
  <w:endnote w:id="498">
    <w:p w14:paraId="48CCC91B"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szCs w:val="24"/>
        </w:rPr>
        <w:t>兒童權利委員會，第</w:t>
      </w:r>
      <w:r w:rsidRPr="003B6411">
        <w:rPr>
          <w:szCs w:val="24"/>
        </w:rPr>
        <w:t>10</w:t>
      </w:r>
      <w:r w:rsidRPr="003B6411">
        <w:rPr>
          <w:szCs w:val="24"/>
        </w:rPr>
        <w:t>屆會議報告，第</w:t>
      </w:r>
      <w:r w:rsidRPr="003B6411">
        <w:rPr>
          <w:szCs w:val="24"/>
        </w:rPr>
        <w:t>219</w:t>
      </w:r>
      <w:r w:rsidRPr="003B6411">
        <w:rPr>
          <w:szCs w:val="24"/>
        </w:rPr>
        <w:t>及</w:t>
      </w:r>
      <w:r w:rsidRPr="003B6411">
        <w:rPr>
          <w:szCs w:val="24"/>
        </w:rPr>
        <w:t>228</w:t>
      </w:r>
      <w:r w:rsidRPr="003B6411">
        <w:rPr>
          <w:szCs w:val="24"/>
        </w:rPr>
        <w:t>段。</w:t>
      </w:r>
      <w:r w:rsidRPr="003B6411">
        <w:rPr>
          <w:szCs w:val="24"/>
        </w:rPr>
        <w:t>Committee on the Rights of the Child, Report on the Tenth Session, ¶¶ 219, 228, U.N. Doc. CRC/C/46 (Dec. 18, 1995).</w:t>
      </w:r>
    </w:p>
  </w:endnote>
  <w:endnote w:id="499">
    <w:p w14:paraId="734BE0AE" w14:textId="77777777" w:rsidR="00E856B6" w:rsidRPr="003B6411" w:rsidRDefault="00E856B6" w:rsidP="00EA57D7">
      <w:pPr>
        <w:pStyle w:val="af1"/>
        <w:jc w:val="both"/>
      </w:pPr>
      <w:r w:rsidRPr="003B6411">
        <w:rPr>
          <w:rStyle w:val="af3"/>
        </w:rPr>
        <w:endnoteRef/>
      </w:r>
      <w:r w:rsidRPr="003B6411">
        <w:t xml:space="preserve"> 543 U.S. 551(2005).</w:t>
      </w:r>
    </w:p>
  </w:endnote>
  <w:endnote w:id="500">
    <w:p w14:paraId="40F7652D"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Regina v. Matthew James Elliott and Bronson Matthew Blessington (2006) NSWCCA 305, </w:t>
      </w:r>
      <w:r w:rsidRPr="003B6411">
        <w:rPr>
          <w:i/>
          <w:szCs w:val="24"/>
        </w:rPr>
        <w:t xml:space="preserve">available at </w:t>
      </w:r>
      <w:r w:rsidRPr="003B6411">
        <w:rPr>
          <w:szCs w:val="24"/>
        </w:rPr>
        <w:t>http://www.austlii.edu.au/au/cases/nsw/NSWCCA/2006/</w:t>
      </w:r>
      <w:r w:rsidRPr="003B6411">
        <w:rPr>
          <w:szCs w:val="24"/>
        </w:rPr>
        <w:br/>
        <w:t>305.html (last visited: 2015/6/18)</w:t>
      </w:r>
    </w:p>
  </w:endnote>
  <w:endnote w:id="501">
    <w:p w14:paraId="6DF153D3"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Manuela Limbeek and Mariëlle Bruning, </w:t>
      </w:r>
      <w:r w:rsidRPr="003B6411">
        <w:rPr>
          <w:i/>
          <w:szCs w:val="24"/>
        </w:rPr>
        <w:t>The Netherlands</w:t>
      </w:r>
      <w:r w:rsidRPr="003B6411">
        <w:rPr>
          <w:szCs w:val="24"/>
        </w:rPr>
        <w:t xml:space="preserve">, </w:t>
      </w:r>
      <w:r w:rsidRPr="003B6411">
        <w:rPr>
          <w:i/>
          <w:szCs w:val="24"/>
        </w:rPr>
        <w:t>in</w:t>
      </w:r>
      <w:r w:rsidRPr="003B6411">
        <w:rPr>
          <w:szCs w:val="24"/>
        </w:rPr>
        <w:t xml:space="preserve"> </w:t>
      </w:r>
      <w:r w:rsidRPr="003B6411">
        <w:rPr>
          <w:smallCaps/>
          <w:szCs w:val="24"/>
        </w:rPr>
        <w:t>Litigating the Rights of the Child: The UN Convention on the Rights of the Child in Domestic and International Jurisprudence</w:t>
      </w:r>
      <w:r w:rsidRPr="003B6411">
        <w:rPr>
          <w:szCs w:val="24"/>
        </w:rPr>
        <w:t xml:space="preserve"> 89, 90 (2014).</w:t>
      </w:r>
    </w:p>
  </w:endnote>
  <w:endnote w:id="502">
    <w:p w14:paraId="5E29B5BE"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smallCaps/>
          <w:szCs w:val="24"/>
        </w:rPr>
        <w:t>Schabas &amp; Helmut Sax</w:t>
      </w:r>
      <w:r w:rsidRPr="003B6411">
        <w:rPr>
          <w:szCs w:val="24"/>
        </w:rPr>
        <w:t xml:space="preserve">, </w:t>
      </w:r>
      <w:r w:rsidRPr="003B6411">
        <w:rPr>
          <w:i/>
          <w:szCs w:val="24"/>
        </w:rPr>
        <w:t xml:space="preserve">supra </w:t>
      </w:r>
      <w:r w:rsidRPr="003B6411">
        <w:rPr>
          <w:szCs w:val="24"/>
        </w:rPr>
        <w:t xml:space="preserve">note </w:t>
      </w:r>
      <w:r w:rsidRPr="003B6411">
        <w:rPr>
          <w:szCs w:val="24"/>
        </w:rPr>
        <w:fldChar w:fldCharType="begin"/>
      </w:r>
      <w:r w:rsidRPr="003B6411">
        <w:rPr>
          <w:szCs w:val="24"/>
        </w:rPr>
        <w:instrText xml:space="preserve"> NOTEREF _Ref429383442 \h  \* MERGEFORMAT </w:instrText>
      </w:r>
      <w:r w:rsidRPr="003B6411">
        <w:rPr>
          <w:szCs w:val="24"/>
        </w:rPr>
      </w:r>
      <w:r w:rsidRPr="003B6411">
        <w:rPr>
          <w:szCs w:val="24"/>
        </w:rPr>
        <w:fldChar w:fldCharType="separate"/>
      </w:r>
      <w:r w:rsidR="00DA394E">
        <w:rPr>
          <w:szCs w:val="24"/>
        </w:rPr>
        <w:t>1</w:t>
      </w:r>
      <w:r w:rsidRPr="003B6411">
        <w:rPr>
          <w:szCs w:val="24"/>
        </w:rPr>
        <w:fldChar w:fldCharType="end"/>
      </w:r>
      <w:r w:rsidRPr="003B6411">
        <w:rPr>
          <w:szCs w:val="24"/>
        </w:rPr>
        <w:t>, at 63-64.</w:t>
      </w:r>
    </w:p>
  </w:endnote>
  <w:endnote w:id="503">
    <w:p w14:paraId="012E300A"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szCs w:val="24"/>
        </w:rPr>
        <w:t>參見：聯合國秘書長的專家</w:t>
      </w:r>
      <w:r w:rsidRPr="003B6411">
        <w:rPr>
          <w:szCs w:val="24"/>
        </w:rPr>
        <w:t>Ms. Grac’a Machel</w:t>
      </w:r>
      <w:r w:rsidRPr="003B6411">
        <w:rPr>
          <w:szCs w:val="24"/>
        </w:rPr>
        <w:t>女士遵照大會第</w:t>
      </w:r>
      <w:r w:rsidRPr="003B6411">
        <w:rPr>
          <w:szCs w:val="24"/>
        </w:rPr>
        <w:t>48/157</w:t>
      </w:r>
      <w:r w:rsidRPr="003B6411">
        <w:rPr>
          <w:szCs w:val="24"/>
        </w:rPr>
        <w:t>號決議提交的報告：武裝衝突對兒童的影響；負責兒童與武裝衝突問題的秘書長特別代表辦公室網站，</w:t>
      </w:r>
      <w:r w:rsidRPr="003B6411">
        <w:rPr>
          <w:szCs w:val="24"/>
        </w:rPr>
        <w:t>https://childrenandarmedconflict.un.org/</w:t>
      </w:r>
      <w:r w:rsidRPr="003B6411">
        <w:rPr>
          <w:szCs w:val="24"/>
        </w:rPr>
        <w:t>。</w:t>
      </w:r>
      <w:r w:rsidRPr="003B6411">
        <w:rPr>
          <w:i/>
          <w:szCs w:val="24"/>
        </w:rPr>
        <w:t>See, e.g.</w:t>
      </w:r>
      <w:r w:rsidRPr="003B6411">
        <w:rPr>
          <w:szCs w:val="24"/>
        </w:rPr>
        <w:t xml:space="preserve">, </w:t>
      </w:r>
      <w:r w:rsidRPr="003B6411">
        <w:rPr>
          <w:i/>
          <w:szCs w:val="24"/>
        </w:rPr>
        <w:t>Report of the Expert of the Secretary-General, Ms. Grac’a Machel, Submitted Pursuant to General Assembly Resolution 48/157</w:t>
      </w:r>
      <w:r w:rsidRPr="003B6411">
        <w:rPr>
          <w:szCs w:val="24"/>
        </w:rPr>
        <w:t>, U.N. Doc. A/51/306 (Aug. 26, 1996); Office of the Special Representative of the Secretary-General for Children and Armed Conflict, https://childrenandarmedconflict.un.org/ (last visited July 30, 2015).</w:t>
      </w:r>
    </w:p>
  </w:endnote>
  <w:endnote w:id="504">
    <w:p w14:paraId="63F5A654"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smallCaps/>
          <w:szCs w:val="24"/>
        </w:rPr>
        <w:t xml:space="preserve">Fiona Ang, A Commentary on the United Nations Convention on the Rights of the Child: Article 38. Children in Armed Conflicts </w:t>
      </w:r>
      <w:r w:rsidRPr="003B6411">
        <w:rPr>
          <w:szCs w:val="24"/>
        </w:rPr>
        <w:t>3 (André Alen et al. eds., 2005).</w:t>
      </w:r>
    </w:p>
  </w:endnote>
  <w:endnote w:id="505">
    <w:p w14:paraId="61FAD548"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Prosecutor v. Tadić, Case No. IT-94-1-I, Decision on Defence Motion for Interlocutory Appeal on Jurisdiction, ¶ 70 (Int’l Crim. Trib. for the Former Yugoslavia Oct. 2, 1995).</w:t>
      </w:r>
    </w:p>
  </w:endnote>
  <w:endnote w:id="506">
    <w:p w14:paraId="6ED51E9E"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szCs w:val="24"/>
        </w:rPr>
        <w:t>第</w:t>
      </w:r>
      <w:r w:rsidRPr="003B6411">
        <w:rPr>
          <w:szCs w:val="24"/>
        </w:rPr>
        <w:t>41</w:t>
      </w:r>
      <w:r w:rsidRPr="003B6411">
        <w:rPr>
          <w:szCs w:val="24"/>
        </w:rPr>
        <w:t>條</w:t>
      </w:r>
      <w:r w:rsidRPr="003B6411">
        <w:rPr>
          <w:szCs w:val="24"/>
        </w:rPr>
        <w:t>b</w:t>
      </w:r>
      <w:r w:rsidRPr="003B6411">
        <w:rPr>
          <w:szCs w:val="24"/>
        </w:rPr>
        <w:t>款：「本公約之任何規定，不應影響下列規定中，更有利於實現兒童權利之任何規定：</w:t>
      </w:r>
      <w:r w:rsidRPr="003B6411">
        <w:rPr>
          <w:szCs w:val="24"/>
        </w:rPr>
        <w:t>…(b)</w:t>
      </w:r>
      <w:r w:rsidRPr="003B6411">
        <w:rPr>
          <w:szCs w:val="24"/>
        </w:rPr>
        <w:t>對締約國有效之國際法。」</w:t>
      </w:r>
    </w:p>
  </w:endnote>
  <w:endnote w:id="507">
    <w:p w14:paraId="01049015"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smallCaps/>
          <w:szCs w:val="24"/>
        </w:rPr>
        <w:t xml:space="preserve">Ang, </w:t>
      </w:r>
      <w:r w:rsidRPr="003B6411">
        <w:rPr>
          <w:i/>
          <w:szCs w:val="24"/>
        </w:rPr>
        <w:t xml:space="preserve">supra </w:t>
      </w:r>
      <w:r w:rsidRPr="003B6411">
        <w:rPr>
          <w:szCs w:val="24"/>
        </w:rPr>
        <w:t xml:space="preserve">note </w:t>
      </w:r>
      <w:r w:rsidRPr="003B6411">
        <w:fldChar w:fldCharType="begin"/>
      </w:r>
      <w:r w:rsidRPr="003B6411">
        <w:instrText xml:space="preserve"> NOTEREF _Ref426326635 \h  \* MERGEFORMAT </w:instrText>
      </w:r>
      <w:r w:rsidRPr="003B6411">
        <w:fldChar w:fldCharType="separate"/>
      </w:r>
      <w:r w:rsidR="00DA394E">
        <w:t>2</w:t>
      </w:r>
      <w:r w:rsidRPr="003B6411">
        <w:fldChar w:fldCharType="end"/>
      </w:r>
      <w:r w:rsidRPr="003B6411">
        <w:rPr>
          <w:szCs w:val="24"/>
        </w:rPr>
        <w:t>, at 14-20.</w:t>
      </w:r>
    </w:p>
  </w:endnote>
  <w:endnote w:id="508">
    <w:p w14:paraId="271832B3"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i/>
          <w:szCs w:val="24"/>
        </w:rPr>
        <w:t>Id.</w:t>
      </w:r>
      <w:r w:rsidRPr="003B6411">
        <w:rPr>
          <w:szCs w:val="24"/>
        </w:rPr>
        <w:t xml:space="preserve"> at 33-34.</w:t>
      </w:r>
    </w:p>
  </w:endnote>
  <w:endnote w:id="509">
    <w:p w14:paraId="665DB1ED"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Jean de Preux, </w:t>
      </w:r>
      <w:r w:rsidRPr="003B6411">
        <w:rPr>
          <w:i/>
          <w:szCs w:val="24"/>
        </w:rPr>
        <w:t>Article 43: Armed Forces</w:t>
      </w:r>
      <w:r w:rsidRPr="003B6411">
        <w:rPr>
          <w:szCs w:val="24"/>
        </w:rPr>
        <w:t xml:space="preserve">, </w:t>
      </w:r>
      <w:r w:rsidRPr="003B6411">
        <w:rPr>
          <w:i/>
          <w:szCs w:val="24"/>
        </w:rPr>
        <w:t>in</w:t>
      </w:r>
      <w:r w:rsidRPr="003B6411">
        <w:rPr>
          <w:szCs w:val="24"/>
        </w:rPr>
        <w:t xml:space="preserve"> </w:t>
      </w:r>
      <w:r w:rsidRPr="003B6411">
        <w:rPr>
          <w:smallCaps/>
          <w:szCs w:val="24"/>
        </w:rPr>
        <w:t xml:space="preserve">Commentary on the Additional Protocols of 8 June 1977 to the Geneva Conventions of 12 August 1949, </w:t>
      </w:r>
      <w:r w:rsidRPr="003B6411">
        <w:rPr>
          <w:szCs w:val="24"/>
        </w:rPr>
        <w:t>at 505, 516 (Yves Sandoz, Christophe Swinarski &amp; Bruno Zimmermann eds, 1987).</w:t>
      </w:r>
    </w:p>
  </w:endnote>
  <w:endnote w:id="510">
    <w:p w14:paraId="337FBF95" w14:textId="77777777" w:rsidR="00E856B6" w:rsidRPr="003B6411" w:rsidRDefault="00E856B6" w:rsidP="00EA57D7">
      <w:pPr>
        <w:pStyle w:val="af1"/>
        <w:jc w:val="both"/>
        <w:rPr>
          <w:i/>
          <w:szCs w:val="24"/>
        </w:rPr>
      </w:pPr>
      <w:r w:rsidRPr="003B6411">
        <w:rPr>
          <w:rStyle w:val="af3"/>
          <w:szCs w:val="24"/>
        </w:rPr>
        <w:endnoteRef/>
      </w:r>
      <w:r w:rsidRPr="003B6411">
        <w:rPr>
          <w:szCs w:val="24"/>
        </w:rPr>
        <w:t xml:space="preserve"> Claude Pilloud &amp; Jean Pictet, </w:t>
      </w:r>
      <w:r w:rsidRPr="003B6411">
        <w:rPr>
          <w:i/>
          <w:szCs w:val="24"/>
        </w:rPr>
        <w:t>Article 51</w:t>
      </w:r>
      <w:r w:rsidRPr="003B6411">
        <w:rPr>
          <w:szCs w:val="24"/>
        </w:rPr>
        <w:t xml:space="preserve">, </w:t>
      </w:r>
      <w:r w:rsidRPr="003B6411">
        <w:rPr>
          <w:i/>
          <w:szCs w:val="24"/>
        </w:rPr>
        <w:t>in id.</w:t>
      </w:r>
      <w:r w:rsidRPr="003B6411">
        <w:rPr>
          <w:szCs w:val="24"/>
        </w:rPr>
        <w:t xml:space="preserve"> at 613, 619.</w:t>
      </w:r>
    </w:p>
  </w:endnote>
  <w:endnote w:id="511">
    <w:p w14:paraId="46E57744"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smallCaps/>
          <w:szCs w:val="24"/>
        </w:rPr>
        <w:t xml:space="preserve">Ang, </w:t>
      </w:r>
      <w:r w:rsidRPr="003B6411">
        <w:rPr>
          <w:i/>
          <w:szCs w:val="24"/>
        </w:rPr>
        <w:t xml:space="preserve">supra </w:t>
      </w:r>
      <w:r w:rsidRPr="003B6411">
        <w:rPr>
          <w:szCs w:val="24"/>
        </w:rPr>
        <w:t xml:space="preserve">note </w:t>
      </w:r>
      <w:r w:rsidRPr="003B6411">
        <w:fldChar w:fldCharType="begin"/>
      </w:r>
      <w:r w:rsidRPr="003B6411">
        <w:instrText xml:space="preserve"> NOTEREF _Ref426326635 \h  \* MERGEFORMAT </w:instrText>
      </w:r>
      <w:r w:rsidRPr="003B6411">
        <w:fldChar w:fldCharType="separate"/>
      </w:r>
      <w:r w:rsidR="00DA394E">
        <w:t>2</w:t>
      </w:r>
      <w:r w:rsidRPr="003B6411">
        <w:fldChar w:fldCharType="end"/>
      </w:r>
      <w:r w:rsidRPr="003B6411">
        <w:rPr>
          <w:szCs w:val="24"/>
        </w:rPr>
        <w:t>, at 36.</w:t>
      </w:r>
    </w:p>
  </w:endnote>
  <w:endnote w:id="512">
    <w:p w14:paraId="6C1D581F"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i/>
          <w:szCs w:val="24"/>
        </w:rPr>
        <w:t>See, e.g.</w:t>
      </w:r>
      <w:r w:rsidRPr="003B6411">
        <w:rPr>
          <w:szCs w:val="24"/>
        </w:rPr>
        <w:t>, Committee on the Rights of the Child, Concluding Observations: Democratic Republic of the Congo, ¶ 65, U.N. Doc. CRC/C/15/Add.153 (July 9, 2011); Committee on the Rights of the Child, Concluding Observations: Israel, ¶ 32, U.N. Doc. CRC/C/15/Add.195 (Oct. 9, 2002).</w:t>
      </w:r>
    </w:p>
  </w:endnote>
  <w:endnote w:id="513">
    <w:p w14:paraId="3CCA9718"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smallCaps/>
          <w:szCs w:val="24"/>
        </w:rPr>
        <w:t xml:space="preserve">Ang, </w:t>
      </w:r>
      <w:r w:rsidRPr="003B6411">
        <w:rPr>
          <w:i/>
          <w:szCs w:val="24"/>
        </w:rPr>
        <w:t xml:space="preserve">supra </w:t>
      </w:r>
      <w:r w:rsidRPr="003B6411">
        <w:rPr>
          <w:szCs w:val="24"/>
        </w:rPr>
        <w:t xml:space="preserve">note </w:t>
      </w:r>
      <w:r w:rsidRPr="003B6411">
        <w:fldChar w:fldCharType="begin"/>
      </w:r>
      <w:r w:rsidRPr="003B6411">
        <w:instrText xml:space="preserve"> NOTEREF _Ref426326635 \h  \* MERGEFORMAT </w:instrText>
      </w:r>
      <w:r w:rsidRPr="003B6411">
        <w:fldChar w:fldCharType="separate"/>
      </w:r>
      <w:r w:rsidR="00DA394E">
        <w:t>2</w:t>
      </w:r>
      <w:r w:rsidRPr="003B6411">
        <w:fldChar w:fldCharType="end"/>
      </w:r>
      <w:r w:rsidRPr="003B6411">
        <w:rPr>
          <w:szCs w:val="24"/>
        </w:rPr>
        <w:t>, at 47-48.</w:t>
      </w:r>
    </w:p>
  </w:endnote>
  <w:endnote w:id="514">
    <w:p w14:paraId="43135B0C"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smallCaps/>
          <w:szCs w:val="24"/>
        </w:rPr>
        <w:t xml:space="preserve">UNICEF, Implementation Handbook for the Convention on the Rights of the Child 326 </w:t>
      </w:r>
      <w:r w:rsidRPr="003B6411">
        <w:rPr>
          <w:szCs w:val="24"/>
        </w:rPr>
        <w:t>(2002).</w:t>
      </w:r>
    </w:p>
  </w:endnote>
  <w:endnote w:id="515">
    <w:p w14:paraId="5898A157"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smallCaps/>
          <w:szCs w:val="24"/>
        </w:rPr>
        <w:t xml:space="preserve">UNICEF, Implementation Handbook for the Convention on the Rights of the Child 573 </w:t>
      </w:r>
      <w:r w:rsidRPr="003B6411">
        <w:rPr>
          <w:szCs w:val="24"/>
        </w:rPr>
        <w:t>(3d ed. 2007).</w:t>
      </w:r>
    </w:p>
  </w:endnote>
  <w:endnote w:id="516">
    <w:p w14:paraId="72727978"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i/>
          <w:szCs w:val="24"/>
        </w:rPr>
        <w:t>E.g.</w:t>
      </w:r>
      <w:r w:rsidRPr="003B6411">
        <w:rPr>
          <w:szCs w:val="24"/>
        </w:rPr>
        <w:t>, Committee on the Rights of the Child, Concluding Observations: Myanmar, ¶ 67, U.N. Doc. CRC/C/15/Add.237 (June 30, 2004).</w:t>
      </w:r>
    </w:p>
  </w:endnote>
  <w:endnote w:id="517">
    <w:p w14:paraId="2CAADBE4"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i/>
          <w:szCs w:val="24"/>
        </w:rPr>
        <w:t>E.g.</w:t>
      </w:r>
      <w:r w:rsidRPr="003B6411">
        <w:rPr>
          <w:szCs w:val="24"/>
        </w:rPr>
        <w:t>, Committee on the Rights of the Child, Concluding Observations: Democratic People’s Republic of Korea, ¶ 75, U.N. Doc. CRC/C/PRK/CO/4 (Mar. 27, 2009).</w:t>
      </w:r>
    </w:p>
  </w:endnote>
  <w:endnote w:id="518">
    <w:p w14:paraId="31C297DD"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smallCaps/>
          <w:szCs w:val="24"/>
        </w:rPr>
        <w:t xml:space="preserve">Ang, </w:t>
      </w:r>
      <w:r w:rsidRPr="003B6411">
        <w:rPr>
          <w:i/>
          <w:szCs w:val="24"/>
        </w:rPr>
        <w:t xml:space="preserve">supra </w:t>
      </w:r>
      <w:r w:rsidRPr="003B6411">
        <w:rPr>
          <w:szCs w:val="24"/>
        </w:rPr>
        <w:t xml:space="preserve">note </w:t>
      </w:r>
      <w:r w:rsidRPr="003B6411">
        <w:fldChar w:fldCharType="begin"/>
      </w:r>
      <w:r w:rsidRPr="003B6411">
        <w:instrText xml:space="preserve"> NOTEREF _Ref426326635 \h  \* MERGEFORMAT </w:instrText>
      </w:r>
      <w:r w:rsidRPr="003B6411">
        <w:fldChar w:fldCharType="separate"/>
      </w:r>
      <w:r w:rsidR="00DA394E">
        <w:t>2</w:t>
      </w:r>
      <w:r w:rsidRPr="003B6411">
        <w:fldChar w:fldCharType="end"/>
      </w:r>
      <w:r w:rsidRPr="003B6411">
        <w:rPr>
          <w:szCs w:val="24"/>
        </w:rPr>
        <w:t>, at 56.</w:t>
      </w:r>
    </w:p>
  </w:endnote>
  <w:endnote w:id="519">
    <w:p w14:paraId="1148D18E"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i/>
          <w:szCs w:val="24"/>
        </w:rPr>
        <w:t>E.g.</w:t>
      </w:r>
      <w:r w:rsidRPr="003B6411">
        <w:rPr>
          <w:szCs w:val="24"/>
        </w:rPr>
        <w:t>, Geneva Convention Relative to the Protection of Civilian Persons in Time of War art. 94, Aug. 12, 1949, 75 U.N.T.S. 287.</w:t>
      </w:r>
    </w:p>
  </w:endnote>
  <w:endnote w:id="520">
    <w:p w14:paraId="319BE704"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i/>
          <w:szCs w:val="24"/>
        </w:rPr>
        <w:t>Id.</w:t>
      </w:r>
      <w:r w:rsidRPr="003B6411">
        <w:rPr>
          <w:szCs w:val="24"/>
        </w:rPr>
        <w:t xml:space="preserve"> art. 50.</w:t>
      </w:r>
    </w:p>
  </w:endnote>
  <w:endnote w:id="521">
    <w:p w14:paraId="44FA414C"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i/>
          <w:szCs w:val="24"/>
        </w:rPr>
        <w:t xml:space="preserve">Id. </w:t>
      </w:r>
      <w:r w:rsidRPr="003B6411">
        <w:rPr>
          <w:szCs w:val="24"/>
        </w:rPr>
        <w:t>art. 68.</w:t>
      </w:r>
    </w:p>
  </w:endnote>
  <w:endnote w:id="522">
    <w:p w14:paraId="4FA7C6F7"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smallCaps/>
          <w:szCs w:val="24"/>
        </w:rPr>
        <w:t xml:space="preserve">Ang, </w:t>
      </w:r>
      <w:r w:rsidRPr="003B6411">
        <w:rPr>
          <w:i/>
          <w:szCs w:val="24"/>
        </w:rPr>
        <w:t xml:space="preserve">supra </w:t>
      </w:r>
      <w:r w:rsidRPr="003B6411">
        <w:rPr>
          <w:szCs w:val="24"/>
        </w:rPr>
        <w:t xml:space="preserve">note </w:t>
      </w:r>
      <w:r w:rsidRPr="003B6411">
        <w:fldChar w:fldCharType="begin"/>
      </w:r>
      <w:r w:rsidRPr="003B6411">
        <w:instrText xml:space="preserve"> NOTEREF _Ref426326635 \h  \* MERGEFORMAT </w:instrText>
      </w:r>
      <w:r w:rsidRPr="003B6411">
        <w:fldChar w:fldCharType="separate"/>
      </w:r>
      <w:r w:rsidR="00DA394E">
        <w:t>2</w:t>
      </w:r>
      <w:r w:rsidRPr="003B6411">
        <w:fldChar w:fldCharType="end"/>
      </w:r>
      <w:r w:rsidRPr="003B6411">
        <w:rPr>
          <w:szCs w:val="24"/>
        </w:rPr>
        <w:t>, at 58-59.</w:t>
      </w:r>
    </w:p>
  </w:endnote>
  <w:endnote w:id="523">
    <w:p w14:paraId="7288E112"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i/>
          <w:szCs w:val="24"/>
        </w:rPr>
        <w:t xml:space="preserve">Id. </w:t>
      </w:r>
      <w:r w:rsidRPr="003B6411">
        <w:rPr>
          <w:szCs w:val="24"/>
        </w:rPr>
        <w:t>at 59.</w:t>
      </w:r>
    </w:p>
  </w:endnote>
  <w:endnote w:id="524">
    <w:p w14:paraId="082F6C99"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i/>
          <w:szCs w:val="24"/>
        </w:rPr>
        <w:t>E.g.</w:t>
      </w:r>
      <w:r w:rsidRPr="003B6411">
        <w:rPr>
          <w:szCs w:val="24"/>
        </w:rPr>
        <w:t>, Committee on the Rights of the Child, Concluding Observations: Georgia ¶ 59, U.N. Doc. CRC/C/15/Add.124 (June 28, 2000).</w:t>
      </w:r>
    </w:p>
  </w:endnote>
  <w:endnote w:id="525">
    <w:p w14:paraId="1E65E334"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i/>
          <w:szCs w:val="24"/>
        </w:rPr>
        <w:t>E.g.</w:t>
      </w:r>
      <w:r w:rsidRPr="003B6411">
        <w:rPr>
          <w:szCs w:val="24"/>
        </w:rPr>
        <w:t>, Committee on the Rights of the Child, Concluding Observations: Ethiopia, ¶ 69, U.N. Doc. CRC/C/15/Add.144 (Feb. 21, 2011).</w:t>
      </w:r>
    </w:p>
  </w:endnote>
  <w:endnote w:id="526">
    <w:p w14:paraId="45CA0F84"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i/>
          <w:szCs w:val="24"/>
        </w:rPr>
        <w:t>E.g.</w:t>
      </w:r>
      <w:r w:rsidRPr="003B6411">
        <w:rPr>
          <w:szCs w:val="24"/>
        </w:rPr>
        <w:t>, Committee on the Rights of the Child, Concluding Observations: Armenia, ¶ 49, U.N. Doc. CRC/C/15/Add.119 (Feb. 24, 2000); Committee on the Rights of the Child, Concluding Observations: India, ¶ 69, U.N. Doc. CRC/C/15/Add.228 (Feb. 26, 2004).</w:t>
      </w:r>
    </w:p>
  </w:endnote>
  <w:endnote w:id="527">
    <w:p w14:paraId="73C21BAF"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Armed Activities on the Territory of the Congo, Democratic Republic of the Congo v. Uganda (Dem. Rep. Congo v. Uganda), 2005 I.C.J. 168 (Dec. 19).</w:t>
      </w:r>
    </w:p>
  </w:endnote>
  <w:endnote w:id="528">
    <w:p w14:paraId="78ACF584"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Vargas Areco v. Paraguay, Inter-Am. Comm’n H.R., Report No. 155 (2006).</w:t>
      </w:r>
    </w:p>
  </w:endnote>
  <w:endnote w:id="529">
    <w:p w14:paraId="1E53CD5B"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Committee on the Rights of the Child, Report Adopted by the Committee at Its 46th Meeting, on 9 October 1992, ¶ 75, U.N. Doc. CRC/C/10 (Oct. 19, 1992).</w:t>
      </w:r>
    </w:p>
  </w:endnote>
  <w:endnote w:id="530">
    <w:p w14:paraId="0FF9CE0A"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United Nations Treaty Collection, Optional Protocol to the Convention on the Rights of the Child on the Involvement of Children in Armed Conflict, https://treaties.un.org/</w:t>
      </w:r>
      <w:r w:rsidRPr="003B6411">
        <w:rPr>
          <w:szCs w:val="24"/>
        </w:rPr>
        <w:br/>
        <w:t>pages/viewdetails.aspx?src=ind&amp;mtdsg_no=iv-11-b&amp;chapter=4&amp;lang=en (last visited July 31, 2015).</w:t>
      </w:r>
    </w:p>
  </w:endnote>
  <w:endnote w:id="531">
    <w:p w14:paraId="7D620F06"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i/>
          <w:szCs w:val="24"/>
        </w:rPr>
        <w:t>See</w:t>
      </w:r>
      <w:r w:rsidRPr="003B6411">
        <w:rPr>
          <w:szCs w:val="24"/>
        </w:rPr>
        <w:t xml:space="preserve"> </w:t>
      </w:r>
      <w:r w:rsidRPr="003B6411">
        <w:rPr>
          <w:smallCaps/>
          <w:szCs w:val="24"/>
        </w:rPr>
        <w:t xml:space="preserve">Tiny Vandewiele, A Commentary on the United Nations Convention on the Rights of the Child: Optional Protocol. The Involvement of Children in Armed Conflicts </w:t>
      </w:r>
      <w:r w:rsidRPr="003B6411">
        <w:rPr>
          <w:szCs w:val="24"/>
        </w:rPr>
        <w:t>(André Alen et al. eds., 2006).</w:t>
      </w:r>
    </w:p>
  </w:endnote>
  <w:endnote w:id="532">
    <w:p w14:paraId="35E75EA1"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smallCaps/>
          <w:kern w:val="0"/>
          <w:szCs w:val="24"/>
        </w:rPr>
        <w:t>UNICEF, Implementation Handbook for the Convention on the Rights of the Child 591-96</w:t>
      </w:r>
      <w:r w:rsidRPr="003B6411">
        <w:rPr>
          <w:kern w:val="0"/>
          <w:szCs w:val="24"/>
        </w:rPr>
        <w:t xml:space="preserve"> (3d ed. 2007).</w:t>
      </w:r>
    </w:p>
  </w:endnote>
  <w:endnote w:id="533">
    <w:p w14:paraId="08260D4D"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szCs w:val="24"/>
        </w:rPr>
        <w:t>林沛君，兒少人權向前行，臺北市，台灣展翅協會，</w:t>
      </w:r>
      <w:r w:rsidRPr="003B6411">
        <w:rPr>
          <w:szCs w:val="24"/>
        </w:rPr>
        <w:t>2015</w:t>
      </w:r>
      <w:r w:rsidRPr="003B6411">
        <w:rPr>
          <w:szCs w:val="24"/>
        </w:rPr>
        <w:t>年</w:t>
      </w:r>
      <w:r w:rsidRPr="003B6411">
        <w:rPr>
          <w:szCs w:val="24"/>
        </w:rPr>
        <w:t>4</w:t>
      </w:r>
      <w:r w:rsidRPr="003B6411">
        <w:rPr>
          <w:szCs w:val="24"/>
        </w:rPr>
        <w:t>月，頁</w:t>
      </w:r>
      <w:r w:rsidRPr="003B6411">
        <w:rPr>
          <w:szCs w:val="24"/>
        </w:rPr>
        <w:t>172</w:t>
      </w:r>
      <w:r w:rsidRPr="003B6411">
        <w:rPr>
          <w:szCs w:val="24"/>
        </w:rPr>
        <w:t>。</w:t>
      </w:r>
    </w:p>
  </w:endnote>
  <w:endnote w:id="534">
    <w:p w14:paraId="36D8E90A"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szCs w:val="24"/>
        </w:rPr>
        <w:t>同前註，頁</w:t>
      </w:r>
      <w:r w:rsidRPr="003B6411">
        <w:rPr>
          <w:szCs w:val="24"/>
        </w:rPr>
        <w:t>173</w:t>
      </w:r>
      <w:r w:rsidRPr="003B6411">
        <w:rPr>
          <w:szCs w:val="24"/>
        </w:rPr>
        <w:t>。</w:t>
      </w:r>
    </w:p>
  </w:endnote>
  <w:endnote w:id="535">
    <w:p w14:paraId="3A70E299"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szCs w:val="24"/>
        </w:rPr>
        <w:t>同前註，頁</w:t>
      </w:r>
      <w:r w:rsidRPr="003B6411">
        <w:rPr>
          <w:szCs w:val="24"/>
        </w:rPr>
        <w:t>173</w:t>
      </w:r>
      <w:r w:rsidRPr="003B6411">
        <w:rPr>
          <w:szCs w:val="24"/>
        </w:rPr>
        <w:t>。</w:t>
      </w:r>
    </w:p>
  </w:endnote>
  <w:endnote w:id="536">
    <w:p w14:paraId="17B1E9BE"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People of the Philippines v. Jose Abadies y Claveria, G.R. Nos. 139346-50 (S.C., July 11, 2002) (Phil.). </w:t>
      </w:r>
    </w:p>
  </w:endnote>
  <w:endnote w:id="537">
    <w:p w14:paraId="1F60CF8E" w14:textId="77777777" w:rsidR="00E856B6" w:rsidRPr="003B6411" w:rsidRDefault="00E856B6" w:rsidP="00EA57D7">
      <w:pPr>
        <w:pStyle w:val="af1"/>
        <w:jc w:val="both"/>
        <w:rPr>
          <w:color w:val="000000"/>
          <w:szCs w:val="24"/>
        </w:rPr>
      </w:pPr>
      <w:r w:rsidRPr="003B6411">
        <w:rPr>
          <w:rStyle w:val="af3"/>
          <w:szCs w:val="24"/>
        </w:rPr>
        <w:endnoteRef/>
      </w:r>
      <w:r w:rsidRPr="003B6411">
        <w:rPr>
          <w:szCs w:val="24"/>
        </w:rPr>
        <w:t xml:space="preserve"> W.J &amp; another v Astarikoh Henry Amkoah &amp; 9 others, May 19, 2015 (H.C.K.) </w:t>
      </w:r>
      <w:r w:rsidRPr="003B6411">
        <w:rPr>
          <w:color w:val="000000"/>
          <w:szCs w:val="24"/>
        </w:rPr>
        <w:t xml:space="preserve">(Kenya), </w:t>
      </w:r>
      <w:r w:rsidRPr="003B6411">
        <w:rPr>
          <w:i/>
          <w:color w:val="000000"/>
          <w:szCs w:val="24"/>
        </w:rPr>
        <w:t>available at</w:t>
      </w:r>
      <w:r w:rsidRPr="003B6411">
        <w:rPr>
          <w:color w:val="000000"/>
          <w:szCs w:val="24"/>
        </w:rPr>
        <w:t xml:space="preserve"> </w:t>
      </w:r>
      <w:r w:rsidRPr="003B6411">
        <w:rPr>
          <w:color w:val="000000"/>
          <w:szCs w:val="24"/>
          <w:shd w:val="clear" w:color="auto" w:fill="FFFFFF"/>
        </w:rPr>
        <w:t>http://kenyalaw.org/caselaw/cases/view/109721/ (last visited Sept. 1, 2015).</w:t>
      </w:r>
    </w:p>
  </w:endnote>
  <w:endnote w:id="538">
    <w:p w14:paraId="60073088"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szCs w:val="24"/>
        </w:rPr>
        <w:t>兒童權利委員會，第</w:t>
      </w:r>
      <w:r w:rsidRPr="003B6411">
        <w:rPr>
          <w:szCs w:val="24"/>
        </w:rPr>
        <w:t>6</w:t>
      </w:r>
      <w:r w:rsidRPr="003B6411">
        <w:rPr>
          <w:szCs w:val="24"/>
        </w:rPr>
        <w:t>號一般性意見「遠離原籍國無人陪伴和無父母陪伴的兒童待遇」，第</w:t>
      </w:r>
      <w:r w:rsidRPr="003B6411">
        <w:rPr>
          <w:szCs w:val="24"/>
        </w:rPr>
        <w:t>48</w:t>
      </w:r>
      <w:r w:rsidRPr="003B6411">
        <w:rPr>
          <w:szCs w:val="24"/>
        </w:rPr>
        <w:t>段。</w:t>
      </w:r>
      <w:r w:rsidRPr="003B6411">
        <w:rPr>
          <w:szCs w:val="24"/>
        </w:rPr>
        <w:t>Committee on the Rights of the Child, General Comment No. 6: Treatment of Unaccompanied and Separated Children outside Their Country of Origin, ¶ 48, U.N. Doc. CRC/GC/2005/6 (Sept. 1, 2005).</w:t>
      </w:r>
    </w:p>
  </w:endnote>
  <w:endnote w:id="539">
    <w:p w14:paraId="0EDDC938"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smallCaps/>
          <w:kern w:val="0"/>
          <w:szCs w:val="24"/>
        </w:rPr>
        <w:t xml:space="preserve">UNICEF </w:t>
      </w:r>
      <w:r w:rsidRPr="003B6411">
        <w:rPr>
          <w:i/>
          <w:kern w:val="0"/>
          <w:szCs w:val="24"/>
        </w:rPr>
        <w:t xml:space="preserve">supra </w:t>
      </w:r>
      <w:r w:rsidRPr="003B6411">
        <w:rPr>
          <w:kern w:val="0"/>
          <w:szCs w:val="24"/>
        </w:rPr>
        <w:t xml:space="preserve">note </w:t>
      </w:r>
      <w:r w:rsidRPr="003B6411">
        <w:rPr>
          <w:kern w:val="0"/>
          <w:szCs w:val="24"/>
        </w:rPr>
        <w:fldChar w:fldCharType="begin"/>
      </w:r>
      <w:r w:rsidRPr="003B6411">
        <w:rPr>
          <w:kern w:val="0"/>
          <w:szCs w:val="24"/>
        </w:rPr>
        <w:instrText xml:space="preserve"> NOTEREF _Ref429373526 \h  \* MERGEFORMAT </w:instrText>
      </w:r>
      <w:r w:rsidRPr="003B6411">
        <w:rPr>
          <w:kern w:val="0"/>
          <w:szCs w:val="24"/>
        </w:rPr>
      </w:r>
      <w:r w:rsidRPr="003B6411">
        <w:rPr>
          <w:kern w:val="0"/>
          <w:szCs w:val="24"/>
        </w:rPr>
        <w:fldChar w:fldCharType="separate"/>
      </w:r>
      <w:r w:rsidR="00DA394E">
        <w:rPr>
          <w:kern w:val="0"/>
          <w:szCs w:val="24"/>
        </w:rPr>
        <w:t>1</w:t>
      </w:r>
      <w:r w:rsidRPr="003B6411">
        <w:rPr>
          <w:kern w:val="0"/>
          <w:szCs w:val="24"/>
        </w:rPr>
        <w:fldChar w:fldCharType="end"/>
      </w:r>
      <w:r w:rsidRPr="003B6411">
        <w:rPr>
          <w:kern w:val="0"/>
          <w:szCs w:val="24"/>
        </w:rPr>
        <w:t xml:space="preserve">, at </w:t>
      </w:r>
      <w:r w:rsidRPr="003B6411">
        <w:rPr>
          <w:smallCaps/>
          <w:kern w:val="0"/>
          <w:szCs w:val="24"/>
        </w:rPr>
        <w:t>590</w:t>
      </w:r>
      <w:r w:rsidRPr="003B6411">
        <w:rPr>
          <w:kern w:val="0"/>
          <w:szCs w:val="24"/>
        </w:rPr>
        <w:t>.</w:t>
      </w:r>
    </w:p>
  </w:endnote>
  <w:endnote w:id="540">
    <w:p w14:paraId="6D7D2DD3"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i/>
          <w:szCs w:val="24"/>
        </w:rPr>
        <w:t>Id.</w:t>
      </w:r>
    </w:p>
  </w:endnote>
  <w:endnote w:id="541">
    <w:p w14:paraId="7653F89A"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szCs w:val="24"/>
        </w:rPr>
        <w:t>兒童權利委員會第</w:t>
      </w:r>
      <w:r w:rsidRPr="003B6411">
        <w:rPr>
          <w:szCs w:val="24"/>
        </w:rPr>
        <w:t>10</w:t>
      </w:r>
      <w:r w:rsidRPr="003B6411">
        <w:rPr>
          <w:szCs w:val="24"/>
        </w:rPr>
        <w:t>號一般性意見「少年司法中的兒童權利」，第</w:t>
      </w:r>
      <w:r w:rsidRPr="003B6411">
        <w:rPr>
          <w:szCs w:val="24"/>
        </w:rPr>
        <w:t>4</w:t>
      </w:r>
      <w:r w:rsidRPr="003B6411">
        <w:rPr>
          <w:szCs w:val="24"/>
        </w:rPr>
        <w:t>段。</w:t>
      </w:r>
      <w:r w:rsidRPr="003B6411">
        <w:rPr>
          <w:szCs w:val="24"/>
        </w:rPr>
        <w:t>Committee on the Rights of the Child, General Comment No. 10: Children’s Rights in Juvenile Justice, ¶ 4, U.N. Doc. CRC/C/GC/10 (Apr. 25, 2007) [hereinafter General Comment No. 10].</w:t>
      </w:r>
    </w:p>
  </w:endnote>
  <w:endnote w:id="542">
    <w:p w14:paraId="0E751D04"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i/>
          <w:szCs w:val="24"/>
        </w:rPr>
        <w:t xml:space="preserve">Id. </w:t>
      </w:r>
      <w:r w:rsidRPr="003B6411">
        <w:rPr>
          <w:szCs w:val="24"/>
        </w:rPr>
        <w:t>¶¶ 6 8.</w:t>
      </w:r>
    </w:p>
  </w:endnote>
  <w:endnote w:id="543">
    <w:p w14:paraId="3DE6D9AD"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i/>
          <w:szCs w:val="24"/>
        </w:rPr>
        <w:t xml:space="preserve">Id. </w:t>
      </w:r>
      <w:r w:rsidRPr="003B6411">
        <w:rPr>
          <w:szCs w:val="24"/>
        </w:rPr>
        <w:t>¶ 9.</w:t>
      </w:r>
    </w:p>
  </w:endnote>
  <w:endnote w:id="544">
    <w:p w14:paraId="5C3996AA"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i/>
          <w:szCs w:val="24"/>
        </w:rPr>
        <w:t xml:space="preserve">Id. </w:t>
      </w:r>
      <w:r w:rsidRPr="003B6411">
        <w:rPr>
          <w:szCs w:val="24"/>
        </w:rPr>
        <w:t>¶ 42.</w:t>
      </w:r>
    </w:p>
  </w:endnote>
  <w:endnote w:id="545">
    <w:p w14:paraId="2855E947"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i/>
          <w:szCs w:val="24"/>
        </w:rPr>
        <w:t xml:space="preserve">Id. </w:t>
      </w:r>
      <w:r w:rsidRPr="003B6411">
        <w:rPr>
          <w:szCs w:val="24"/>
        </w:rPr>
        <w:t>¶ 47.</w:t>
      </w:r>
    </w:p>
  </w:endnote>
  <w:endnote w:id="546">
    <w:p w14:paraId="02E30364"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i/>
          <w:szCs w:val="24"/>
        </w:rPr>
        <w:t xml:space="preserve">Id. </w:t>
      </w:r>
      <w:r w:rsidRPr="003B6411">
        <w:rPr>
          <w:szCs w:val="24"/>
        </w:rPr>
        <w:t>¶ 57.</w:t>
      </w:r>
    </w:p>
  </w:endnote>
  <w:endnote w:id="547">
    <w:p w14:paraId="5A05C873"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i/>
          <w:szCs w:val="24"/>
        </w:rPr>
        <w:t xml:space="preserve">Id. </w:t>
      </w:r>
      <w:r w:rsidRPr="003B6411">
        <w:rPr>
          <w:szCs w:val="24"/>
        </w:rPr>
        <w:t>¶ 60.</w:t>
      </w:r>
    </w:p>
  </w:endnote>
  <w:endnote w:id="548">
    <w:p w14:paraId="2AE7DBAB"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i/>
          <w:szCs w:val="24"/>
        </w:rPr>
        <w:t xml:space="preserve">Id. </w:t>
      </w:r>
      <w:r w:rsidRPr="003B6411">
        <w:rPr>
          <w:szCs w:val="24"/>
        </w:rPr>
        <w:t>¶ 62.</w:t>
      </w:r>
    </w:p>
  </w:endnote>
  <w:endnote w:id="549">
    <w:p w14:paraId="1BE2EB37"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i/>
          <w:szCs w:val="24"/>
        </w:rPr>
        <w:t xml:space="preserve">Id. </w:t>
      </w:r>
      <w:r w:rsidRPr="003B6411">
        <w:rPr>
          <w:szCs w:val="24"/>
        </w:rPr>
        <w:t>¶ 64.</w:t>
      </w:r>
    </w:p>
  </w:endnote>
  <w:endnote w:id="550">
    <w:p w14:paraId="6B666A61"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szCs w:val="24"/>
        </w:rPr>
        <w:t>聯合國少年司法最低限度標準規則（北京規則），第</w:t>
      </w:r>
      <w:r w:rsidRPr="003B6411">
        <w:rPr>
          <w:szCs w:val="24"/>
        </w:rPr>
        <w:t>21</w:t>
      </w:r>
      <w:r w:rsidRPr="003B6411">
        <w:rPr>
          <w:szCs w:val="24"/>
        </w:rPr>
        <w:t>條。</w:t>
      </w:r>
      <w:r w:rsidRPr="00364EBE">
        <w:rPr>
          <w:szCs w:val="24"/>
        </w:rPr>
        <w:t>U.N. Standard Minimum Rules for the Administration of Juvenile Justice,</w:t>
      </w:r>
      <w:r>
        <w:rPr>
          <w:szCs w:val="24"/>
        </w:rPr>
        <w:t xml:space="preserve"> G.A. Res. 40/33, Annex, Rule 21, U.N. Doc. A/RES/40/33 (Nov. 29, 1985).</w:t>
      </w:r>
    </w:p>
  </w:endnote>
  <w:endnote w:id="551">
    <w:p w14:paraId="530BFD6E"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General Comment No. 10, </w:t>
      </w:r>
      <w:r w:rsidRPr="003B6411">
        <w:rPr>
          <w:i/>
          <w:szCs w:val="24"/>
        </w:rPr>
        <w:t>supra</w:t>
      </w:r>
      <w:r w:rsidRPr="003B6411">
        <w:rPr>
          <w:szCs w:val="24"/>
        </w:rPr>
        <w:t xml:space="preserve"> note </w:t>
      </w:r>
      <w:r w:rsidRPr="003B6411">
        <w:rPr>
          <w:szCs w:val="24"/>
        </w:rPr>
        <w:fldChar w:fldCharType="begin"/>
      </w:r>
      <w:r w:rsidRPr="003B6411">
        <w:rPr>
          <w:szCs w:val="24"/>
        </w:rPr>
        <w:instrText xml:space="preserve"> NOTEREF _Ref427238125 \h  \* MERGEFORMAT </w:instrText>
      </w:r>
      <w:r w:rsidRPr="003B6411">
        <w:rPr>
          <w:szCs w:val="24"/>
        </w:rPr>
      </w:r>
      <w:r w:rsidRPr="003B6411">
        <w:rPr>
          <w:szCs w:val="24"/>
        </w:rPr>
        <w:fldChar w:fldCharType="separate"/>
      </w:r>
      <w:r w:rsidR="00DA394E">
        <w:rPr>
          <w:szCs w:val="24"/>
        </w:rPr>
        <w:t>1</w:t>
      </w:r>
      <w:r w:rsidRPr="003B6411">
        <w:rPr>
          <w:szCs w:val="24"/>
        </w:rPr>
        <w:fldChar w:fldCharType="end"/>
      </w:r>
      <w:r w:rsidRPr="003B6411">
        <w:rPr>
          <w:szCs w:val="24"/>
        </w:rPr>
        <w:t>, ¶ 66.</w:t>
      </w:r>
    </w:p>
  </w:endnote>
  <w:endnote w:id="552">
    <w:p w14:paraId="0E0637E9"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w:t>
      </w:r>
      <w:r w:rsidRPr="003B6411">
        <w:rPr>
          <w:i/>
          <w:szCs w:val="24"/>
        </w:rPr>
        <w:t xml:space="preserve">Id. </w:t>
      </w:r>
      <w:r w:rsidRPr="003B6411">
        <w:rPr>
          <w:szCs w:val="24"/>
        </w:rPr>
        <w:t>¶ 23.</w:t>
      </w:r>
    </w:p>
  </w:endnote>
  <w:endnote w:id="553">
    <w:p w14:paraId="1F9B9C0B"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In the Matter of an Application by JR38 for Judicial Review (Northern Ireland), [2015] UKSC 42 (July 1, 2015), </w:t>
      </w:r>
      <w:r w:rsidRPr="003B6411">
        <w:rPr>
          <w:i/>
          <w:szCs w:val="24"/>
        </w:rPr>
        <w:t>available at</w:t>
      </w:r>
      <w:r w:rsidRPr="003B6411">
        <w:rPr>
          <w:szCs w:val="24"/>
        </w:rPr>
        <w:t xml:space="preserve"> https://www.supremecourt.uk/cases/</w:t>
      </w:r>
      <w:r w:rsidRPr="003B6411">
        <w:rPr>
          <w:szCs w:val="24"/>
        </w:rPr>
        <w:br/>
        <w:t>docs/uksc-2013-0181-judgment.pdf (last visited July 18, 2015).</w:t>
      </w:r>
    </w:p>
  </w:endnote>
  <w:endnote w:id="554">
    <w:p w14:paraId="2FBE26E4" w14:textId="77777777" w:rsidR="00E856B6" w:rsidRPr="003B6411" w:rsidRDefault="00E856B6" w:rsidP="00EA57D7">
      <w:pPr>
        <w:pStyle w:val="af1"/>
        <w:jc w:val="both"/>
        <w:rPr>
          <w:szCs w:val="24"/>
        </w:rPr>
      </w:pPr>
      <w:r w:rsidRPr="003B6411">
        <w:rPr>
          <w:rStyle w:val="af3"/>
          <w:szCs w:val="24"/>
        </w:rPr>
        <w:endnoteRef/>
      </w:r>
      <w:r w:rsidRPr="003B6411">
        <w:rPr>
          <w:szCs w:val="24"/>
        </w:rPr>
        <w:t xml:space="preserve"> S and Marper v United Kingdom, App. Nos. 30562/04 and 30566/04, 2008 Eur. Ct. H.R. 1581.</w:t>
      </w:r>
    </w:p>
  </w:endnote>
  <w:endnote w:id="555">
    <w:p w14:paraId="2CE6CAF3" w14:textId="77777777" w:rsidR="00E856B6" w:rsidRPr="003B6411" w:rsidRDefault="00E856B6" w:rsidP="00EA57D7">
      <w:pPr>
        <w:pStyle w:val="af1"/>
        <w:jc w:val="both"/>
        <w:rPr>
          <w:szCs w:val="24"/>
        </w:rPr>
      </w:pPr>
      <w:r w:rsidRPr="003B6411">
        <w:rPr>
          <w:rStyle w:val="af3"/>
          <w:szCs w:val="24"/>
        </w:rPr>
        <w:endnoteRef/>
      </w:r>
      <w:r w:rsidRPr="003B6411">
        <w:rPr>
          <w:smallCaps/>
          <w:szCs w:val="24"/>
        </w:rPr>
        <w:t xml:space="preserve"> Ton Liefaard &amp; Jaap E. Doek, Litigating the Rights of the Child - The UN Convention on the Rights of the Child in Domestic and International Jurisprudence</w:t>
      </w:r>
      <w:r w:rsidRPr="003B6411">
        <w:rPr>
          <w:szCs w:val="24"/>
        </w:rPr>
        <w:t xml:space="preserve"> 90 (2015).</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3478E1" w14:textId="77777777" w:rsidR="00E856B6" w:rsidRPr="00945C21" w:rsidRDefault="00E856B6" w:rsidP="0096212B">
    <w:pPr>
      <w:pStyle w:val="a9"/>
      <w:jc w:val="center"/>
      <w:rPr>
        <w:sz w:val="28"/>
        <w:szCs w:val="24"/>
      </w:rPr>
    </w:pPr>
    <w:r w:rsidRPr="00945C21">
      <w:rPr>
        <w:sz w:val="28"/>
        <w:szCs w:val="24"/>
      </w:rPr>
      <w:fldChar w:fldCharType="begin"/>
    </w:r>
    <w:r w:rsidRPr="00945C21">
      <w:rPr>
        <w:sz w:val="28"/>
        <w:szCs w:val="24"/>
      </w:rPr>
      <w:instrText xml:space="preserve"> PAGE   \* MERGEFORMAT </w:instrText>
    </w:r>
    <w:r w:rsidRPr="00945C21">
      <w:rPr>
        <w:sz w:val="28"/>
        <w:szCs w:val="24"/>
      </w:rPr>
      <w:fldChar w:fldCharType="separate"/>
    </w:r>
    <w:r w:rsidR="00287BD3">
      <w:rPr>
        <w:noProof/>
        <w:sz w:val="28"/>
        <w:szCs w:val="24"/>
      </w:rPr>
      <w:t>22</w:t>
    </w:r>
    <w:r w:rsidRPr="00945C21">
      <w:rPr>
        <w:noProof/>
        <w:sz w:val="28"/>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8"/>
        <w:szCs w:val="24"/>
      </w:rPr>
      <w:id w:val="1863162595"/>
      <w:docPartObj>
        <w:docPartGallery w:val="Page Numbers (Bottom of Page)"/>
        <w:docPartUnique/>
      </w:docPartObj>
    </w:sdtPr>
    <w:sdtEndPr>
      <w:rPr>
        <w:noProof/>
      </w:rPr>
    </w:sdtEndPr>
    <w:sdtContent>
      <w:p w14:paraId="35D84E62" w14:textId="77777777" w:rsidR="00E856B6" w:rsidRPr="00945C21" w:rsidRDefault="00E856B6" w:rsidP="0096212B">
        <w:pPr>
          <w:pStyle w:val="a9"/>
          <w:jc w:val="center"/>
          <w:rPr>
            <w:sz w:val="28"/>
            <w:szCs w:val="24"/>
          </w:rPr>
        </w:pPr>
        <w:r w:rsidRPr="00945C21">
          <w:rPr>
            <w:sz w:val="28"/>
            <w:szCs w:val="24"/>
          </w:rPr>
          <w:fldChar w:fldCharType="begin"/>
        </w:r>
        <w:r w:rsidRPr="00945C21">
          <w:rPr>
            <w:sz w:val="28"/>
            <w:szCs w:val="24"/>
          </w:rPr>
          <w:instrText xml:space="preserve"> PAGE   \* MERGEFORMAT </w:instrText>
        </w:r>
        <w:r w:rsidRPr="00945C21">
          <w:rPr>
            <w:sz w:val="28"/>
            <w:szCs w:val="24"/>
          </w:rPr>
          <w:fldChar w:fldCharType="separate"/>
        </w:r>
        <w:r w:rsidR="00287BD3">
          <w:rPr>
            <w:noProof/>
            <w:sz w:val="28"/>
            <w:szCs w:val="24"/>
          </w:rPr>
          <w:t>64</w:t>
        </w:r>
        <w:r w:rsidRPr="00945C21">
          <w:rPr>
            <w:noProof/>
            <w:sz w:val="28"/>
            <w:szCs w:val="24"/>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BABC6D" w14:textId="77777777" w:rsidR="00E856B6" w:rsidRPr="003337EE" w:rsidRDefault="00E856B6" w:rsidP="00D50707">
    <w:pPr>
      <w:pStyle w:val="a9"/>
      <w:jc w:val="center"/>
      <w:rPr>
        <w:sz w:val="28"/>
      </w:rPr>
    </w:pPr>
    <w:r w:rsidRPr="003337EE">
      <w:rPr>
        <w:sz w:val="28"/>
      </w:rPr>
      <w:fldChar w:fldCharType="begin"/>
    </w:r>
    <w:r w:rsidRPr="003337EE">
      <w:rPr>
        <w:sz w:val="28"/>
      </w:rPr>
      <w:instrText xml:space="preserve"> PAGE   \* MERGEFORMAT </w:instrText>
    </w:r>
    <w:r w:rsidRPr="003337EE">
      <w:rPr>
        <w:sz w:val="28"/>
      </w:rPr>
      <w:fldChar w:fldCharType="separate"/>
    </w:r>
    <w:r w:rsidR="00287BD3">
      <w:rPr>
        <w:noProof/>
        <w:sz w:val="28"/>
      </w:rPr>
      <w:t>70</w:t>
    </w:r>
    <w:r w:rsidRPr="003337EE">
      <w:rPr>
        <w:noProof/>
        <w:sz w:val="28"/>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440A14" w14:textId="77777777" w:rsidR="00E856B6" w:rsidRPr="005072C3" w:rsidRDefault="00E856B6" w:rsidP="00D50707">
    <w:pPr>
      <w:pStyle w:val="a9"/>
      <w:jc w:val="center"/>
      <w:rPr>
        <w:sz w:val="28"/>
        <w:szCs w:val="24"/>
      </w:rPr>
    </w:pPr>
    <w:r w:rsidRPr="005072C3">
      <w:rPr>
        <w:sz w:val="28"/>
        <w:szCs w:val="24"/>
      </w:rPr>
      <w:fldChar w:fldCharType="begin"/>
    </w:r>
    <w:r w:rsidRPr="005072C3">
      <w:rPr>
        <w:sz w:val="28"/>
        <w:szCs w:val="24"/>
      </w:rPr>
      <w:instrText xml:space="preserve"> PAGE   \* MERGEFORMAT </w:instrText>
    </w:r>
    <w:r w:rsidRPr="005072C3">
      <w:rPr>
        <w:sz w:val="28"/>
        <w:szCs w:val="24"/>
      </w:rPr>
      <w:fldChar w:fldCharType="separate"/>
    </w:r>
    <w:r w:rsidR="00287BD3">
      <w:rPr>
        <w:noProof/>
        <w:sz w:val="28"/>
        <w:szCs w:val="24"/>
      </w:rPr>
      <w:t>76</w:t>
    </w:r>
    <w:r w:rsidRPr="005072C3">
      <w:rPr>
        <w:noProof/>
        <w:sz w:val="28"/>
        <w:szCs w:val="24"/>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CAE17D" w14:textId="77777777" w:rsidR="00E856B6" w:rsidRPr="005072C3" w:rsidRDefault="00E856B6" w:rsidP="00D50707">
    <w:pPr>
      <w:pStyle w:val="a9"/>
      <w:jc w:val="center"/>
      <w:rPr>
        <w:sz w:val="28"/>
        <w:szCs w:val="24"/>
      </w:rPr>
    </w:pPr>
    <w:r w:rsidRPr="005072C3">
      <w:rPr>
        <w:sz w:val="28"/>
        <w:szCs w:val="24"/>
      </w:rPr>
      <w:fldChar w:fldCharType="begin"/>
    </w:r>
    <w:r w:rsidRPr="005072C3">
      <w:rPr>
        <w:sz w:val="28"/>
        <w:szCs w:val="24"/>
      </w:rPr>
      <w:instrText xml:space="preserve"> PAGE   \* MERGEFORMAT </w:instrText>
    </w:r>
    <w:r w:rsidRPr="005072C3">
      <w:rPr>
        <w:sz w:val="28"/>
        <w:szCs w:val="24"/>
      </w:rPr>
      <w:fldChar w:fldCharType="separate"/>
    </w:r>
    <w:r w:rsidR="00287BD3">
      <w:rPr>
        <w:noProof/>
        <w:sz w:val="28"/>
        <w:szCs w:val="24"/>
      </w:rPr>
      <w:t>94</w:t>
    </w:r>
    <w:r w:rsidRPr="005072C3">
      <w:rPr>
        <w:noProof/>
        <w:sz w:val="28"/>
        <w:szCs w:val="24"/>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435C5C" w14:textId="77777777" w:rsidR="00E856B6" w:rsidRPr="003952E9" w:rsidRDefault="00E856B6" w:rsidP="00CC1907">
    <w:pPr>
      <w:pStyle w:val="a9"/>
      <w:tabs>
        <w:tab w:val="left" w:pos="4990"/>
      </w:tabs>
      <w:rPr>
        <w:sz w:val="28"/>
        <w:szCs w:val="28"/>
      </w:rPr>
    </w:pPr>
    <w:r w:rsidRPr="003952E9">
      <w:rPr>
        <w:sz w:val="28"/>
        <w:szCs w:val="28"/>
      </w:rPr>
      <w:tab/>
    </w:r>
    <w:r w:rsidRPr="003952E9">
      <w:rPr>
        <w:sz w:val="28"/>
        <w:szCs w:val="28"/>
      </w:rPr>
      <w:fldChar w:fldCharType="begin"/>
    </w:r>
    <w:r w:rsidRPr="003952E9">
      <w:rPr>
        <w:sz w:val="28"/>
        <w:szCs w:val="28"/>
      </w:rPr>
      <w:instrText xml:space="preserve"> PAGE   \* MERGEFORMAT </w:instrText>
    </w:r>
    <w:r w:rsidRPr="003952E9">
      <w:rPr>
        <w:sz w:val="28"/>
        <w:szCs w:val="28"/>
      </w:rPr>
      <w:fldChar w:fldCharType="separate"/>
    </w:r>
    <w:r w:rsidR="00287BD3">
      <w:rPr>
        <w:noProof/>
        <w:sz w:val="28"/>
        <w:szCs w:val="28"/>
      </w:rPr>
      <w:t>130</w:t>
    </w:r>
    <w:r w:rsidRPr="003952E9">
      <w:rPr>
        <w:noProof/>
        <w:sz w:val="28"/>
        <w:szCs w:val="28"/>
      </w:rPr>
      <w:fldChar w:fldCharType="end"/>
    </w:r>
    <w:r w:rsidRPr="003952E9">
      <w:rPr>
        <w:noProof/>
        <w:sz w:val="28"/>
        <w:szCs w:val="28"/>
      </w:rPr>
      <w:tab/>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8DD7EB" w14:textId="77777777" w:rsidR="00E856B6" w:rsidRPr="0074597B" w:rsidRDefault="00E856B6" w:rsidP="00CC1907">
    <w:pPr>
      <w:pStyle w:val="a9"/>
      <w:jc w:val="center"/>
      <w:rPr>
        <w:sz w:val="28"/>
        <w:szCs w:val="28"/>
      </w:rPr>
    </w:pPr>
    <w:r w:rsidRPr="0074597B">
      <w:rPr>
        <w:sz w:val="28"/>
        <w:szCs w:val="28"/>
      </w:rPr>
      <w:fldChar w:fldCharType="begin"/>
    </w:r>
    <w:r w:rsidRPr="0074597B">
      <w:rPr>
        <w:sz w:val="28"/>
        <w:szCs w:val="28"/>
      </w:rPr>
      <w:instrText xml:space="preserve"> PAGE   \* MERGEFORMAT </w:instrText>
    </w:r>
    <w:r w:rsidRPr="0074597B">
      <w:rPr>
        <w:sz w:val="28"/>
        <w:szCs w:val="28"/>
      </w:rPr>
      <w:fldChar w:fldCharType="separate"/>
    </w:r>
    <w:r w:rsidR="00287BD3">
      <w:rPr>
        <w:noProof/>
        <w:sz w:val="28"/>
        <w:szCs w:val="28"/>
      </w:rPr>
      <w:t>173</w:t>
    </w:r>
    <w:r w:rsidRPr="0074597B">
      <w:rPr>
        <w:noProof/>
        <w:sz w:val="28"/>
        <w:szCs w:val="28"/>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77564A" w14:textId="77777777" w:rsidR="00E856B6" w:rsidRPr="005072C3" w:rsidRDefault="00E856B6" w:rsidP="00D50707">
    <w:pPr>
      <w:pStyle w:val="a9"/>
      <w:jc w:val="center"/>
      <w:rPr>
        <w:sz w:val="28"/>
        <w:szCs w:val="24"/>
      </w:rPr>
    </w:pPr>
    <w:r w:rsidRPr="005072C3">
      <w:rPr>
        <w:sz w:val="28"/>
        <w:szCs w:val="24"/>
      </w:rPr>
      <w:fldChar w:fldCharType="begin"/>
    </w:r>
    <w:r w:rsidRPr="005072C3">
      <w:rPr>
        <w:sz w:val="28"/>
        <w:szCs w:val="24"/>
      </w:rPr>
      <w:instrText xml:space="preserve"> PAGE   \* MERGEFORMAT </w:instrText>
    </w:r>
    <w:r w:rsidRPr="005072C3">
      <w:rPr>
        <w:sz w:val="28"/>
        <w:szCs w:val="24"/>
      </w:rPr>
      <w:fldChar w:fldCharType="separate"/>
    </w:r>
    <w:r w:rsidR="00287BD3">
      <w:rPr>
        <w:noProof/>
        <w:sz w:val="28"/>
        <w:szCs w:val="24"/>
      </w:rPr>
      <w:t>186</w:t>
    </w:r>
    <w:r w:rsidRPr="005072C3">
      <w:rPr>
        <w:noProof/>
        <w:sz w:val="28"/>
        <w:szCs w:val="24"/>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8"/>
        <w:szCs w:val="24"/>
      </w:rPr>
      <w:id w:val="-1934582266"/>
      <w:docPartObj>
        <w:docPartGallery w:val="Page Numbers (Bottom of Page)"/>
        <w:docPartUnique/>
      </w:docPartObj>
    </w:sdtPr>
    <w:sdtEndPr>
      <w:rPr>
        <w:noProof/>
      </w:rPr>
    </w:sdtEndPr>
    <w:sdtContent>
      <w:p w14:paraId="66F3A02C" w14:textId="77777777" w:rsidR="00E856B6" w:rsidRPr="00945C21" w:rsidRDefault="00E856B6" w:rsidP="0096212B">
        <w:pPr>
          <w:pStyle w:val="a9"/>
          <w:jc w:val="center"/>
          <w:rPr>
            <w:sz w:val="28"/>
            <w:szCs w:val="24"/>
          </w:rPr>
        </w:pPr>
        <w:r w:rsidRPr="00945C21">
          <w:rPr>
            <w:sz w:val="28"/>
            <w:szCs w:val="24"/>
          </w:rPr>
          <w:fldChar w:fldCharType="begin"/>
        </w:r>
        <w:r w:rsidRPr="00945C21">
          <w:rPr>
            <w:sz w:val="28"/>
            <w:szCs w:val="24"/>
          </w:rPr>
          <w:instrText xml:space="preserve"> PAGE   \* MERGEFORMAT </w:instrText>
        </w:r>
        <w:r w:rsidRPr="00945C21">
          <w:rPr>
            <w:sz w:val="28"/>
            <w:szCs w:val="24"/>
          </w:rPr>
          <w:fldChar w:fldCharType="separate"/>
        </w:r>
        <w:r w:rsidR="00287BD3">
          <w:rPr>
            <w:noProof/>
            <w:sz w:val="28"/>
            <w:szCs w:val="24"/>
          </w:rPr>
          <w:t>190</w:t>
        </w:r>
        <w:r w:rsidRPr="00945C21">
          <w:rPr>
            <w:noProof/>
            <w:sz w:val="28"/>
            <w:szCs w:val="24"/>
          </w:rPr>
          <w:fldChar w:fldCharType="end"/>
        </w:r>
      </w:p>
    </w:sdtContent>
  </w:sdt>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13DC24" w14:textId="77777777" w:rsidR="00E856B6" w:rsidRPr="005072C3" w:rsidRDefault="00E856B6" w:rsidP="00D50707">
    <w:pPr>
      <w:pStyle w:val="a9"/>
      <w:jc w:val="center"/>
      <w:rPr>
        <w:sz w:val="28"/>
        <w:szCs w:val="24"/>
      </w:rPr>
    </w:pPr>
    <w:r w:rsidRPr="005072C3">
      <w:rPr>
        <w:sz w:val="28"/>
        <w:szCs w:val="24"/>
      </w:rPr>
      <w:fldChar w:fldCharType="begin"/>
    </w:r>
    <w:r w:rsidRPr="005072C3">
      <w:rPr>
        <w:sz w:val="28"/>
        <w:szCs w:val="24"/>
      </w:rPr>
      <w:instrText xml:space="preserve"> PAGE   \* MERGEFORMAT </w:instrText>
    </w:r>
    <w:r w:rsidRPr="005072C3">
      <w:rPr>
        <w:sz w:val="28"/>
        <w:szCs w:val="24"/>
      </w:rPr>
      <w:fldChar w:fldCharType="separate"/>
    </w:r>
    <w:r w:rsidR="00287BD3">
      <w:rPr>
        <w:noProof/>
        <w:sz w:val="28"/>
        <w:szCs w:val="24"/>
      </w:rPr>
      <w:t>207</w:t>
    </w:r>
    <w:r w:rsidRPr="005072C3">
      <w:rPr>
        <w:noProof/>
        <w:sz w:val="28"/>
        <w:szCs w:val="24"/>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E7D2FD" w14:textId="77777777" w:rsidR="00E856B6" w:rsidRPr="0074597B" w:rsidRDefault="00E856B6" w:rsidP="00BB6849">
    <w:pPr>
      <w:pStyle w:val="a9"/>
      <w:jc w:val="center"/>
      <w:rPr>
        <w:sz w:val="28"/>
        <w:szCs w:val="28"/>
      </w:rPr>
    </w:pPr>
    <w:r w:rsidRPr="0074597B">
      <w:rPr>
        <w:sz w:val="28"/>
        <w:szCs w:val="28"/>
      </w:rPr>
      <w:fldChar w:fldCharType="begin"/>
    </w:r>
    <w:r w:rsidRPr="0074597B">
      <w:rPr>
        <w:sz w:val="28"/>
        <w:szCs w:val="28"/>
      </w:rPr>
      <w:instrText xml:space="preserve"> PAGE   \* MERGEFORMAT </w:instrText>
    </w:r>
    <w:r w:rsidRPr="0074597B">
      <w:rPr>
        <w:sz w:val="28"/>
        <w:szCs w:val="28"/>
      </w:rPr>
      <w:fldChar w:fldCharType="separate"/>
    </w:r>
    <w:r w:rsidR="00287BD3">
      <w:rPr>
        <w:noProof/>
        <w:sz w:val="28"/>
        <w:szCs w:val="28"/>
      </w:rPr>
      <w:t>211</w:t>
    </w:r>
    <w:r w:rsidRPr="0074597B">
      <w:rPr>
        <w:noProof/>
        <w:sz w:val="28"/>
        <w:szCs w:val="2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BC646E" w14:textId="77777777" w:rsidR="00EE5529" w:rsidRDefault="00EE5529" w:rsidP="00653CC5">
      <w:r>
        <w:separator/>
      </w:r>
    </w:p>
  </w:footnote>
  <w:footnote w:type="continuationSeparator" w:id="0">
    <w:p w14:paraId="31ADE6ED" w14:textId="77777777" w:rsidR="00EE5529" w:rsidRDefault="00EE5529" w:rsidP="00653CC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B5C6A"/>
    <w:multiLevelType w:val="hybridMultilevel"/>
    <w:tmpl w:val="C8A2785E"/>
    <w:lvl w:ilvl="0" w:tplc="72FA6F30">
      <w:start w:val="1"/>
      <w:numFmt w:val="bullet"/>
      <w:lvlText w:val=""/>
      <w:lvlJc w:val="left"/>
      <w:pPr>
        <w:ind w:left="1040" w:hanging="480"/>
      </w:pPr>
      <w:rPr>
        <w:rFonts w:ascii="Wingdings" w:hAnsi="Wingdings" w:hint="default"/>
      </w:rPr>
    </w:lvl>
    <w:lvl w:ilvl="1" w:tplc="04090003" w:tentative="1">
      <w:start w:val="1"/>
      <w:numFmt w:val="bullet"/>
      <w:lvlText w:val=""/>
      <w:lvlJc w:val="left"/>
      <w:pPr>
        <w:ind w:left="1520" w:hanging="480"/>
      </w:pPr>
      <w:rPr>
        <w:rFonts w:ascii="Wingdings" w:hAnsi="Wingdings" w:hint="default"/>
      </w:rPr>
    </w:lvl>
    <w:lvl w:ilvl="2" w:tplc="04090005">
      <w:start w:val="1"/>
      <w:numFmt w:val="bullet"/>
      <w:lvlText w:val=""/>
      <w:lvlJc w:val="left"/>
      <w:pPr>
        <w:ind w:left="2000" w:hanging="480"/>
      </w:pPr>
      <w:rPr>
        <w:rFonts w:ascii="Wingdings" w:hAnsi="Wingdings" w:hint="default"/>
      </w:rPr>
    </w:lvl>
    <w:lvl w:ilvl="3" w:tplc="72FA6F30">
      <w:start w:val="1"/>
      <w:numFmt w:val="bullet"/>
      <w:lvlText w:val=""/>
      <w:lvlJc w:val="left"/>
      <w:pPr>
        <w:ind w:left="2480" w:hanging="480"/>
      </w:pPr>
      <w:rPr>
        <w:rFonts w:ascii="Wingdings" w:hAnsi="Wingdings" w:hint="default"/>
      </w:rPr>
    </w:lvl>
    <w:lvl w:ilvl="4" w:tplc="04090003" w:tentative="1">
      <w:start w:val="1"/>
      <w:numFmt w:val="bullet"/>
      <w:lvlText w:val=""/>
      <w:lvlJc w:val="left"/>
      <w:pPr>
        <w:ind w:left="2960" w:hanging="480"/>
      </w:pPr>
      <w:rPr>
        <w:rFonts w:ascii="Wingdings" w:hAnsi="Wingdings" w:hint="default"/>
      </w:rPr>
    </w:lvl>
    <w:lvl w:ilvl="5" w:tplc="04090005" w:tentative="1">
      <w:start w:val="1"/>
      <w:numFmt w:val="bullet"/>
      <w:lvlText w:val=""/>
      <w:lvlJc w:val="left"/>
      <w:pPr>
        <w:ind w:left="3440" w:hanging="480"/>
      </w:pPr>
      <w:rPr>
        <w:rFonts w:ascii="Wingdings" w:hAnsi="Wingdings" w:hint="default"/>
      </w:rPr>
    </w:lvl>
    <w:lvl w:ilvl="6" w:tplc="04090001" w:tentative="1">
      <w:start w:val="1"/>
      <w:numFmt w:val="bullet"/>
      <w:lvlText w:val=""/>
      <w:lvlJc w:val="left"/>
      <w:pPr>
        <w:ind w:left="3920" w:hanging="480"/>
      </w:pPr>
      <w:rPr>
        <w:rFonts w:ascii="Wingdings" w:hAnsi="Wingdings" w:hint="default"/>
      </w:rPr>
    </w:lvl>
    <w:lvl w:ilvl="7" w:tplc="04090003" w:tentative="1">
      <w:start w:val="1"/>
      <w:numFmt w:val="bullet"/>
      <w:lvlText w:val=""/>
      <w:lvlJc w:val="left"/>
      <w:pPr>
        <w:ind w:left="4400" w:hanging="480"/>
      </w:pPr>
      <w:rPr>
        <w:rFonts w:ascii="Wingdings" w:hAnsi="Wingdings" w:hint="default"/>
      </w:rPr>
    </w:lvl>
    <w:lvl w:ilvl="8" w:tplc="04090005" w:tentative="1">
      <w:start w:val="1"/>
      <w:numFmt w:val="bullet"/>
      <w:lvlText w:val=""/>
      <w:lvlJc w:val="left"/>
      <w:pPr>
        <w:ind w:left="4880" w:hanging="480"/>
      </w:pPr>
      <w:rPr>
        <w:rFonts w:ascii="Wingdings" w:hAnsi="Wingdings" w:hint="default"/>
      </w:rPr>
    </w:lvl>
  </w:abstractNum>
  <w:abstractNum w:abstractNumId="1" w15:restartNumberingAfterBreak="0">
    <w:nsid w:val="01542A88"/>
    <w:multiLevelType w:val="hybridMultilevel"/>
    <w:tmpl w:val="6BDEB1A6"/>
    <w:lvl w:ilvl="0" w:tplc="48EE27BA">
      <w:start w:val="1"/>
      <w:numFmt w:val="decimal"/>
      <w:lvlText w:val="%1."/>
      <w:lvlJc w:val="left"/>
      <w:pPr>
        <w:ind w:left="450" w:hanging="45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19F4E73"/>
    <w:multiLevelType w:val="hybridMultilevel"/>
    <w:tmpl w:val="6BDEB1A6"/>
    <w:lvl w:ilvl="0" w:tplc="48EE27BA">
      <w:start w:val="1"/>
      <w:numFmt w:val="decimal"/>
      <w:lvlText w:val="%1."/>
      <w:lvlJc w:val="left"/>
      <w:pPr>
        <w:ind w:left="450" w:hanging="45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2702951"/>
    <w:multiLevelType w:val="hybridMultilevel"/>
    <w:tmpl w:val="6BDEB1A6"/>
    <w:lvl w:ilvl="0" w:tplc="48EE27BA">
      <w:start w:val="1"/>
      <w:numFmt w:val="decimal"/>
      <w:lvlText w:val="%1."/>
      <w:lvlJc w:val="left"/>
      <w:pPr>
        <w:ind w:left="450" w:hanging="45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03310E72"/>
    <w:multiLevelType w:val="hybridMultilevel"/>
    <w:tmpl w:val="B6267AE6"/>
    <w:lvl w:ilvl="0" w:tplc="ED603DCE">
      <w:start w:val="1"/>
      <w:numFmt w:val="decimal"/>
      <w:lvlText w:val="%1."/>
      <w:lvlJc w:val="left"/>
      <w:pPr>
        <w:ind w:left="1440" w:hanging="480"/>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5" w15:restartNumberingAfterBreak="0">
    <w:nsid w:val="0482289E"/>
    <w:multiLevelType w:val="hybridMultilevel"/>
    <w:tmpl w:val="6BDEB1A6"/>
    <w:lvl w:ilvl="0" w:tplc="48EE27BA">
      <w:start w:val="1"/>
      <w:numFmt w:val="decimal"/>
      <w:lvlText w:val="%1."/>
      <w:lvlJc w:val="left"/>
      <w:pPr>
        <w:ind w:left="450" w:hanging="45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056B1CD7"/>
    <w:multiLevelType w:val="hybridMultilevel"/>
    <w:tmpl w:val="53AEBCB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06BD2FA1"/>
    <w:multiLevelType w:val="hybridMultilevel"/>
    <w:tmpl w:val="EEA4C50A"/>
    <w:lvl w:ilvl="0" w:tplc="97D08D26">
      <w:start w:val="1"/>
      <w:numFmt w:val="decimal"/>
      <w:lvlText w:val="%1."/>
      <w:lvlJc w:val="left"/>
      <w:pPr>
        <w:ind w:left="450" w:hanging="450"/>
      </w:pPr>
      <w:rPr>
        <w:rFonts w:ascii="Times New Roman" w:hAnsi="Times New Roman" w:cs="Times New Roman" w:hint="default"/>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07EC1777"/>
    <w:multiLevelType w:val="hybridMultilevel"/>
    <w:tmpl w:val="620A8A88"/>
    <w:lvl w:ilvl="0" w:tplc="1922A644">
      <w:start w:val="1"/>
      <w:numFmt w:val="decimal"/>
      <w:lvlText w:val="%1."/>
      <w:lvlJc w:val="left"/>
      <w:pPr>
        <w:ind w:left="480" w:hanging="480"/>
      </w:pPr>
      <w:rPr>
        <w:rFonts w:ascii="Times New Roman" w:hAnsi="Times New Roman" w:cs="Times New Roman" w:hint="default"/>
        <w:b w:val="0"/>
        <w:i w:val="0"/>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08916537"/>
    <w:multiLevelType w:val="hybridMultilevel"/>
    <w:tmpl w:val="29EA82C6"/>
    <w:lvl w:ilvl="0" w:tplc="5922CB84">
      <w:start w:val="1"/>
      <w:numFmt w:val="decimal"/>
      <w:lvlText w:val="%1."/>
      <w:lvlJc w:val="left"/>
      <w:pPr>
        <w:ind w:left="450" w:hanging="450"/>
      </w:pPr>
      <w:rPr>
        <w:rFonts w:hint="default"/>
        <w:sz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08AD0A90"/>
    <w:multiLevelType w:val="hybridMultilevel"/>
    <w:tmpl w:val="924CEFD8"/>
    <w:lvl w:ilvl="0" w:tplc="5922CB84">
      <w:start w:val="1"/>
      <w:numFmt w:val="decimal"/>
      <w:lvlText w:val="%1."/>
      <w:lvlJc w:val="left"/>
      <w:pPr>
        <w:ind w:left="720" w:hanging="720"/>
      </w:pPr>
      <w:rPr>
        <w:rFonts w:hint="default"/>
        <w:sz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08D15EA1"/>
    <w:multiLevelType w:val="hybridMultilevel"/>
    <w:tmpl w:val="41EC81C6"/>
    <w:lvl w:ilvl="0" w:tplc="1298947A">
      <w:start w:val="1"/>
      <w:numFmt w:val="decimal"/>
      <w:lvlText w:val="%1."/>
      <w:lvlJc w:val="left"/>
      <w:pPr>
        <w:ind w:left="360" w:hanging="360"/>
      </w:pPr>
      <w:rPr>
        <w:rFonts w:ascii="Times New Roman" w:hAnsi="Times New Roman" w:cs="Times New Roman" w:hint="default"/>
        <w:b w:val="0"/>
        <w:sz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090C3DA6"/>
    <w:multiLevelType w:val="hybridMultilevel"/>
    <w:tmpl w:val="8F3A1A2A"/>
    <w:lvl w:ilvl="0" w:tplc="72FA6F30">
      <w:start w:val="1"/>
      <w:numFmt w:val="bullet"/>
      <w:lvlText w:val=""/>
      <w:lvlJc w:val="left"/>
      <w:pPr>
        <w:ind w:left="1040" w:hanging="480"/>
      </w:pPr>
      <w:rPr>
        <w:rFonts w:ascii="Wingdings" w:hAnsi="Wingdings" w:hint="default"/>
      </w:rPr>
    </w:lvl>
    <w:lvl w:ilvl="1" w:tplc="04090003" w:tentative="1">
      <w:start w:val="1"/>
      <w:numFmt w:val="bullet"/>
      <w:lvlText w:val=""/>
      <w:lvlJc w:val="left"/>
      <w:pPr>
        <w:ind w:left="1520" w:hanging="480"/>
      </w:pPr>
      <w:rPr>
        <w:rFonts w:ascii="Wingdings" w:hAnsi="Wingdings" w:hint="default"/>
      </w:rPr>
    </w:lvl>
    <w:lvl w:ilvl="2" w:tplc="04090005" w:tentative="1">
      <w:start w:val="1"/>
      <w:numFmt w:val="bullet"/>
      <w:lvlText w:val=""/>
      <w:lvlJc w:val="left"/>
      <w:pPr>
        <w:ind w:left="2000" w:hanging="480"/>
      </w:pPr>
      <w:rPr>
        <w:rFonts w:ascii="Wingdings" w:hAnsi="Wingdings" w:hint="default"/>
      </w:rPr>
    </w:lvl>
    <w:lvl w:ilvl="3" w:tplc="04090001" w:tentative="1">
      <w:start w:val="1"/>
      <w:numFmt w:val="bullet"/>
      <w:lvlText w:val=""/>
      <w:lvlJc w:val="left"/>
      <w:pPr>
        <w:ind w:left="2480" w:hanging="480"/>
      </w:pPr>
      <w:rPr>
        <w:rFonts w:ascii="Wingdings" w:hAnsi="Wingdings" w:hint="default"/>
      </w:rPr>
    </w:lvl>
    <w:lvl w:ilvl="4" w:tplc="04090003" w:tentative="1">
      <w:start w:val="1"/>
      <w:numFmt w:val="bullet"/>
      <w:lvlText w:val=""/>
      <w:lvlJc w:val="left"/>
      <w:pPr>
        <w:ind w:left="2960" w:hanging="480"/>
      </w:pPr>
      <w:rPr>
        <w:rFonts w:ascii="Wingdings" w:hAnsi="Wingdings" w:hint="default"/>
      </w:rPr>
    </w:lvl>
    <w:lvl w:ilvl="5" w:tplc="04090005" w:tentative="1">
      <w:start w:val="1"/>
      <w:numFmt w:val="bullet"/>
      <w:lvlText w:val=""/>
      <w:lvlJc w:val="left"/>
      <w:pPr>
        <w:ind w:left="3440" w:hanging="480"/>
      </w:pPr>
      <w:rPr>
        <w:rFonts w:ascii="Wingdings" w:hAnsi="Wingdings" w:hint="default"/>
      </w:rPr>
    </w:lvl>
    <w:lvl w:ilvl="6" w:tplc="04090001" w:tentative="1">
      <w:start w:val="1"/>
      <w:numFmt w:val="bullet"/>
      <w:lvlText w:val=""/>
      <w:lvlJc w:val="left"/>
      <w:pPr>
        <w:ind w:left="3920" w:hanging="480"/>
      </w:pPr>
      <w:rPr>
        <w:rFonts w:ascii="Wingdings" w:hAnsi="Wingdings" w:hint="default"/>
      </w:rPr>
    </w:lvl>
    <w:lvl w:ilvl="7" w:tplc="04090003" w:tentative="1">
      <w:start w:val="1"/>
      <w:numFmt w:val="bullet"/>
      <w:lvlText w:val=""/>
      <w:lvlJc w:val="left"/>
      <w:pPr>
        <w:ind w:left="4400" w:hanging="480"/>
      </w:pPr>
      <w:rPr>
        <w:rFonts w:ascii="Wingdings" w:hAnsi="Wingdings" w:hint="default"/>
      </w:rPr>
    </w:lvl>
    <w:lvl w:ilvl="8" w:tplc="04090005" w:tentative="1">
      <w:start w:val="1"/>
      <w:numFmt w:val="bullet"/>
      <w:lvlText w:val=""/>
      <w:lvlJc w:val="left"/>
      <w:pPr>
        <w:ind w:left="4880" w:hanging="480"/>
      </w:pPr>
      <w:rPr>
        <w:rFonts w:ascii="Wingdings" w:hAnsi="Wingdings" w:hint="default"/>
      </w:rPr>
    </w:lvl>
  </w:abstractNum>
  <w:abstractNum w:abstractNumId="13" w15:restartNumberingAfterBreak="0">
    <w:nsid w:val="0A6E417C"/>
    <w:multiLevelType w:val="hybridMultilevel"/>
    <w:tmpl w:val="F8A0C914"/>
    <w:lvl w:ilvl="0" w:tplc="B5C86C24">
      <w:start w:val="1"/>
      <w:numFmt w:val="decimal"/>
      <w:lvlText w:val="(%1)"/>
      <w:lvlJc w:val="left"/>
      <w:pPr>
        <w:ind w:left="1047" w:hanging="480"/>
      </w:pPr>
      <w:rPr>
        <w:rFonts w:ascii="Times New Roman" w:hAnsi="Times New Roman" w:cs="Times New Roman" w:hint="default"/>
      </w:rPr>
    </w:lvl>
    <w:lvl w:ilvl="1" w:tplc="04090003" w:tentative="1">
      <w:start w:val="1"/>
      <w:numFmt w:val="bullet"/>
      <w:lvlText w:val=""/>
      <w:lvlJc w:val="left"/>
      <w:pPr>
        <w:ind w:left="1527" w:hanging="480"/>
      </w:pPr>
      <w:rPr>
        <w:rFonts w:ascii="Wingdings" w:hAnsi="Wingdings" w:hint="default"/>
      </w:rPr>
    </w:lvl>
    <w:lvl w:ilvl="2" w:tplc="04090005" w:tentative="1">
      <w:start w:val="1"/>
      <w:numFmt w:val="bullet"/>
      <w:lvlText w:val=""/>
      <w:lvlJc w:val="left"/>
      <w:pPr>
        <w:ind w:left="2007" w:hanging="480"/>
      </w:pPr>
      <w:rPr>
        <w:rFonts w:ascii="Wingdings" w:hAnsi="Wingdings" w:hint="default"/>
      </w:rPr>
    </w:lvl>
    <w:lvl w:ilvl="3" w:tplc="04090001" w:tentative="1">
      <w:start w:val="1"/>
      <w:numFmt w:val="bullet"/>
      <w:lvlText w:val=""/>
      <w:lvlJc w:val="left"/>
      <w:pPr>
        <w:ind w:left="2487" w:hanging="480"/>
      </w:pPr>
      <w:rPr>
        <w:rFonts w:ascii="Wingdings" w:hAnsi="Wingdings" w:hint="default"/>
      </w:rPr>
    </w:lvl>
    <w:lvl w:ilvl="4" w:tplc="04090003" w:tentative="1">
      <w:start w:val="1"/>
      <w:numFmt w:val="bullet"/>
      <w:lvlText w:val=""/>
      <w:lvlJc w:val="left"/>
      <w:pPr>
        <w:ind w:left="2967" w:hanging="480"/>
      </w:pPr>
      <w:rPr>
        <w:rFonts w:ascii="Wingdings" w:hAnsi="Wingdings" w:hint="default"/>
      </w:rPr>
    </w:lvl>
    <w:lvl w:ilvl="5" w:tplc="04090005" w:tentative="1">
      <w:start w:val="1"/>
      <w:numFmt w:val="bullet"/>
      <w:lvlText w:val=""/>
      <w:lvlJc w:val="left"/>
      <w:pPr>
        <w:ind w:left="3447" w:hanging="480"/>
      </w:pPr>
      <w:rPr>
        <w:rFonts w:ascii="Wingdings" w:hAnsi="Wingdings" w:hint="default"/>
      </w:rPr>
    </w:lvl>
    <w:lvl w:ilvl="6" w:tplc="04090001" w:tentative="1">
      <w:start w:val="1"/>
      <w:numFmt w:val="bullet"/>
      <w:lvlText w:val=""/>
      <w:lvlJc w:val="left"/>
      <w:pPr>
        <w:ind w:left="3927" w:hanging="480"/>
      </w:pPr>
      <w:rPr>
        <w:rFonts w:ascii="Wingdings" w:hAnsi="Wingdings" w:hint="default"/>
      </w:rPr>
    </w:lvl>
    <w:lvl w:ilvl="7" w:tplc="04090003" w:tentative="1">
      <w:start w:val="1"/>
      <w:numFmt w:val="bullet"/>
      <w:lvlText w:val=""/>
      <w:lvlJc w:val="left"/>
      <w:pPr>
        <w:ind w:left="4407" w:hanging="480"/>
      </w:pPr>
      <w:rPr>
        <w:rFonts w:ascii="Wingdings" w:hAnsi="Wingdings" w:hint="default"/>
      </w:rPr>
    </w:lvl>
    <w:lvl w:ilvl="8" w:tplc="04090005" w:tentative="1">
      <w:start w:val="1"/>
      <w:numFmt w:val="bullet"/>
      <w:lvlText w:val=""/>
      <w:lvlJc w:val="left"/>
      <w:pPr>
        <w:ind w:left="4887" w:hanging="480"/>
      </w:pPr>
      <w:rPr>
        <w:rFonts w:ascii="Wingdings" w:hAnsi="Wingdings" w:hint="default"/>
      </w:rPr>
    </w:lvl>
  </w:abstractNum>
  <w:abstractNum w:abstractNumId="14" w15:restartNumberingAfterBreak="0">
    <w:nsid w:val="0CC34423"/>
    <w:multiLevelType w:val="hybridMultilevel"/>
    <w:tmpl w:val="6BDEB1A6"/>
    <w:lvl w:ilvl="0" w:tplc="48EE27BA">
      <w:start w:val="1"/>
      <w:numFmt w:val="decimal"/>
      <w:lvlText w:val="%1."/>
      <w:lvlJc w:val="left"/>
      <w:pPr>
        <w:ind w:left="450" w:hanging="45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0E197E67"/>
    <w:multiLevelType w:val="hybridMultilevel"/>
    <w:tmpl w:val="6BDEB1A6"/>
    <w:lvl w:ilvl="0" w:tplc="48EE27BA">
      <w:start w:val="1"/>
      <w:numFmt w:val="decimal"/>
      <w:lvlText w:val="%1."/>
      <w:lvlJc w:val="left"/>
      <w:pPr>
        <w:ind w:left="450" w:hanging="45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0E601DCC"/>
    <w:multiLevelType w:val="hybridMultilevel"/>
    <w:tmpl w:val="6BDEB1A6"/>
    <w:lvl w:ilvl="0" w:tplc="48EE27BA">
      <w:start w:val="1"/>
      <w:numFmt w:val="decimal"/>
      <w:lvlText w:val="%1."/>
      <w:lvlJc w:val="left"/>
      <w:pPr>
        <w:ind w:left="450" w:hanging="45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0ECB3C23"/>
    <w:multiLevelType w:val="hybridMultilevel"/>
    <w:tmpl w:val="6BDEB1A6"/>
    <w:lvl w:ilvl="0" w:tplc="48EE27BA">
      <w:start w:val="1"/>
      <w:numFmt w:val="decimal"/>
      <w:lvlText w:val="%1."/>
      <w:lvlJc w:val="left"/>
      <w:pPr>
        <w:ind w:left="450" w:hanging="45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0F6A173F"/>
    <w:multiLevelType w:val="hybridMultilevel"/>
    <w:tmpl w:val="A4721400"/>
    <w:lvl w:ilvl="0" w:tplc="99E2EF1C">
      <w:start w:val="1"/>
      <w:numFmt w:val="decimal"/>
      <w:lvlText w:val="%1."/>
      <w:lvlJc w:val="left"/>
      <w:pPr>
        <w:ind w:left="450" w:hanging="450"/>
      </w:pPr>
      <w:rPr>
        <w:rFonts w:hint="default"/>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1084534B"/>
    <w:multiLevelType w:val="hybridMultilevel"/>
    <w:tmpl w:val="E4008CF8"/>
    <w:lvl w:ilvl="0" w:tplc="90B2A130">
      <w:start w:val="1"/>
      <w:numFmt w:val="decimal"/>
      <w:lvlText w:val="%1."/>
      <w:lvlJc w:val="left"/>
      <w:pPr>
        <w:ind w:left="360" w:hanging="360"/>
      </w:pPr>
      <w:rPr>
        <w:rFonts w:hint="default"/>
        <w:i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10BD5973"/>
    <w:multiLevelType w:val="hybridMultilevel"/>
    <w:tmpl w:val="6BDEB1A6"/>
    <w:lvl w:ilvl="0" w:tplc="48EE27BA">
      <w:start w:val="1"/>
      <w:numFmt w:val="decimal"/>
      <w:lvlText w:val="%1."/>
      <w:lvlJc w:val="left"/>
      <w:pPr>
        <w:ind w:left="450" w:hanging="45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110F2917"/>
    <w:multiLevelType w:val="hybridMultilevel"/>
    <w:tmpl w:val="FD7E78AC"/>
    <w:lvl w:ilvl="0" w:tplc="72FA6F30">
      <w:start w:val="1"/>
      <w:numFmt w:val="bullet"/>
      <w:lvlText w:val=""/>
      <w:lvlJc w:val="left"/>
      <w:pPr>
        <w:ind w:left="1040" w:hanging="480"/>
      </w:pPr>
      <w:rPr>
        <w:rFonts w:ascii="Wingdings" w:hAnsi="Wingdings" w:hint="default"/>
      </w:rPr>
    </w:lvl>
    <w:lvl w:ilvl="1" w:tplc="04090003" w:tentative="1">
      <w:start w:val="1"/>
      <w:numFmt w:val="bullet"/>
      <w:lvlText w:val=""/>
      <w:lvlJc w:val="left"/>
      <w:pPr>
        <w:ind w:left="1520" w:hanging="480"/>
      </w:pPr>
      <w:rPr>
        <w:rFonts w:ascii="Wingdings" w:hAnsi="Wingdings" w:hint="default"/>
      </w:rPr>
    </w:lvl>
    <w:lvl w:ilvl="2" w:tplc="04090005" w:tentative="1">
      <w:start w:val="1"/>
      <w:numFmt w:val="bullet"/>
      <w:lvlText w:val=""/>
      <w:lvlJc w:val="left"/>
      <w:pPr>
        <w:ind w:left="2000" w:hanging="480"/>
      </w:pPr>
      <w:rPr>
        <w:rFonts w:ascii="Wingdings" w:hAnsi="Wingdings" w:hint="default"/>
      </w:rPr>
    </w:lvl>
    <w:lvl w:ilvl="3" w:tplc="04090001" w:tentative="1">
      <w:start w:val="1"/>
      <w:numFmt w:val="bullet"/>
      <w:lvlText w:val=""/>
      <w:lvlJc w:val="left"/>
      <w:pPr>
        <w:ind w:left="2480" w:hanging="480"/>
      </w:pPr>
      <w:rPr>
        <w:rFonts w:ascii="Wingdings" w:hAnsi="Wingdings" w:hint="default"/>
      </w:rPr>
    </w:lvl>
    <w:lvl w:ilvl="4" w:tplc="04090003" w:tentative="1">
      <w:start w:val="1"/>
      <w:numFmt w:val="bullet"/>
      <w:lvlText w:val=""/>
      <w:lvlJc w:val="left"/>
      <w:pPr>
        <w:ind w:left="2960" w:hanging="480"/>
      </w:pPr>
      <w:rPr>
        <w:rFonts w:ascii="Wingdings" w:hAnsi="Wingdings" w:hint="default"/>
      </w:rPr>
    </w:lvl>
    <w:lvl w:ilvl="5" w:tplc="04090005" w:tentative="1">
      <w:start w:val="1"/>
      <w:numFmt w:val="bullet"/>
      <w:lvlText w:val=""/>
      <w:lvlJc w:val="left"/>
      <w:pPr>
        <w:ind w:left="3440" w:hanging="480"/>
      </w:pPr>
      <w:rPr>
        <w:rFonts w:ascii="Wingdings" w:hAnsi="Wingdings" w:hint="default"/>
      </w:rPr>
    </w:lvl>
    <w:lvl w:ilvl="6" w:tplc="04090001" w:tentative="1">
      <w:start w:val="1"/>
      <w:numFmt w:val="bullet"/>
      <w:lvlText w:val=""/>
      <w:lvlJc w:val="left"/>
      <w:pPr>
        <w:ind w:left="3920" w:hanging="480"/>
      </w:pPr>
      <w:rPr>
        <w:rFonts w:ascii="Wingdings" w:hAnsi="Wingdings" w:hint="default"/>
      </w:rPr>
    </w:lvl>
    <w:lvl w:ilvl="7" w:tplc="04090003" w:tentative="1">
      <w:start w:val="1"/>
      <w:numFmt w:val="bullet"/>
      <w:lvlText w:val=""/>
      <w:lvlJc w:val="left"/>
      <w:pPr>
        <w:ind w:left="4400" w:hanging="480"/>
      </w:pPr>
      <w:rPr>
        <w:rFonts w:ascii="Wingdings" w:hAnsi="Wingdings" w:hint="default"/>
      </w:rPr>
    </w:lvl>
    <w:lvl w:ilvl="8" w:tplc="04090005" w:tentative="1">
      <w:start w:val="1"/>
      <w:numFmt w:val="bullet"/>
      <w:lvlText w:val=""/>
      <w:lvlJc w:val="left"/>
      <w:pPr>
        <w:ind w:left="4880" w:hanging="480"/>
      </w:pPr>
      <w:rPr>
        <w:rFonts w:ascii="Wingdings" w:hAnsi="Wingdings" w:hint="default"/>
      </w:rPr>
    </w:lvl>
  </w:abstractNum>
  <w:abstractNum w:abstractNumId="22" w15:restartNumberingAfterBreak="0">
    <w:nsid w:val="11EC4845"/>
    <w:multiLevelType w:val="hybridMultilevel"/>
    <w:tmpl w:val="E60AADD2"/>
    <w:lvl w:ilvl="0" w:tplc="04090015">
      <w:start w:val="1"/>
      <w:numFmt w:val="taiwaneseCountingThousand"/>
      <w:lvlText w:val="%1、"/>
      <w:lvlJc w:val="left"/>
      <w:pPr>
        <w:ind w:left="1047" w:hanging="480"/>
      </w:pPr>
      <w:rPr>
        <w:rFonts w:hint="default"/>
      </w:rPr>
    </w:lvl>
    <w:lvl w:ilvl="1" w:tplc="CB76FD6C">
      <w:start w:val="1"/>
      <w:numFmt w:val="taiwaneseCountingThousand"/>
      <w:lvlText w:val="%2、"/>
      <w:lvlJc w:val="left"/>
      <w:pPr>
        <w:ind w:left="1527" w:hanging="480"/>
      </w:pPr>
      <w:rPr>
        <w:rFonts w:hint="default"/>
      </w:rPr>
    </w:lvl>
    <w:lvl w:ilvl="2" w:tplc="C73E381A">
      <w:start w:val="1"/>
      <w:numFmt w:val="decimal"/>
      <w:lvlText w:val="%3."/>
      <w:lvlJc w:val="left"/>
      <w:pPr>
        <w:ind w:left="1887" w:hanging="360"/>
      </w:pPr>
      <w:rPr>
        <w:rFonts w:hint="default"/>
      </w:r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23" w15:restartNumberingAfterBreak="0">
    <w:nsid w:val="130A096F"/>
    <w:multiLevelType w:val="hybridMultilevel"/>
    <w:tmpl w:val="2A7C3042"/>
    <w:lvl w:ilvl="0" w:tplc="E14E18A2">
      <w:start w:val="1"/>
      <w:numFmt w:val="taiwaneseCountingThousand"/>
      <w:lvlText w:val="%1、"/>
      <w:lvlJc w:val="left"/>
      <w:pPr>
        <w:ind w:left="480" w:hanging="480"/>
      </w:pPr>
      <w:rPr>
        <w:rFonts w:hint="default"/>
        <w:b w:val="0"/>
      </w:rPr>
    </w:lvl>
    <w:lvl w:ilvl="1" w:tplc="8DBAC348">
      <w:start w:val="1"/>
      <w:numFmt w:val="taiwaneseCountingThousand"/>
      <w:lvlText w:val="(%2)"/>
      <w:lvlJc w:val="left"/>
      <w:pPr>
        <w:ind w:left="870" w:hanging="390"/>
      </w:pPr>
      <w:rPr>
        <w:rFonts w:hint="default"/>
      </w:rPr>
    </w:lvl>
    <w:lvl w:ilvl="2" w:tplc="DE1A2C58">
      <w:start w:val="1"/>
      <w:numFmt w:val="decimal"/>
      <w:lvlText w:val="%3."/>
      <w:lvlJc w:val="left"/>
      <w:pPr>
        <w:ind w:left="1320" w:hanging="360"/>
      </w:pPr>
      <w:rPr>
        <w:rFonts w:hint="default"/>
      </w:rPr>
    </w:lvl>
    <w:lvl w:ilvl="3" w:tplc="0409000F">
      <w:start w:val="1"/>
      <w:numFmt w:val="decimal"/>
      <w:lvlText w:val="%4."/>
      <w:lvlJc w:val="left"/>
      <w:pPr>
        <w:ind w:left="1920" w:hanging="480"/>
      </w:pPr>
    </w:lvl>
    <w:lvl w:ilvl="4" w:tplc="B4EE9940">
      <w:start w:val="1"/>
      <w:numFmt w:val="decimal"/>
      <w:lvlText w:val="(%5)"/>
      <w:lvlJc w:val="left"/>
      <w:pPr>
        <w:ind w:left="2385" w:hanging="465"/>
      </w:pPr>
      <w:rPr>
        <w:rFonts w:hint="default"/>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17444AFA"/>
    <w:multiLevelType w:val="hybridMultilevel"/>
    <w:tmpl w:val="E32A7AAC"/>
    <w:lvl w:ilvl="0" w:tplc="BEBA5DE6">
      <w:start w:val="1"/>
      <w:numFmt w:val="decimal"/>
      <w:lvlText w:val="(%1)"/>
      <w:lvlJc w:val="left"/>
      <w:pPr>
        <w:ind w:left="1040" w:hanging="480"/>
      </w:pPr>
      <w:rPr>
        <w:rFonts w:ascii="Times New Roman" w:hAnsi="Times New Roman" w:cs="Times New Roman" w:hint="default"/>
      </w:rPr>
    </w:lvl>
    <w:lvl w:ilvl="1" w:tplc="04090019" w:tentative="1">
      <w:start w:val="1"/>
      <w:numFmt w:val="ideographTraditional"/>
      <w:lvlText w:val="%2、"/>
      <w:lvlJc w:val="left"/>
      <w:pPr>
        <w:ind w:left="1520" w:hanging="480"/>
      </w:pPr>
    </w:lvl>
    <w:lvl w:ilvl="2" w:tplc="0409001B" w:tentative="1">
      <w:start w:val="1"/>
      <w:numFmt w:val="lowerRoman"/>
      <w:lvlText w:val="%3."/>
      <w:lvlJc w:val="right"/>
      <w:pPr>
        <w:ind w:left="2000" w:hanging="480"/>
      </w:pPr>
    </w:lvl>
    <w:lvl w:ilvl="3" w:tplc="0409000F" w:tentative="1">
      <w:start w:val="1"/>
      <w:numFmt w:val="decimal"/>
      <w:lvlText w:val="%4."/>
      <w:lvlJc w:val="left"/>
      <w:pPr>
        <w:ind w:left="2480" w:hanging="480"/>
      </w:pPr>
    </w:lvl>
    <w:lvl w:ilvl="4" w:tplc="04090019" w:tentative="1">
      <w:start w:val="1"/>
      <w:numFmt w:val="ideographTraditional"/>
      <w:lvlText w:val="%5、"/>
      <w:lvlJc w:val="left"/>
      <w:pPr>
        <w:ind w:left="2960" w:hanging="480"/>
      </w:pPr>
    </w:lvl>
    <w:lvl w:ilvl="5" w:tplc="0409001B" w:tentative="1">
      <w:start w:val="1"/>
      <w:numFmt w:val="lowerRoman"/>
      <w:lvlText w:val="%6."/>
      <w:lvlJc w:val="right"/>
      <w:pPr>
        <w:ind w:left="3440" w:hanging="480"/>
      </w:pPr>
    </w:lvl>
    <w:lvl w:ilvl="6" w:tplc="0409000F" w:tentative="1">
      <w:start w:val="1"/>
      <w:numFmt w:val="decimal"/>
      <w:lvlText w:val="%7."/>
      <w:lvlJc w:val="left"/>
      <w:pPr>
        <w:ind w:left="3920" w:hanging="480"/>
      </w:pPr>
    </w:lvl>
    <w:lvl w:ilvl="7" w:tplc="04090019" w:tentative="1">
      <w:start w:val="1"/>
      <w:numFmt w:val="ideographTraditional"/>
      <w:lvlText w:val="%8、"/>
      <w:lvlJc w:val="left"/>
      <w:pPr>
        <w:ind w:left="4400" w:hanging="480"/>
      </w:pPr>
    </w:lvl>
    <w:lvl w:ilvl="8" w:tplc="0409001B" w:tentative="1">
      <w:start w:val="1"/>
      <w:numFmt w:val="lowerRoman"/>
      <w:lvlText w:val="%9."/>
      <w:lvlJc w:val="right"/>
      <w:pPr>
        <w:ind w:left="4880" w:hanging="480"/>
      </w:pPr>
    </w:lvl>
  </w:abstractNum>
  <w:abstractNum w:abstractNumId="25" w15:restartNumberingAfterBreak="0">
    <w:nsid w:val="18566175"/>
    <w:multiLevelType w:val="hybridMultilevel"/>
    <w:tmpl w:val="0EF2D432"/>
    <w:lvl w:ilvl="0" w:tplc="F850ADD0">
      <w:start w:val="1"/>
      <w:numFmt w:val="decimal"/>
      <w:lvlText w:val="%1."/>
      <w:lvlJc w:val="left"/>
      <w:pPr>
        <w:ind w:left="360" w:hanging="360"/>
      </w:pPr>
      <w:rPr>
        <w:rFonts w:ascii="Times New Roman" w:hAnsi="Times New Roman" w:cs="Times New Roman" w:hint="default"/>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19435020"/>
    <w:multiLevelType w:val="hybridMultilevel"/>
    <w:tmpl w:val="AE768902"/>
    <w:lvl w:ilvl="0" w:tplc="A8E01556">
      <w:start w:val="1"/>
      <w:numFmt w:val="decimal"/>
      <w:lvlText w:val="%1."/>
      <w:lvlJc w:val="left"/>
      <w:pPr>
        <w:ind w:left="360" w:hanging="360"/>
      </w:pPr>
      <w:rPr>
        <w:rFonts w:hint="default"/>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197F4D6E"/>
    <w:multiLevelType w:val="hybridMultilevel"/>
    <w:tmpl w:val="5F326078"/>
    <w:lvl w:ilvl="0" w:tplc="0409000F">
      <w:start w:val="1"/>
      <w:numFmt w:val="decimal"/>
      <w:lvlText w:val="%1."/>
      <w:lvlJc w:val="left"/>
      <w:pPr>
        <w:ind w:left="920" w:hanging="360"/>
      </w:pPr>
      <w:rPr>
        <w:rFonts w:hint="default"/>
      </w:rPr>
    </w:lvl>
    <w:lvl w:ilvl="1" w:tplc="04090019" w:tentative="1">
      <w:start w:val="1"/>
      <w:numFmt w:val="ideographTraditional"/>
      <w:lvlText w:val="%2、"/>
      <w:lvlJc w:val="left"/>
      <w:pPr>
        <w:ind w:left="1520" w:hanging="480"/>
      </w:pPr>
    </w:lvl>
    <w:lvl w:ilvl="2" w:tplc="0409001B" w:tentative="1">
      <w:start w:val="1"/>
      <w:numFmt w:val="lowerRoman"/>
      <w:lvlText w:val="%3."/>
      <w:lvlJc w:val="right"/>
      <w:pPr>
        <w:ind w:left="2000" w:hanging="480"/>
      </w:pPr>
    </w:lvl>
    <w:lvl w:ilvl="3" w:tplc="0409000F" w:tentative="1">
      <w:start w:val="1"/>
      <w:numFmt w:val="decimal"/>
      <w:lvlText w:val="%4."/>
      <w:lvlJc w:val="left"/>
      <w:pPr>
        <w:ind w:left="2480" w:hanging="480"/>
      </w:pPr>
    </w:lvl>
    <w:lvl w:ilvl="4" w:tplc="04090019" w:tentative="1">
      <w:start w:val="1"/>
      <w:numFmt w:val="ideographTraditional"/>
      <w:lvlText w:val="%5、"/>
      <w:lvlJc w:val="left"/>
      <w:pPr>
        <w:ind w:left="2960" w:hanging="480"/>
      </w:pPr>
    </w:lvl>
    <w:lvl w:ilvl="5" w:tplc="0409001B" w:tentative="1">
      <w:start w:val="1"/>
      <w:numFmt w:val="lowerRoman"/>
      <w:lvlText w:val="%6."/>
      <w:lvlJc w:val="right"/>
      <w:pPr>
        <w:ind w:left="3440" w:hanging="480"/>
      </w:pPr>
    </w:lvl>
    <w:lvl w:ilvl="6" w:tplc="0409000F" w:tentative="1">
      <w:start w:val="1"/>
      <w:numFmt w:val="decimal"/>
      <w:lvlText w:val="%7."/>
      <w:lvlJc w:val="left"/>
      <w:pPr>
        <w:ind w:left="3920" w:hanging="480"/>
      </w:pPr>
    </w:lvl>
    <w:lvl w:ilvl="7" w:tplc="04090019" w:tentative="1">
      <w:start w:val="1"/>
      <w:numFmt w:val="ideographTraditional"/>
      <w:lvlText w:val="%8、"/>
      <w:lvlJc w:val="left"/>
      <w:pPr>
        <w:ind w:left="4400" w:hanging="480"/>
      </w:pPr>
    </w:lvl>
    <w:lvl w:ilvl="8" w:tplc="0409001B" w:tentative="1">
      <w:start w:val="1"/>
      <w:numFmt w:val="lowerRoman"/>
      <w:lvlText w:val="%9."/>
      <w:lvlJc w:val="right"/>
      <w:pPr>
        <w:ind w:left="4880" w:hanging="480"/>
      </w:pPr>
    </w:lvl>
  </w:abstractNum>
  <w:abstractNum w:abstractNumId="28" w15:restartNumberingAfterBreak="0">
    <w:nsid w:val="1CDA0D0C"/>
    <w:multiLevelType w:val="hybridMultilevel"/>
    <w:tmpl w:val="52060A16"/>
    <w:lvl w:ilvl="0" w:tplc="71AEAD12">
      <w:start w:val="1"/>
      <w:numFmt w:val="decimal"/>
      <w:lvlText w:val="%1."/>
      <w:lvlJc w:val="left"/>
      <w:pPr>
        <w:ind w:left="420" w:hanging="420"/>
      </w:pPr>
      <w:rPr>
        <w:rFonts w:ascii="Times New Roman" w:hAnsi="Times New Roman" w:cs="Times New Roman"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1D5031E1"/>
    <w:multiLevelType w:val="hybridMultilevel"/>
    <w:tmpl w:val="703ABAA4"/>
    <w:lvl w:ilvl="0" w:tplc="9B00CED4">
      <w:start w:val="1"/>
      <w:numFmt w:val="lowerLetter"/>
      <w:lvlText w:val="(%1)"/>
      <w:lvlJc w:val="left"/>
      <w:pPr>
        <w:ind w:left="1800" w:hanging="360"/>
      </w:pPr>
      <w:rPr>
        <w:rFonts w:ascii="Times New Roman" w:hAnsi="Times New Roman" w:cs="Times New Roman" w:hint="default"/>
        <w:sz w:val="28"/>
      </w:rPr>
    </w:lvl>
    <w:lvl w:ilvl="1" w:tplc="EC32BD0C">
      <w:start w:val="1"/>
      <w:numFmt w:val="lowerLetter"/>
      <w:lvlText w:val="(%2)"/>
      <w:lvlJc w:val="left"/>
      <w:pPr>
        <w:ind w:left="840" w:hanging="360"/>
      </w:pPr>
      <w:rPr>
        <w:rFonts w:hint="default"/>
        <w:i w:val="0"/>
      </w:rPr>
    </w:lvl>
    <w:lvl w:ilvl="2" w:tplc="95463824">
      <w:start w:val="1"/>
      <w:numFmt w:val="lowerRoman"/>
      <w:lvlText w:val="(%3)"/>
      <w:lvlJc w:val="left"/>
      <w:pPr>
        <w:ind w:left="1680" w:hanging="720"/>
      </w:pPr>
      <w:rPr>
        <w:rFonts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1D63112A"/>
    <w:multiLevelType w:val="hybridMultilevel"/>
    <w:tmpl w:val="6BDEB1A6"/>
    <w:lvl w:ilvl="0" w:tplc="48EE27BA">
      <w:start w:val="1"/>
      <w:numFmt w:val="decimal"/>
      <w:lvlText w:val="%1."/>
      <w:lvlJc w:val="left"/>
      <w:pPr>
        <w:ind w:left="450" w:hanging="45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1D6B59E8"/>
    <w:multiLevelType w:val="hybridMultilevel"/>
    <w:tmpl w:val="B6267AE6"/>
    <w:lvl w:ilvl="0" w:tplc="ED603DCE">
      <w:start w:val="1"/>
      <w:numFmt w:val="decimal"/>
      <w:lvlText w:val="%1."/>
      <w:lvlJc w:val="left"/>
      <w:pPr>
        <w:ind w:left="1440" w:hanging="480"/>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32" w15:restartNumberingAfterBreak="0">
    <w:nsid w:val="1FA5294D"/>
    <w:multiLevelType w:val="hybridMultilevel"/>
    <w:tmpl w:val="5F326078"/>
    <w:lvl w:ilvl="0" w:tplc="0409000F">
      <w:start w:val="1"/>
      <w:numFmt w:val="decimal"/>
      <w:lvlText w:val="%1."/>
      <w:lvlJc w:val="left"/>
      <w:pPr>
        <w:ind w:left="920" w:hanging="360"/>
      </w:pPr>
      <w:rPr>
        <w:rFonts w:hint="default"/>
      </w:rPr>
    </w:lvl>
    <w:lvl w:ilvl="1" w:tplc="04090019" w:tentative="1">
      <w:start w:val="1"/>
      <w:numFmt w:val="ideographTraditional"/>
      <w:lvlText w:val="%2、"/>
      <w:lvlJc w:val="left"/>
      <w:pPr>
        <w:ind w:left="1520" w:hanging="480"/>
      </w:pPr>
    </w:lvl>
    <w:lvl w:ilvl="2" w:tplc="0409001B" w:tentative="1">
      <w:start w:val="1"/>
      <w:numFmt w:val="lowerRoman"/>
      <w:lvlText w:val="%3."/>
      <w:lvlJc w:val="right"/>
      <w:pPr>
        <w:ind w:left="2000" w:hanging="480"/>
      </w:pPr>
    </w:lvl>
    <w:lvl w:ilvl="3" w:tplc="0409000F" w:tentative="1">
      <w:start w:val="1"/>
      <w:numFmt w:val="decimal"/>
      <w:lvlText w:val="%4."/>
      <w:lvlJc w:val="left"/>
      <w:pPr>
        <w:ind w:left="2480" w:hanging="480"/>
      </w:pPr>
    </w:lvl>
    <w:lvl w:ilvl="4" w:tplc="04090019" w:tentative="1">
      <w:start w:val="1"/>
      <w:numFmt w:val="ideographTraditional"/>
      <w:lvlText w:val="%5、"/>
      <w:lvlJc w:val="left"/>
      <w:pPr>
        <w:ind w:left="2960" w:hanging="480"/>
      </w:pPr>
    </w:lvl>
    <w:lvl w:ilvl="5" w:tplc="0409001B" w:tentative="1">
      <w:start w:val="1"/>
      <w:numFmt w:val="lowerRoman"/>
      <w:lvlText w:val="%6."/>
      <w:lvlJc w:val="right"/>
      <w:pPr>
        <w:ind w:left="3440" w:hanging="480"/>
      </w:pPr>
    </w:lvl>
    <w:lvl w:ilvl="6" w:tplc="0409000F" w:tentative="1">
      <w:start w:val="1"/>
      <w:numFmt w:val="decimal"/>
      <w:lvlText w:val="%7."/>
      <w:lvlJc w:val="left"/>
      <w:pPr>
        <w:ind w:left="3920" w:hanging="480"/>
      </w:pPr>
    </w:lvl>
    <w:lvl w:ilvl="7" w:tplc="04090019" w:tentative="1">
      <w:start w:val="1"/>
      <w:numFmt w:val="ideographTraditional"/>
      <w:lvlText w:val="%8、"/>
      <w:lvlJc w:val="left"/>
      <w:pPr>
        <w:ind w:left="4400" w:hanging="480"/>
      </w:pPr>
    </w:lvl>
    <w:lvl w:ilvl="8" w:tplc="0409001B" w:tentative="1">
      <w:start w:val="1"/>
      <w:numFmt w:val="lowerRoman"/>
      <w:lvlText w:val="%9."/>
      <w:lvlJc w:val="right"/>
      <w:pPr>
        <w:ind w:left="4880" w:hanging="480"/>
      </w:pPr>
    </w:lvl>
  </w:abstractNum>
  <w:abstractNum w:abstractNumId="33" w15:restartNumberingAfterBreak="0">
    <w:nsid w:val="23610C3B"/>
    <w:multiLevelType w:val="hybridMultilevel"/>
    <w:tmpl w:val="261EA8DC"/>
    <w:lvl w:ilvl="0" w:tplc="7C2895EC">
      <w:start w:val="1"/>
      <w:numFmt w:val="lowerLetter"/>
      <w:lvlText w:val="(%1)"/>
      <w:lvlJc w:val="left"/>
      <w:pPr>
        <w:ind w:left="920" w:hanging="44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15:restartNumberingAfterBreak="0">
    <w:nsid w:val="23ED7E4C"/>
    <w:multiLevelType w:val="hybridMultilevel"/>
    <w:tmpl w:val="61125DD2"/>
    <w:lvl w:ilvl="0" w:tplc="668A1EBA">
      <w:start w:val="1"/>
      <w:numFmt w:val="bullet"/>
      <w:lvlText w:val=""/>
      <w:lvlJc w:val="left"/>
      <w:pPr>
        <w:ind w:left="480" w:hanging="480"/>
      </w:pPr>
      <w:rPr>
        <w:rFonts w:ascii="Wingdings" w:hAnsi="Wingding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15:restartNumberingAfterBreak="0">
    <w:nsid w:val="24395C32"/>
    <w:multiLevelType w:val="hybridMultilevel"/>
    <w:tmpl w:val="924CEFD8"/>
    <w:lvl w:ilvl="0" w:tplc="5922CB84">
      <w:start w:val="1"/>
      <w:numFmt w:val="decimal"/>
      <w:lvlText w:val="%1."/>
      <w:lvlJc w:val="left"/>
      <w:pPr>
        <w:ind w:left="720" w:hanging="720"/>
      </w:pPr>
      <w:rPr>
        <w:rFonts w:hint="default"/>
        <w:sz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6" w15:restartNumberingAfterBreak="0">
    <w:nsid w:val="253403D8"/>
    <w:multiLevelType w:val="hybridMultilevel"/>
    <w:tmpl w:val="B6267AE6"/>
    <w:lvl w:ilvl="0" w:tplc="ED603DCE">
      <w:start w:val="1"/>
      <w:numFmt w:val="decimal"/>
      <w:lvlText w:val="%1."/>
      <w:lvlJc w:val="left"/>
      <w:pPr>
        <w:ind w:left="1440" w:hanging="480"/>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37" w15:restartNumberingAfterBreak="0">
    <w:nsid w:val="25381A77"/>
    <w:multiLevelType w:val="hybridMultilevel"/>
    <w:tmpl w:val="E56E31FE"/>
    <w:lvl w:ilvl="0" w:tplc="72FA6F30">
      <w:start w:val="1"/>
      <w:numFmt w:val="bullet"/>
      <w:lvlText w:val=""/>
      <w:lvlJc w:val="left"/>
      <w:pPr>
        <w:ind w:left="1040" w:hanging="480"/>
      </w:pPr>
      <w:rPr>
        <w:rFonts w:ascii="Wingdings" w:hAnsi="Wingdings" w:hint="default"/>
      </w:rPr>
    </w:lvl>
    <w:lvl w:ilvl="1" w:tplc="04090003" w:tentative="1">
      <w:start w:val="1"/>
      <w:numFmt w:val="bullet"/>
      <w:lvlText w:val=""/>
      <w:lvlJc w:val="left"/>
      <w:pPr>
        <w:ind w:left="1520" w:hanging="480"/>
      </w:pPr>
      <w:rPr>
        <w:rFonts w:ascii="Wingdings" w:hAnsi="Wingdings" w:hint="default"/>
      </w:rPr>
    </w:lvl>
    <w:lvl w:ilvl="2" w:tplc="04090005" w:tentative="1">
      <w:start w:val="1"/>
      <w:numFmt w:val="bullet"/>
      <w:lvlText w:val=""/>
      <w:lvlJc w:val="left"/>
      <w:pPr>
        <w:ind w:left="2000" w:hanging="480"/>
      </w:pPr>
      <w:rPr>
        <w:rFonts w:ascii="Wingdings" w:hAnsi="Wingdings" w:hint="default"/>
      </w:rPr>
    </w:lvl>
    <w:lvl w:ilvl="3" w:tplc="04090001" w:tentative="1">
      <w:start w:val="1"/>
      <w:numFmt w:val="bullet"/>
      <w:lvlText w:val=""/>
      <w:lvlJc w:val="left"/>
      <w:pPr>
        <w:ind w:left="2480" w:hanging="480"/>
      </w:pPr>
      <w:rPr>
        <w:rFonts w:ascii="Wingdings" w:hAnsi="Wingdings" w:hint="default"/>
      </w:rPr>
    </w:lvl>
    <w:lvl w:ilvl="4" w:tplc="04090003" w:tentative="1">
      <w:start w:val="1"/>
      <w:numFmt w:val="bullet"/>
      <w:lvlText w:val=""/>
      <w:lvlJc w:val="left"/>
      <w:pPr>
        <w:ind w:left="2960" w:hanging="480"/>
      </w:pPr>
      <w:rPr>
        <w:rFonts w:ascii="Wingdings" w:hAnsi="Wingdings" w:hint="default"/>
      </w:rPr>
    </w:lvl>
    <w:lvl w:ilvl="5" w:tplc="04090005" w:tentative="1">
      <w:start w:val="1"/>
      <w:numFmt w:val="bullet"/>
      <w:lvlText w:val=""/>
      <w:lvlJc w:val="left"/>
      <w:pPr>
        <w:ind w:left="3440" w:hanging="480"/>
      </w:pPr>
      <w:rPr>
        <w:rFonts w:ascii="Wingdings" w:hAnsi="Wingdings" w:hint="default"/>
      </w:rPr>
    </w:lvl>
    <w:lvl w:ilvl="6" w:tplc="04090001" w:tentative="1">
      <w:start w:val="1"/>
      <w:numFmt w:val="bullet"/>
      <w:lvlText w:val=""/>
      <w:lvlJc w:val="left"/>
      <w:pPr>
        <w:ind w:left="3920" w:hanging="480"/>
      </w:pPr>
      <w:rPr>
        <w:rFonts w:ascii="Wingdings" w:hAnsi="Wingdings" w:hint="default"/>
      </w:rPr>
    </w:lvl>
    <w:lvl w:ilvl="7" w:tplc="04090003" w:tentative="1">
      <w:start w:val="1"/>
      <w:numFmt w:val="bullet"/>
      <w:lvlText w:val=""/>
      <w:lvlJc w:val="left"/>
      <w:pPr>
        <w:ind w:left="4400" w:hanging="480"/>
      </w:pPr>
      <w:rPr>
        <w:rFonts w:ascii="Wingdings" w:hAnsi="Wingdings" w:hint="default"/>
      </w:rPr>
    </w:lvl>
    <w:lvl w:ilvl="8" w:tplc="04090005" w:tentative="1">
      <w:start w:val="1"/>
      <w:numFmt w:val="bullet"/>
      <w:lvlText w:val=""/>
      <w:lvlJc w:val="left"/>
      <w:pPr>
        <w:ind w:left="4880" w:hanging="480"/>
      </w:pPr>
      <w:rPr>
        <w:rFonts w:ascii="Wingdings" w:hAnsi="Wingdings" w:hint="default"/>
      </w:rPr>
    </w:lvl>
  </w:abstractNum>
  <w:abstractNum w:abstractNumId="38" w15:restartNumberingAfterBreak="0">
    <w:nsid w:val="25C93F0A"/>
    <w:multiLevelType w:val="hybridMultilevel"/>
    <w:tmpl w:val="B6267AE6"/>
    <w:lvl w:ilvl="0" w:tplc="ED603DCE">
      <w:start w:val="1"/>
      <w:numFmt w:val="decimal"/>
      <w:lvlText w:val="%1."/>
      <w:lvlJc w:val="left"/>
      <w:pPr>
        <w:ind w:left="1440" w:hanging="480"/>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39" w15:restartNumberingAfterBreak="0">
    <w:nsid w:val="26AD7B11"/>
    <w:multiLevelType w:val="hybridMultilevel"/>
    <w:tmpl w:val="6BDEB1A6"/>
    <w:lvl w:ilvl="0" w:tplc="48EE27BA">
      <w:start w:val="1"/>
      <w:numFmt w:val="decimal"/>
      <w:lvlText w:val="%1."/>
      <w:lvlJc w:val="left"/>
      <w:pPr>
        <w:ind w:left="450" w:hanging="45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0" w15:restartNumberingAfterBreak="0">
    <w:nsid w:val="28155929"/>
    <w:multiLevelType w:val="hybridMultilevel"/>
    <w:tmpl w:val="6BDEB1A6"/>
    <w:lvl w:ilvl="0" w:tplc="48EE27BA">
      <w:start w:val="1"/>
      <w:numFmt w:val="decimal"/>
      <w:lvlText w:val="%1."/>
      <w:lvlJc w:val="left"/>
      <w:pPr>
        <w:ind w:left="450" w:hanging="45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1" w15:restartNumberingAfterBreak="0">
    <w:nsid w:val="28FF052F"/>
    <w:multiLevelType w:val="hybridMultilevel"/>
    <w:tmpl w:val="195C35E8"/>
    <w:lvl w:ilvl="0" w:tplc="F2845030">
      <w:start w:val="1"/>
      <w:numFmt w:val="ideographLegalTraditional"/>
      <w:lvlText w:val="%1、"/>
      <w:lvlJc w:val="left"/>
      <w:pPr>
        <w:ind w:left="480" w:hanging="480"/>
      </w:pPr>
      <w:rPr>
        <w:rFonts w:hint="default"/>
        <w:lang w:val="en-US"/>
      </w:rPr>
    </w:lvl>
    <w:lvl w:ilvl="1" w:tplc="72FA6F30">
      <w:start w:val="1"/>
      <w:numFmt w:val="bullet"/>
      <w:lvlText w:val=""/>
      <w:lvlJc w:val="left"/>
      <w:pPr>
        <w:ind w:left="960" w:hanging="480"/>
      </w:pPr>
      <w:rPr>
        <w:rFonts w:ascii="Wingdings" w:hAnsi="Wingding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2" w15:restartNumberingAfterBreak="0">
    <w:nsid w:val="2D985BF8"/>
    <w:multiLevelType w:val="hybridMultilevel"/>
    <w:tmpl w:val="E1645638"/>
    <w:lvl w:ilvl="0" w:tplc="2EA60FD4">
      <w:start w:val="1"/>
      <w:numFmt w:val="decimal"/>
      <w:lvlText w:val="%1."/>
      <w:lvlJc w:val="left"/>
      <w:pPr>
        <w:ind w:left="360" w:hanging="360"/>
      </w:pPr>
      <w:rPr>
        <w:rFonts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3" w15:restartNumberingAfterBreak="0">
    <w:nsid w:val="2EC9208F"/>
    <w:multiLevelType w:val="hybridMultilevel"/>
    <w:tmpl w:val="6BDEB1A6"/>
    <w:lvl w:ilvl="0" w:tplc="48EE27BA">
      <w:start w:val="1"/>
      <w:numFmt w:val="decimal"/>
      <w:lvlText w:val="%1."/>
      <w:lvlJc w:val="left"/>
      <w:pPr>
        <w:ind w:left="450" w:hanging="45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4" w15:restartNumberingAfterBreak="0">
    <w:nsid w:val="2EDE3B45"/>
    <w:multiLevelType w:val="hybridMultilevel"/>
    <w:tmpl w:val="06265FB6"/>
    <w:lvl w:ilvl="0" w:tplc="048CB3AE">
      <w:start w:val="1"/>
      <w:numFmt w:val="decimal"/>
      <w:lvlText w:val="(%1)"/>
      <w:lvlJc w:val="left"/>
      <w:pPr>
        <w:ind w:left="1353"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5" w15:restartNumberingAfterBreak="0">
    <w:nsid w:val="30A30E9E"/>
    <w:multiLevelType w:val="hybridMultilevel"/>
    <w:tmpl w:val="E6504EA2"/>
    <w:lvl w:ilvl="0" w:tplc="08806FE4">
      <w:start w:val="1"/>
      <w:numFmt w:val="taiwaneseCountingThousand"/>
      <w:lvlText w:val="%1、"/>
      <w:lvlJc w:val="left"/>
      <w:pPr>
        <w:ind w:left="1527" w:hanging="480"/>
      </w:pPr>
      <w:rPr>
        <w:rFonts w:hint="default"/>
      </w:rPr>
    </w:lvl>
    <w:lvl w:ilvl="1" w:tplc="04090019" w:tentative="1">
      <w:start w:val="1"/>
      <w:numFmt w:val="ideographTraditional"/>
      <w:lvlText w:val="%2、"/>
      <w:lvlJc w:val="left"/>
      <w:pPr>
        <w:ind w:left="2007" w:hanging="480"/>
      </w:pPr>
    </w:lvl>
    <w:lvl w:ilvl="2" w:tplc="0409001B" w:tentative="1">
      <w:start w:val="1"/>
      <w:numFmt w:val="lowerRoman"/>
      <w:lvlText w:val="%3."/>
      <w:lvlJc w:val="right"/>
      <w:pPr>
        <w:ind w:left="2487" w:hanging="480"/>
      </w:pPr>
    </w:lvl>
    <w:lvl w:ilvl="3" w:tplc="0409000F" w:tentative="1">
      <w:start w:val="1"/>
      <w:numFmt w:val="decimal"/>
      <w:lvlText w:val="%4."/>
      <w:lvlJc w:val="left"/>
      <w:pPr>
        <w:ind w:left="2967" w:hanging="480"/>
      </w:pPr>
    </w:lvl>
    <w:lvl w:ilvl="4" w:tplc="04090019" w:tentative="1">
      <w:start w:val="1"/>
      <w:numFmt w:val="ideographTraditional"/>
      <w:lvlText w:val="%5、"/>
      <w:lvlJc w:val="left"/>
      <w:pPr>
        <w:ind w:left="3447" w:hanging="480"/>
      </w:pPr>
    </w:lvl>
    <w:lvl w:ilvl="5" w:tplc="0409001B" w:tentative="1">
      <w:start w:val="1"/>
      <w:numFmt w:val="lowerRoman"/>
      <w:lvlText w:val="%6."/>
      <w:lvlJc w:val="right"/>
      <w:pPr>
        <w:ind w:left="3927" w:hanging="480"/>
      </w:pPr>
    </w:lvl>
    <w:lvl w:ilvl="6" w:tplc="0409000F" w:tentative="1">
      <w:start w:val="1"/>
      <w:numFmt w:val="decimal"/>
      <w:lvlText w:val="%7."/>
      <w:lvlJc w:val="left"/>
      <w:pPr>
        <w:ind w:left="4407" w:hanging="480"/>
      </w:pPr>
    </w:lvl>
    <w:lvl w:ilvl="7" w:tplc="04090019" w:tentative="1">
      <w:start w:val="1"/>
      <w:numFmt w:val="ideographTraditional"/>
      <w:lvlText w:val="%8、"/>
      <w:lvlJc w:val="left"/>
      <w:pPr>
        <w:ind w:left="4887" w:hanging="480"/>
      </w:pPr>
    </w:lvl>
    <w:lvl w:ilvl="8" w:tplc="0409001B" w:tentative="1">
      <w:start w:val="1"/>
      <w:numFmt w:val="lowerRoman"/>
      <w:lvlText w:val="%9."/>
      <w:lvlJc w:val="right"/>
      <w:pPr>
        <w:ind w:left="5367" w:hanging="480"/>
      </w:pPr>
    </w:lvl>
  </w:abstractNum>
  <w:abstractNum w:abstractNumId="46" w15:restartNumberingAfterBreak="0">
    <w:nsid w:val="336B593D"/>
    <w:multiLevelType w:val="hybridMultilevel"/>
    <w:tmpl w:val="2A7C3042"/>
    <w:lvl w:ilvl="0" w:tplc="E14E18A2">
      <w:start w:val="1"/>
      <w:numFmt w:val="taiwaneseCountingThousand"/>
      <w:lvlText w:val="%1、"/>
      <w:lvlJc w:val="left"/>
      <w:pPr>
        <w:ind w:left="480" w:hanging="480"/>
      </w:pPr>
      <w:rPr>
        <w:rFonts w:hint="default"/>
        <w:b w:val="0"/>
      </w:rPr>
    </w:lvl>
    <w:lvl w:ilvl="1" w:tplc="8DBAC348">
      <w:start w:val="1"/>
      <w:numFmt w:val="taiwaneseCountingThousand"/>
      <w:lvlText w:val="(%2)"/>
      <w:lvlJc w:val="left"/>
      <w:pPr>
        <w:ind w:left="870" w:hanging="390"/>
      </w:pPr>
      <w:rPr>
        <w:rFonts w:hint="default"/>
      </w:rPr>
    </w:lvl>
    <w:lvl w:ilvl="2" w:tplc="DE1A2C58">
      <w:start w:val="1"/>
      <w:numFmt w:val="decimal"/>
      <w:lvlText w:val="%3."/>
      <w:lvlJc w:val="left"/>
      <w:pPr>
        <w:ind w:left="1320" w:hanging="360"/>
      </w:pPr>
      <w:rPr>
        <w:rFonts w:hint="default"/>
      </w:rPr>
    </w:lvl>
    <w:lvl w:ilvl="3" w:tplc="0409000F">
      <w:start w:val="1"/>
      <w:numFmt w:val="decimal"/>
      <w:lvlText w:val="%4."/>
      <w:lvlJc w:val="left"/>
      <w:pPr>
        <w:ind w:left="1920" w:hanging="480"/>
      </w:pPr>
    </w:lvl>
    <w:lvl w:ilvl="4" w:tplc="B4EE9940">
      <w:start w:val="1"/>
      <w:numFmt w:val="decimal"/>
      <w:lvlText w:val="(%5)"/>
      <w:lvlJc w:val="left"/>
      <w:pPr>
        <w:ind w:left="2385" w:hanging="465"/>
      </w:pPr>
      <w:rPr>
        <w:rFonts w:hint="default"/>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7" w15:restartNumberingAfterBreak="0">
    <w:nsid w:val="339E73E6"/>
    <w:multiLevelType w:val="hybridMultilevel"/>
    <w:tmpl w:val="DEC014CC"/>
    <w:lvl w:ilvl="0" w:tplc="154C5E60">
      <w:start w:val="1"/>
      <w:numFmt w:val="decimal"/>
      <w:lvlText w:val="%1."/>
      <w:lvlJc w:val="left"/>
      <w:pPr>
        <w:ind w:left="360" w:hanging="360"/>
      </w:pPr>
      <w:rPr>
        <w:rFonts w:ascii="Times New Roman" w:hAnsi="Times New Roman" w:cs="Times New Roman" w:hint="default"/>
        <w:i w:val="0"/>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8" w15:restartNumberingAfterBreak="0">
    <w:nsid w:val="360E7384"/>
    <w:multiLevelType w:val="hybridMultilevel"/>
    <w:tmpl w:val="B6267AE6"/>
    <w:lvl w:ilvl="0" w:tplc="ED603DCE">
      <w:start w:val="1"/>
      <w:numFmt w:val="decimal"/>
      <w:lvlText w:val="%1."/>
      <w:lvlJc w:val="left"/>
      <w:pPr>
        <w:ind w:left="1440" w:hanging="480"/>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49" w15:restartNumberingAfterBreak="0">
    <w:nsid w:val="376306A7"/>
    <w:multiLevelType w:val="hybridMultilevel"/>
    <w:tmpl w:val="2A7C3042"/>
    <w:lvl w:ilvl="0" w:tplc="E14E18A2">
      <w:start w:val="1"/>
      <w:numFmt w:val="taiwaneseCountingThousand"/>
      <w:lvlText w:val="%1、"/>
      <w:lvlJc w:val="left"/>
      <w:pPr>
        <w:ind w:left="480" w:hanging="480"/>
      </w:pPr>
      <w:rPr>
        <w:rFonts w:hint="default"/>
        <w:b w:val="0"/>
      </w:rPr>
    </w:lvl>
    <w:lvl w:ilvl="1" w:tplc="8DBAC348">
      <w:start w:val="1"/>
      <w:numFmt w:val="taiwaneseCountingThousand"/>
      <w:lvlText w:val="(%2)"/>
      <w:lvlJc w:val="left"/>
      <w:pPr>
        <w:ind w:left="870" w:hanging="390"/>
      </w:pPr>
      <w:rPr>
        <w:rFonts w:hint="default"/>
      </w:rPr>
    </w:lvl>
    <w:lvl w:ilvl="2" w:tplc="DE1A2C58">
      <w:start w:val="1"/>
      <w:numFmt w:val="decimal"/>
      <w:lvlText w:val="%3."/>
      <w:lvlJc w:val="left"/>
      <w:pPr>
        <w:ind w:left="1320" w:hanging="360"/>
      </w:pPr>
      <w:rPr>
        <w:rFonts w:hint="default"/>
      </w:rPr>
    </w:lvl>
    <w:lvl w:ilvl="3" w:tplc="0409000F">
      <w:start w:val="1"/>
      <w:numFmt w:val="decimal"/>
      <w:lvlText w:val="%4."/>
      <w:lvlJc w:val="left"/>
      <w:pPr>
        <w:ind w:left="1920" w:hanging="480"/>
      </w:pPr>
    </w:lvl>
    <w:lvl w:ilvl="4" w:tplc="B4EE9940">
      <w:start w:val="1"/>
      <w:numFmt w:val="decimal"/>
      <w:lvlText w:val="(%5)"/>
      <w:lvlJc w:val="left"/>
      <w:pPr>
        <w:ind w:left="2385" w:hanging="465"/>
      </w:pPr>
      <w:rPr>
        <w:rFonts w:hint="default"/>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0" w15:restartNumberingAfterBreak="0">
    <w:nsid w:val="3814049A"/>
    <w:multiLevelType w:val="hybridMultilevel"/>
    <w:tmpl w:val="42A8A9B0"/>
    <w:lvl w:ilvl="0" w:tplc="72FA6F30">
      <w:start w:val="1"/>
      <w:numFmt w:val="bullet"/>
      <w:lvlText w:val=""/>
      <w:lvlJc w:val="left"/>
      <w:pPr>
        <w:ind w:left="1040" w:hanging="480"/>
      </w:pPr>
      <w:rPr>
        <w:rFonts w:ascii="Wingdings" w:hAnsi="Wingdings" w:hint="default"/>
      </w:rPr>
    </w:lvl>
    <w:lvl w:ilvl="1" w:tplc="04090003" w:tentative="1">
      <w:start w:val="1"/>
      <w:numFmt w:val="bullet"/>
      <w:lvlText w:val=""/>
      <w:lvlJc w:val="left"/>
      <w:pPr>
        <w:ind w:left="1520" w:hanging="480"/>
      </w:pPr>
      <w:rPr>
        <w:rFonts w:ascii="Wingdings" w:hAnsi="Wingdings" w:hint="default"/>
      </w:rPr>
    </w:lvl>
    <w:lvl w:ilvl="2" w:tplc="04090005" w:tentative="1">
      <w:start w:val="1"/>
      <w:numFmt w:val="bullet"/>
      <w:lvlText w:val=""/>
      <w:lvlJc w:val="left"/>
      <w:pPr>
        <w:ind w:left="2000" w:hanging="480"/>
      </w:pPr>
      <w:rPr>
        <w:rFonts w:ascii="Wingdings" w:hAnsi="Wingdings" w:hint="default"/>
      </w:rPr>
    </w:lvl>
    <w:lvl w:ilvl="3" w:tplc="04090001" w:tentative="1">
      <w:start w:val="1"/>
      <w:numFmt w:val="bullet"/>
      <w:lvlText w:val=""/>
      <w:lvlJc w:val="left"/>
      <w:pPr>
        <w:ind w:left="2480" w:hanging="480"/>
      </w:pPr>
      <w:rPr>
        <w:rFonts w:ascii="Wingdings" w:hAnsi="Wingdings" w:hint="default"/>
      </w:rPr>
    </w:lvl>
    <w:lvl w:ilvl="4" w:tplc="04090003" w:tentative="1">
      <w:start w:val="1"/>
      <w:numFmt w:val="bullet"/>
      <w:lvlText w:val=""/>
      <w:lvlJc w:val="left"/>
      <w:pPr>
        <w:ind w:left="2960" w:hanging="480"/>
      </w:pPr>
      <w:rPr>
        <w:rFonts w:ascii="Wingdings" w:hAnsi="Wingdings" w:hint="default"/>
      </w:rPr>
    </w:lvl>
    <w:lvl w:ilvl="5" w:tplc="04090005" w:tentative="1">
      <w:start w:val="1"/>
      <w:numFmt w:val="bullet"/>
      <w:lvlText w:val=""/>
      <w:lvlJc w:val="left"/>
      <w:pPr>
        <w:ind w:left="3440" w:hanging="480"/>
      </w:pPr>
      <w:rPr>
        <w:rFonts w:ascii="Wingdings" w:hAnsi="Wingdings" w:hint="default"/>
      </w:rPr>
    </w:lvl>
    <w:lvl w:ilvl="6" w:tplc="04090001" w:tentative="1">
      <w:start w:val="1"/>
      <w:numFmt w:val="bullet"/>
      <w:lvlText w:val=""/>
      <w:lvlJc w:val="left"/>
      <w:pPr>
        <w:ind w:left="3920" w:hanging="480"/>
      </w:pPr>
      <w:rPr>
        <w:rFonts w:ascii="Wingdings" w:hAnsi="Wingdings" w:hint="default"/>
      </w:rPr>
    </w:lvl>
    <w:lvl w:ilvl="7" w:tplc="04090003" w:tentative="1">
      <w:start w:val="1"/>
      <w:numFmt w:val="bullet"/>
      <w:lvlText w:val=""/>
      <w:lvlJc w:val="left"/>
      <w:pPr>
        <w:ind w:left="4400" w:hanging="480"/>
      </w:pPr>
      <w:rPr>
        <w:rFonts w:ascii="Wingdings" w:hAnsi="Wingdings" w:hint="default"/>
      </w:rPr>
    </w:lvl>
    <w:lvl w:ilvl="8" w:tplc="04090005" w:tentative="1">
      <w:start w:val="1"/>
      <w:numFmt w:val="bullet"/>
      <w:lvlText w:val=""/>
      <w:lvlJc w:val="left"/>
      <w:pPr>
        <w:ind w:left="4880" w:hanging="480"/>
      </w:pPr>
      <w:rPr>
        <w:rFonts w:ascii="Wingdings" w:hAnsi="Wingdings" w:hint="default"/>
      </w:rPr>
    </w:lvl>
  </w:abstractNum>
  <w:abstractNum w:abstractNumId="51" w15:restartNumberingAfterBreak="0">
    <w:nsid w:val="388910C5"/>
    <w:multiLevelType w:val="hybridMultilevel"/>
    <w:tmpl w:val="2BC0BCE6"/>
    <w:lvl w:ilvl="0" w:tplc="5DA88092">
      <w:start w:val="1"/>
      <w:numFmt w:val="decimal"/>
      <w:lvlText w:val="%1."/>
      <w:lvlJc w:val="left"/>
      <w:pPr>
        <w:ind w:left="360" w:hanging="360"/>
      </w:pPr>
      <w:rPr>
        <w:rFonts w:ascii="Times New Roman" w:hAnsi="Times New Roman" w:cs="Times New Roman" w:hint="default"/>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2" w15:restartNumberingAfterBreak="0">
    <w:nsid w:val="38E32C02"/>
    <w:multiLevelType w:val="hybridMultilevel"/>
    <w:tmpl w:val="F45AB152"/>
    <w:lvl w:ilvl="0" w:tplc="72FA6F30">
      <w:start w:val="1"/>
      <w:numFmt w:val="bullet"/>
      <w:lvlText w:val=""/>
      <w:lvlJc w:val="left"/>
      <w:pPr>
        <w:ind w:left="1040" w:hanging="480"/>
      </w:pPr>
      <w:rPr>
        <w:rFonts w:ascii="Wingdings" w:hAnsi="Wingdings" w:hint="default"/>
      </w:rPr>
    </w:lvl>
    <w:lvl w:ilvl="1" w:tplc="04090003" w:tentative="1">
      <w:start w:val="1"/>
      <w:numFmt w:val="bullet"/>
      <w:lvlText w:val=""/>
      <w:lvlJc w:val="left"/>
      <w:pPr>
        <w:ind w:left="1520" w:hanging="480"/>
      </w:pPr>
      <w:rPr>
        <w:rFonts w:ascii="Wingdings" w:hAnsi="Wingdings" w:hint="default"/>
      </w:rPr>
    </w:lvl>
    <w:lvl w:ilvl="2" w:tplc="04090005" w:tentative="1">
      <w:start w:val="1"/>
      <w:numFmt w:val="bullet"/>
      <w:lvlText w:val=""/>
      <w:lvlJc w:val="left"/>
      <w:pPr>
        <w:ind w:left="2000" w:hanging="480"/>
      </w:pPr>
      <w:rPr>
        <w:rFonts w:ascii="Wingdings" w:hAnsi="Wingdings" w:hint="default"/>
      </w:rPr>
    </w:lvl>
    <w:lvl w:ilvl="3" w:tplc="04090001" w:tentative="1">
      <w:start w:val="1"/>
      <w:numFmt w:val="bullet"/>
      <w:lvlText w:val=""/>
      <w:lvlJc w:val="left"/>
      <w:pPr>
        <w:ind w:left="2480" w:hanging="480"/>
      </w:pPr>
      <w:rPr>
        <w:rFonts w:ascii="Wingdings" w:hAnsi="Wingdings" w:hint="default"/>
      </w:rPr>
    </w:lvl>
    <w:lvl w:ilvl="4" w:tplc="04090003" w:tentative="1">
      <w:start w:val="1"/>
      <w:numFmt w:val="bullet"/>
      <w:lvlText w:val=""/>
      <w:lvlJc w:val="left"/>
      <w:pPr>
        <w:ind w:left="2960" w:hanging="480"/>
      </w:pPr>
      <w:rPr>
        <w:rFonts w:ascii="Wingdings" w:hAnsi="Wingdings" w:hint="default"/>
      </w:rPr>
    </w:lvl>
    <w:lvl w:ilvl="5" w:tplc="04090005" w:tentative="1">
      <w:start w:val="1"/>
      <w:numFmt w:val="bullet"/>
      <w:lvlText w:val=""/>
      <w:lvlJc w:val="left"/>
      <w:pPr>
        <w:ind w:left="3440" w:hanging="480"/>
      </w:pPr>
      <w:rPr>
        <w:rFonts w:ascii="Wingdings" w:hAnsi="Wingdings" w:hint="default"/>
      </w:rPr>
    </w:lvl>
    <w:lvl w:ilvl="6" w:tplc="04090001" w:tentative="1">
      <w:start w:val="1"/>
      <w:numFmt w:val="bullet"/>
      <w:lvlText w:val=""/>
      <w:lvlJc w:val="left"/>
      <w:pPr>
        <w:ind w:left="3920" w:hanging="480"/>
      </w:pPr>
      <w:rPr>
        <w:rFonts w:ascii="Wingdings" w:hAnsi="Wingdings" w:hint="default"/>
      </w:rPr>
    </w:lvl>
    <w:lvl w:ilvl="7" w:tplc="04090003" w:tentative="1">
      <w:start w:val="1"/>
      <w:numFmt w:val="bullet"/>
      <w:lvlText w:val=""/>
      <w:lvlJc w:val="left"/>
      <w:pPr>
        <w:ind w:left="4400" w:hanging="480"/>
      </w:pPr>
      <w:rPr>
        <w:rFonts w:ascii="Wingdings" w:hAnsi="Wingdings" w:hint="default"/>
      </w:rPr>
    </w:lvl>
    <w:lvl w:ilvl="8" w:tplc="04090005" w:tentative="1">
      <w:start w:val="1"/>
      <w:numFmt w:val="bullet"/>
      <w:lvlText w:val=""/>
      <w:lvlJc w:val="left"/>
      <w:pPr>
        <w:ind w:left="4880" w:hanging="480"/>
      </w:pPr>
      <w:rPr>
        <w:rFonts w:ascii="Wingdings" w:hAnsi="Wingdings" w:hint="default"/>
      </w:rPr>
    </w:lvl>
  </w:abstractNum>
  <w:abstractNum w:abstractNumId="53" w15:restartNumberingAfterBreak="0">
    <w:nsid w:val="397279CB"/>
    <w:multiLevelType w:val="hybridMultilevel"/>
    <w:tmpl w:val="921CD4CC"/>
    <w:lvl w:ilvl="0" w:tplc="3F061C4A">
      <w:start w:val="1"/>
      <w:numFmt w:val="decimal"/>
      <w:lvlText w:val="%1."/>
      <w:lvlJc w:val="left"/>
      <w:pPr>
        <w:ind w:left="360" w:hanging="360"/>
      </w:pPr>
      <w:rPr>
        <w:rFonts w:ascii="Times New Roman" w:hAnsi="Times New Roman" w:cs="Times New Roman" w:hint="default"/>
        <w:i w:val="0"/>
        <w:sz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4" w15:restartNumberingAfterBreak="0">
    <w:nsid w:val="3EEE6439"/>
    <w:multiLevelType w:val="hybridMultilevel"/>
    <w:tmpl w:val="986CF81A"/>
    <w:lvl w:ilvl="0" w:tplc="9DC8701A">
      <w:start w:val="1"/>
      <w:numFmt w:val="decimal"/>
      <w:lvlText w:val="%1."/>
      <w:lvlJc w:val="left"/>
      <w:pPr>
        <w:ind w:left="450" w:hanging="450"/>
      </w:pPr>
      <w:rPr>
        <w:rFonts w:hint="default"/>
        <w:i w:val="0"/>
      </w:rPr>
    </w:lvl>
    <w:lvl w:ilvl="1" w:tplc="0A4A3220">
      <w:start w:val="1"/>
      <w:numFmt w:val="lowerLetter"/>
      <w:lvlText w:val="%2)"/>
      <w:lvlJc w:val="left"/>
      <w:pPr>
        <w:ind w:left="960" w:hanging="480"/>
      </w:pPr>
      <w:rPr>
        <w:rFonts w:ascii="Times New Roman" w:hAnsi="Times New Roman" w:cs="Times New Roman"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5" w15:restartNumberingAfterBreak="0">
    <w:nsid w:val="3F0B50CE"/>
    <w:multiLevelType w:val="hybridMultilevel"/>
    <w:tmpl w:val="8840683C"/>
    <w:lvl w:ilvl="0" w:tplc="5922CB84">
      <w:start w:val="1"/>
      <w:numFmt w:val="decimal"/>
      <w:lvlText w:val="%1."/>
      <w:lvlJc w:val="left"/>
      <w:pPr>
        <w:ind w:left="1440" w:hanging="480"/>
      </w:pPr>
      <w:rPr>
        <w:rFonts w:hint="default"/>
        <w:sz w:val="28"/>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56" w15:restartNumberingAfterBreak="0">
    <w:nsid w:val="3F600450"/>
    <w:multiLevelType w:val="hybridMultilevel"/>
    <w:tmpl w:val="F232F5F4"/>
    <w:lvl w:ilvl="0" w:tplc="3716B976">
      <w:start w:val="1"/>
      <w:numFmt w:val="decimal"/>
      <w:lvlText w:val="%1."/>
      <w:lvlJc w:val="left"/>
      <w:pPr>
        <w:ind w:left="360" w:hanging="360"/>
      </w:pPr>
      <w:rPr>
        <w:rFonts w:hint="default"/>
        <w:i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7" w15:restartNumberingAfterBreak="0">
    <w:nsid w:val="406824E3"/>
    <w:multiLevelType w:val="hybridMultilevel"/>
    <w:tmpl w:val="66729674"/>
    <w:lvl w:ilvl="0" w:tplc="04090015">
      <w:start w:val="1"/>
      <w:numFmt w:val="taiwaneseCountingThousand"/>
      <w:lvlText w:val="%1、"/>
      <w:lvlJc w:val="left"/>
      <w:pPr>
        <w:ind w:left="480" w:hanging="480"/>
      </w:pPr>
      <w:rPr>
        <w:rFonts w:hint="default"/>
      </w:rPr>
    </w:lvl>
    <w:lvl w:ilvl="1" w:tplc="8DBAC348">
      <w:start w:val="1"/>
      <w:numFmt w:val="taiwaneseCountingThousand"/>
      <w:lvlText w:val="(%2)"/>
      <w:lvlJc w:val="left"/>
      <w:pPr>
        <w:ind w:left="870" w:hanging="390"/>
      </w:pPr>
      <w:rPr>
        <w:rFonts w:hint="default"/>
      </w:rPr>
    </w:lvl>
    <w:lvl w:ilvl="2" w:tplc="63B44AD6">
      <w:start w:val="1"/>
      <w:numFmt w:val="decimal"/>
      <w:pStyle w:val="4"/>
      <w:lvlText w:val="%3."/>
      <w:lvlJc w:val="left"/>
      <w:pPr>
        <w:ind w:left="1320" w:hanging="360"/>
      </w:pPr>
      <w:rPr>
        <w:rFonts w:hint="default"/>
      </w:rPr>
    </w:lvl>
    <w:lvl w:ilvl="3" w:tplc="0409000F">
      <w:start w:val="1"/>
      <w:numFmt w:val="decimal"/>
      <w:lvlText w:val="%4."/>
      <w:lvlJc w:val="left"/>
      <w:pPr>
        <w:ind w:left="1920" w:hanging="480"/>
      </w:pPr>
    </w:lvl>
    <w:lvl w:ilvl="4" w:tplc="B4EE9940">
      <w:start w:val="1"/>
      <w:numFmt w:val="decimal"/>
      <w:lvlText w:val="(%5)"/>
      <w:lvlJc w:val="left"/>
      <w:pPr>
        <w:ind w:left="2385" w:hanging="465"/>
      </w:pPr>
      <w:rPr>
        <w:rFonts w:hint="default"/>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8" w15:restartNumberingAfterBreak="0">
    <w:nsid w:val="409B3FEF"/>
    <w:multiLevelType w:val="hybridMultilevel"/>
    <w:tmpl w:val="EA205BE0"/>
    <w:lvl w:ilvl="0" w:tplc="11207C82">
      <w:start w:val="1"/>
      <w:numFmt w:val="taiwaneseCountingThousand"/>
      <w:pStyle w:val="3"/>
      <w:lvlText w:val="%1、"/>
      <w:lvlJc w:val="left"/>
      <w:pPr>
        <w:ind w:left="480" w:hanging="480"/>
      </w:pPr>
      <w:rPr>
        <w:rFonts w:hint="default"/>
        <w:b w:val="0"/>
        <w:lang w:val="en-US"/>
      </w:rPr>
    </w:lvl>
    <w:lvl w:ilvl="1" w:tplc="8DBAC348">
      <w:start w:val="1"/>
      <w:numFmt w:val="taiwaneseCountingThousand"/>
      <w:lvlText w:val="(%2)"/>
      <w:lvlJc w:val="left"/>
      <w:pPr>
        <w:ind w:left="870" w:hanging="390"/>
      </w:pPr>
      <w:rPr>
        <w:rFonts w:hint="default"/>
      </w:rPr>
    </w:lvl>
    <w:lvl w:ilvl="2" w:tplc="7F3CAA60">
      <w:start w:val="1"/>
      <w:numFmt w:val="decimal"/>
      <w:lvlText w:val="%3."/>
      <w:lvlJc w:val="left"/>
      <w:pPr>
        <w:ind w:left="1320" w:hanging="360"/>
      </w:pPr>
      <w:rPr>
        <w:rFonts w:ascii="Times New Roman" w:hAnsi="Times New Roman" w:cs="Times New Roman" w:hint="default"/>
      </w:rPr>
    </w:lvl>
    <w:lvl w:ilvl="3" w:tplc="0409000F">
      <w:start w:val="1"/>
      <w:numFmt w:val="decimal"/>
      <w:lvlText w:val="%4."/>
      <w:lvlJc w:val="left"/>
      <w:pPr>
        <w:ind w:left="1920" w:hanging="480"/>
      </w:pPr>
    </w:lvl>
    <w:lvl w:ilvl="4" w:tplc="B4EE9940">
      <w:start w:val="1"/>
      <w:numFmt w:val="decimal"/>
      <w:lvlText w:val="(%5)"/>
      <w:lvlJc w:val="left"/>
      <w:pPr>
        <w:ind w:left="2385" w:hanging="465"/>
      </w:pPr>
      <w:rPr>
        <w:rFonts w:hint="default"/>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9" w15:restartNumberingAfterBreak="0">
    <w:nsid w:val="40C32C30"/>
    <w:multiLevelType w:val="hybridMultilevel"/>
    <w:tmpl w:val="02C80ED0"/>
    <w:lvl w:ilvl="0" w:tplc="93A0D37E">
      <w:start w:val="1"/>
      <w:numFmt w:val="decimal"/>
      <w:lvlText w:val="%1."/>
      <w:lvlJc w:val="left"/>
      <w:pPr>
        <w:ind w:left="480" w:hanging="480"/>
      </w:pPr>
      <w:rPr>
        <w:rFonts w:ascii="Times New Roman" w:eastAsia="標楷體"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0" w15:restartNumberingAfterBreak="0">
    <w:nsid w:val="4322345E"/>
    <w:multiLevelType w:val="hybridMultilevel"/>
    <w:tmpl w:val="6BDEB1A6"/>
    <w:lvl w:ilvl="0" w:tplc="48EE27BA">
      <w:start w:val="1"/>
      <w:numFmt w:val="decimal"/>
      <w:lvlText w:val="%1."/>
      <w:lvlJc w:val="left"/>
      <w:pPr>
        <w:ind w:left="450" w:hanging="45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1" w15:restartNumberingAfterBreak="0">
    <w:nsid w:val="43D16A0C"/>
    <w:multiLevelType w:val="hybridMultilevel"/>
    <w:tmpl w:val="A4560E44"/>
    <w:lvl w:ilvl="0" w:tplc="C9C05BAE">
      <w:start w:val="1"/>
      <w:numFmt w:val="lowerLetter"/>
      <w:lvlText w:val="(%1)"/>
      <w:lvlJc w:val="left"/>
      <w:pPr>
        <w:ind w:left="360" w:hanging="360"/>
      </w:pPr>
      <w:rPr>
        <w:rFonts w:ascii="Times New Roman" w:hAnsi="Times New Roman" w:cs="Times New Roman" w:hint="default"/>
        <w:i w:val="0"/>
      </w:rPr>
    </w:lvl>
    <w:lvl w:ilvl="1" w:tplc="B0704710">
      <w:start w:val="1"/>
      <w:numFmt w:val="decimal"/>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2" w15:restartNumberingAfterBreak="0">
    <w:nsid w:val="448C7BD6"/>
    <w:multiLevelType w:val="hybridMultilevel"/>
    <w:tmpl w:val="B6267AE6"/>
    <w:lvl w:ilvl="0" w:tplc="ED603DCE">
      <w:start w:val="1"/>
      <w:numFmt w:val="decimal"/>
      <w:lvlText w:val="%1."/>
      <w:lvlJc w:val="left"/>
      <w:pPr>
        <w:ind w:left="1440" w:hanging="480"/>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63" w15:restartNumberingAfterBreak="0">
    <w:nsid w:val="48454B7C"/>
    <w:multiLevelType w:val="hybridMultilevel"/>
    <w:tmpl w:val="6BDEB1A6"/>
    <w:lvl w:ilvl="0" w:tplc="48EE27BA">
      <w:start w:val="1"/>
      <w:numFmt w:val="decimal"/>
      <w:lvlText w:val="%1."/>
      <w:lvlJc w:val="left"/>
      <w:pPr>
        <w:ind w:left="450" w:hanging="45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4" w15:restartNumberingAfterBreak="0">
    <w:nsid w:val="493110BF"/>
    <w:multiLevelType w:val="hybridMultilevel"/>
    <w:tmpl w:val="DAC68C68"/>
    <w:lvl w:ilvl="0" w:tplc="0409000F">
      <w:start w:val="1"/>
      <w:numFmt w:val="decimal"/>
      <w:lvlText w:val="%1."/>
      <w:lvlJc w:val="left"/>
      <w:pPr>
        <w:ind w:left="990" w:hanging="510"/>
      </w:pPr>
      <w:rPr>
        <w:rFonts w:hint="default"/>
        <w:lang w:val="en-US"/>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65" w15:restartNumberingAfterBreak="0">
    <w:nsid w:val="4C966EB1"/>
    <w:multiLevelType w:val="hybridMultilevel"/>
    <w:tmpl w:val="D85E48FA"/>
    <w:lvl w:ilvl="0" w:tplc="2BA8504C">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6" w15:restartNumberingAfterBreak="0">
    <w:nsid w:val="4CAF2C1D"/>
    <w:multiLevelType w:val="hybridMultilevel"/>
    <w:tmpl w:val="29EA82C6"/>
    <w:lvl w:ilvl="0" w:tplc="5922CB84">
      <w:start w:val="1"/>
      <w:numFmt w:val="decimal"/>
      <w:lvlText w:val="%1."/>
      <w:lvlJc w:val="left"/>
      <w:pPr>
        <w:ind w:left="450" w:hanging="450"/>
      </w:pPr>
      <w:rPr>
        <w:rFonts w:hint="default"/>
        <w:sz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7" w15:restartNumberingAfterBreak="0">
    <w:nsid w:val="4CD0085E"/>
    <w:multiLevelType w:val="hybridMultilevel"/>
    <w:tmpl w:val="E32A7AAC"/>
    <w:lvl w:ilvl="0" w:tplc="BEBA5DE6">
      <w:start w:val="1"/>
      <w:numFmt w:val="decimal"/>
      <w:lvlText w:val="(%1)"/>
      <w:lvlJc w:val="left"/>
      <w:pPr>
        <w:ind w:left="1040" w:hanging="480"/>
      </w:pPr>
      <w:rPr>
        <w:rFonts w:ascii="Times New Roman" w:hAnsi="Times New Roman" w:cs="Times New Roman" w:hint="default"/>
      </w:rPr>
    </w:lvl>
    <w:lvl w:ilvl="1" w:tplc="04090019" w:tentative="1">
      <w:start w:val="1"/>
      <w:numFmt w:val="ideographTraditional"/>
      <w:lvlText w:val="%2、"/>
      <w:lvlJc w:val="left"/>
      <w:pPr>
        <w:ind w:left="1520" w:hanging="480"/>
      </w:pPr>
    </w:lvl>
    <w:lvl w:ilvl="2" w:tplc="0409001B" w:tentative="1">
      <w:start w:val="1"/>
      <w:numFmt w:val="lowerRoman"/>
      <w:lvlText w:val="%3."/>
      <w:lvlJc w:val="right"/>
      <w:pPr>
        <w:ind w:left="2000" w:hanging="480"/>
      </w:pPr>
    </w:lvl>
    <w:lvl w:ilvl="3" w:tplc="0409000F" w:tentative="1">
      <w:start w:val="1"/>
      <w:numFmt w:val="decimal"/>
      <w:lvlText w:val="%4."/>
      <w:lvlJc w:val="left"/>
      <w:pPr>
        <w:ind w:left="2480" w:hanging="480"/>
      </w:pPr>
    </w:lvl>
    <w:lvl w:ilvl="4" w:tplc="04090019" w:tentative="1">
      <w:start w:val="1"/>
      <w:numFmt w:val="ideographTraditional"/>
      <w:lvlText w:val="%5、"/>
      <w:lvlJc w:val="left"/>
      <w:pPr>
        <w:ind w:left="2960" w:hanging="480"/>
      </w:pPr>
    </w:lvl>
    <w:lvl w:ilvl="5" w:tplc="0409001B" w:tentative="1">
      <w:start w:val="1"/>
      <w:numFmt w:val="lowerRoman"/>
      <w:lvlText w:val="%6."/>
      <w:lvlJc w:val="right"/>
      <w:pPr>
        <w:ind w:left="3440" w:hanging="480"/>
      </w:pPr>
    </w:lvl>
    <w:lvl w:ilvl="6" w:tplc="0409000F" w:tentative="1">
      <w:start w:val="1"/>
      <w:numFmt w:val="decimal"/>
      <w:lvlText w:val="%7."/>
      <w:lvlJc w:val="left"/>
      <w:pPr>
        <w:ind w:left="3920" w:hanging="480"/>
      </w:pPr>
    </w:lvl>
    <w:lvl w:ilvl="7" w:tplc="04090019" w:tentative="1">
      <w:start w:val="1"/>
      <w:numFmt w:val="ideographTraditional"/>
      <w:lvlText w:val="%8、"/>
      <w:lvlJc w:val="left"/>
      <w:pPr>
        <w:ind w:left="4400" w:hanging="480"/>
      </w:pPr>
    </w:lvl>
    <w:lvl w:ilvl="8" w:tplc="0409001B" w:tentative="1">
      <w:start w:val="1"/>
      <w:numFmt w:val="lowerRoman"/>
      <w:lvlText w:val="%9."/>
      <w:lvlJc w:val="right"/>
      <w:pPr>
        <w:ind w:left="4880" w:hanging="480"/>
      </w:pPr>
    </w:lvl>
  </w:abstractNum>
  <w:abstractNum w:abstractNumId="68" w15:restartNumberingAfterBreak="0">
    <w:nsid w:val="4F460966"/>
    <w:multiLevelType w:val="hybridMultilevel"/>
    <w:tmpl w:val="B9A8DFB2"/>
    <w:lvl w:ilvl="0" w:tplc="247274A8">
      <w:start w:val="1"/>
      <w:numFmt w:val="lowerLetter"/>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69" w15:restartNumberingAfterBreak="0">
    <w:nsid w:val="4F826A00"/>
    <w:multiLevelType w:val="hybridMultilevel"/>
    <w:tmpl w:val="546C1EA4"/>
    <w:lvl w:ilvl="0" w:tplc="BB96E304">
      <w:start w:val="1"/>
      <w:numFmt w:val="decimal"/>
      <w:lvlText w:val="%1."/>
      <w:lvlJc w:val="left"/>
      <w:pPr>
        <w:ind w:left="360" w:hanging="36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0" w15:restartNumberingAfterBreak="0">
    <w:nsid w:val="53B63DFA"/>
    <w:multiLevelType w:val="hybridMultilevel"/>
    <w:tmpl w:val="2BC0BCE6"/>
    <w:lvl w:ilvl="0" w:tplc="5DA88092">
      <w:start w:val="1"/>
      <w:numFmt w:val="decimal"/>
      <w:lvlText w:val="%1."/>
      <w:lvlJc w:val="left"/>
      <w:pPr>
        <w:ind w:left="360" w:hanging="360"/>
      </w:pPr>
      <w:rPr>
        <w:rFonts w:ascii="Times New Roman" w:hAnsi="Times New Roman" w:cs="Times New Roman" w:hint="default"/>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1" w15:restartNumberingAfterBreak="0">
    <w:nsid w:val="550E40C0"/>
    <w:multiLevelType w:val="hybridMultilevel"/>
    <w:tmpl w:val="6BDEB1A6"/>
    <w:lvl w:ilvl="0" w:tplc="48EE27BA">
      <w:start w:val="1"/>
      <w:numFmt w:val="decimal"/>
      <w:lvlText w:val="%1."/>
      <w:lvlJc w:val="left"/>
      <w:pPr>
        <w:ind w:left="450" w:hanging="45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2" w15:restartNumberingAfterBreak="0">
    <w:nsid w:val="552E05D7"/>
    <w:multiLevelType w:val="hybridMultilevel"/>
    <w:tmpl w:val="924CEFD8"/>
    <w:lvl w:ilvl="0" w:tplc="5922CB84">
      <w:start w:val="1"/>
      <w:numFmt w:val="decimal"/>
      <w:lvlText w:val="%1."/>
      <w:lvlJc w:val="left"/>
      <w:pPr>
        <w:ind w:left="720" w:hanging="720"/>
      </w:pPr>
      <w:rPr>
        <w:rFonts w:hint="default"/>
        <w:sz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3" w15:restartNumberingAfterBreak="0">
    <w:nsid w:val="55630329"/>
    <w:multiLevelType w:val="hybridMultilevel"/>
    <w:tmpl w:val="6BDEB1A6"/>
    <w:lvl w:ilvl="0" w:tplc="48EE27BA">
      <w:start w:val="1"/>
      <w:numFmt w:val="decimal"/>
      <w:lvlText w:val="%1."/>
      <w:lvlJc w:val="left"/>
      <w:pPr>
        <w:ind w:left="450" w:hanging="45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4" w15:restartNumberingAfterBreak="0">
    <w:nsid w:val="59530544"/>
    <w:multiLevelType w:val="hybridMultilevel"/>
    <w:tmpl w:val="D9DEDCE2"/>
    <w:lvl w:ilvl="0" w:tplc="75B8B298">
      <w:start w:val="1"/>
      <w:numFmt w:val="decimal"/>
      <w:lvlText w:val="%1."/>
      <w:lvlJc w:val="left"/>
      <w:pPr>
        <w:ind w:left="742" w:hanging="360"/>
      </w:pPr>
      <w:rPr>
        <w:rFonts w:ascii="Times New Roman" w:hAnsi="Times New Roman" w:cs="Times New Roman" w:hint="default"/>
        <w:sz w:val="28"/>
      </w:rPr>
    </w:lvl>
    <w:lvl w:ilvl="1" w:tplc="04090019" w:tentative="1">
      <w:start w:val="1"/>
      <w:numFmt w:val="ideographTraditional"/>
      <w:lvlText w:val="%2、"/>
      <w:lvlJc w:val="left"/>
      <w:pPr>
        <w:ind w:left="1342" w:hanging="480"/>
      </w:pPr>
    </w:lvl>
    <w:lvl w:ilvl="2" w:tplc="0409001B" w:tentative="1">
      <w:start w:val="1"/>
      <w:numFmt w:val="lowerRoman"/>
      <w:lvlText w:val="%3."/>
      <w:lvlJc w:val="right"/>
      <w:pPr>
        <w:ind w:left="1822" w:hanging="480"/>
      </w:pPr>
    </w:lvl>
    <w:lvl w:ilvl="3" w:tplc="0409000F" w:tentative="1">
      <w:start w:val="1"/>
      <w:numFmt w:val="decimal"/>
      <w:lvlText w:val="%4."/>
      <w:lvlJc w:val="left"/>
      <w:pPr>
        <w:ind w:left="2302" w:hanging="480"/>
      </w:pPr>
    </w:lvl>
    <w:lvl w:ilvl="4" w:tplc="04090019" w:tentative="1">
      <w:start w:val="1"/>
      <w:numFmt w:val="ideographTraditional"/>
      <w:lvlText w:val="%5、"/>
      <w:lvlJc w:val="left"/>
      <w:pPr>
        <w:ind w:left="2782" w:hanging="480"/>
      </w:pPr>
    </w:lvl>
    <w:lvl w:ilvl="5" w:tplc="0409001B" w:tentative="1">
      <w:start w:val="1"/>
      <w:numFmt w:val="lowerRoman"/>
      <w:lvlText w:val="%6."/>
      <w:lvlJc w:val="right"/>
      <w:pPr>
        <w:ind w:left="3262" w:hanging="480"/>
      </w:pPr>
    </w:lvl>
    <w:lvl w:ilvl="6" w:tplc="0409000F" w:tentative="1">
      <w:start w:val="1"/>
      <w:numFmt w:val="decimal"/>
      <w:lvlText w:val="%7."/>
      <w:lvlJc w:val="left"/>
      <w:pPr>
        <w:ind w:left="3742" w:hanging="480"/>
      </w:pPr>
    </w:lvl>
    <w:lvl w:ilvl="7" w:tplc="04090019" w:tentative="1">
      <w:start w:val="1"/>
      <w:numFmt w:val="ideographTraditional"/>
      <w:lvlText w:val="%8、"/>
      <w:lvlJc w:val="left"/>
      <w:pPr>
        <w:ind w:left="4222" w:hanging="480"/>
      </w:pPr>
    </w:lvl>
    <w:lvl w:ilvl="8" w:tplc="0409001B" w:tentative="1">
      <w:start w:val="1"/>
      <w:numFmt w:val="lowerRoman"/>
      <w:lvlText w:val="%9."/>
      <w:lvlJc w:val="right"/>
      <w:pPr>
        <w:ind w:left="4702" w:hanging="480"/>
      </w:pPr>
    </w:lvl>
  </w:abstractNum>
  <w:abstractNum w:abstractNumId="75" w15:restartNumberingAfterBreak="0">
    <w:nsid w:val="595E3412"/>
    <w:multiLevelType w:val="hybridMultilevel"/>
    <w:tmpl w:val="227C54F6"/>
    <w:lvl w:ilvl="0" w:tplc="1E3E7290">
      <w:start w:val="1"/>
      <w:numFmt w:val="decimal"/>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76" w15:restartNumberingAfterBreak="0">
    <w:nsid w:val="5AB21C7C"/>
    <w:multiLevelType w:val="hybridMultilevel"/>
    <w:tmpl w:val="E1340A50"/>
    <w:lvl w:ilvl="0" w:tplc="C8EEDD9E">
      <w:start w:val="1"/>
      <w:numFmt w:val="ideographLegalTraditional"/>
      <w:pStyle w:val="2"/>
      <w:lvlText w:val="%1、"/>
      <w:lvlJc w:val="left"/>
      <w:pPr>
        <w:ind w:left="480" w:hanging="480"/>
      </w:pPr>
      <w:rPr>
        <w:rFonts w:hint="default"/>
        <w:lang w:val="en-US"/>
      </w:rPr>
    </w:lvl>
    <w:lvl w:ilvl="1" w:tplc="0409000F">
      <w:start w:val="1"/>
      <w:numFmt w:val="decimal"/>
      <w:lvlText w:val="%2."/>
      <w:lvlJc w:val="left"/>
      <w:pPr>
        <w:ind w:left="1090" w:hanging="610"/>
      </w:pPr>
      <w:rPr>
        <w:rFonts w:hint="default"/>
      </w:rPr>
    </w:lvl>
    <w:lvl w:ilvl="2" w:tplc="6BD42F06">
      <w:start w:val="1"/>
      <w:numFmt w:val="decimal"/>
      <w:lvlText w:val="%3."/>
      <w:lvlJc w:val="left"/>
      <w:pPr>
        <w:ind w:left="1680" w:hanging="720"/>
      </w:pPr>
      <w:rPr>
        <w:rFonts w:hint="default"/>
        <w:i w:val="0"/>
        <w:sz w:val="28"/>
      </w:rPr>
    </w:lvl>
    <w:lvl w:ilvl="3" w:tplc="ECDC5866">
      <w:start w:val="1"/>
      <w:numFmt w:val="decimal"/>
      <w:lvlText w:val="%4."/>
      <w:lvlJc w:val="left"/>
      <w:pPr>
        <w:ind w:left="1800" w:hanging="360"/>
      </w:pPr>
      <w:rPr>
        <w:rFonts w:hint="default"/>
        <w:i w:val="0"/>
      </w:rPr>
    </w:lvl>
    <w:lvl w:ilvl="4" w:tplc="1C1E2F26">
      <w:start w:val="1"/>
      <w:numFmt w:val="decimal"/>
      <w:lvlText w:val="%5."/>
      <w:lvlJc w:val="left"/>
      <w:pPr>
        <w:ind w:left="2280" w:hanging="360"/>
      </w:pPr>
      <w:rPr>
        <w:rFonts w:ascii="Times New Roman" w:eastAsia="標楷體" w:hAnsi="Times New Roman" w:cs="Times New Roman"/>
        <w:b w:val="0"/>
        <w:i w:val="0"/>
      </w:rPr>
    </w:lvl>
    <w:lvl w:ilvl="5" w:tplc="14F8E8A8">
      <w:start w:val="1"/>
      <w:numFmt w:val="lowerLetter"/>
      <w:lvlText w:val="(%6)"/>
      <w:lvlJc w:val="left"/>
      <w:pPr>
        <w:ind w:left="2760" w:hanging="360"/>
      </w:pPr>
      <w:rPr>
        <w:rFonts w:hint="default"/>
        <w:b w:val="0"/>
      </w:r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7" w15:restartNumberingAfterBreak="0">
    <w:nsid w:val="5C4A4884"/>
    <w:multiLevelType w:val="hybridMultilevel"/>
    <w:tmpl w:val="6BDEB1A6"/>
    <w:lvl w:ilvl="0" w:tplc="48EE27BA">
      <w:start w:val="1"/>
      <w:numFmt w:val="decimal"/>
      <w:lvlText w:val="%1."/>
      <w:lvlJc w:val="left"/>
      <w:pPr>
        <w:ind w:left="450" w:hanging="45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8" w15:restartNumberingAfterBreak="0">
    <w:nsid w:val="5D0722B9"/>
    <w:multiLevelType w:val="hybridMultilevel"/>
    <w:tmpl w:val="D152DDC2"/>
    <w:lvl w:ilvl="0" w:tplc="116261FC">
      <w:start w:val="1"/>
      <w:numFmt w:val="decimal"/>
      <w:lvlText w:val="%1."/>
      <w:lvlJc w:val="left"/>
      <w:pPr>
        <w:ind w:left="480" w:hanging="480"/>
      </w:pPr>
      <w:rPr>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9" w15:restartNumberingAfterBreak="0">
    <w:nsid w:val="600D16D0"/>
    <w:multiLevelType w:val="hybridMultilevel"/>
    <w:tmpl w:val="D97C1CD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0" w15:restartNumberingAfterBreak="0">
    <w:nsid w:val="60C40A0B"/>
    <w:multiLevelType w:val="hybridMultilevel"/>
    <w:tmpl w:val="3F9CAE9A"/>
    <w:lvl w:ilvl="0" w:tplc="DD70ADF0">
      <w:start w:val="1"/>
      <w:numFmt w:val="decimal"/>
      <w:lvlText w:val="%1."/>
      <w:lvlJc w:val="left"/>
      <w:pPr>
        <w:ind w:left="360" w:hanging="36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1" w15:restartNumberingAfterBreak="0">
    <w:nsid w:val="61054CA2"/>
    <w:multiLevelType w:val="hybridMultilevel"/>
    <w:tmpl w:val="6BDEB1A6"/>
    <w:lvl w:ilvl="0" w:tplc="48EE27BA">
      <w:start w:val="1"/>
      <w:numFmt w:val="decimal"/>
      <w:lvlText w:val="%1."/>
      <w:lvlJc w:val="left"/>
      <w:pPr>
        <w:ind w:left="450" w:hanging="45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2" w15:restartNumberingAfterBreak="0">
    <w:nsid w:val="62A768EC"/>
    <w:multiLevelType w:val="hybridMultilevel"/>
    <w:tmpl w:val="FEEA0706"/>
    <w:lvl w:ilvl="0" w:tplc="72FA6F30">
      <w:start w:val="1"/>
      <w:numFmt w:val="bullet"/>
      <w:lvlText w:val=""/>
      <w:lvlJc w:val="left"/>
      <w:pPr>
        <w:ind w:left="960" w:hanging="480"/>
      </w:pPr>
      <w:rPr>
        <w:rFonts w:ascii="Wingdings" w:hAnsi="Wingding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83" w15:restartNumberingAfterBreak="0">
    <w:nsid w:val="62EE017D"/>
    <w:multiLevelType w:val="hybridMultilevel"/>
    <w:tmpl w:val="227C54F6"/>
    <w:lvl w:ilvl="0" w:tplc="1E3E7290">
      <w:start w:val="1"/>
      <w:numFmt w:val="decimal"/>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84" w15:restartNumberingAfterBreak="0">
    <w:nsid w:val="65C74226"/>
    <w:multiLevelType w:val="hybridMultilevel"/>
    <w:tmpl w:val="6BDEB1A6"/>
    <w:lvl w:ilvl="0" w:tplc="48EE27BA">
      <w:start w:val="1"/>
      <w:numFmt w:val="decimal"/>
      <w:lvlText w:val="%1."/>
      <w:lvlJc w:val="left"/>
      <w:pPr>
        <w:ind w:left="450" w:hanging="45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5" w15:restartNumberingAfterBreak="0">
    <w:nsid w:val="65FD5C96"/>
    <w:multiLevelType w:val="hybridMultilevel"/>
    <w:tmpl w:val="6BDEB1A6"/>
    <w:lvl w:ilvl="0" w:tplc="48EE27BA">
      <w:start w:val="1"/>
      <w:numFmt w:val="decimal"/>
      <w:lvlText w:val="%1."/>
      <w:lvlJc w:val="left"/>
      <w:pPr>
        <w:ind w:left="450" w:hanging="45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6" w15:restartNumberingAfterBreak="0">
    <w:nsid w:val="66D43062"/>
    <w:multiLevelType w:val="hybridMultilevel"/>
    <w:tmpl w:val="6BDEB1A6"/>
    <w:lvl w:ilvl="0" w:tplc="48EE27BA">
      <w:start w:val="1"/>
      <w:numFmt w:val="decimal"/>
      <w:lvlText w:val="%1."/>
      <w:lvlJc w:val="left"/>
      <w:pPr>
        <w:ind w:left="450" w:hanging="45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7" w15:restartNumberingAfterBreak="0">
    <w:nsid w:val="688D44FA"/>
    <w:multiLevelType w:val="hybridMultilevel"/>
    <w:tmpl w:val="D64E134A"/>
    <w:lvl w:ilvl="0" w:tplc="668A1EBA">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88" w15:restartNumberingAfterBreak="0">
    <w:nsid w:val="6A1F6540"/>
    <w:multiLevelType w:val="hybridMultilevel"/>
    <w:tmpl w:val="6BDEB1A6"/>
    <w:lvl w:ilvl="0" w:tplc="48EE27BA">
      <w:start w:val="1"/>
      <w:numFmt w:val="decimal"/>
      <w:lvlText w:val="%1."/>
      <w:lvlJc w:val="left"/>
      <w:pPr>
        <w:ind w:left="450" w:hanging="45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9" w15:restartNumberingAfterBreak="0">
    <w:nsid w:val="6A8C56E8"/>
    <w:multiLevelType w:val="hybridMultilevel"/>
    <w:tmpl w:val="5526F5D0"/>
    <w:lvl w:ilvl="0" w:tplc="72FA6F30">
      <w:start w:val="1"/>
      <w:numFmt w:val="bullet"/>
      <w:lvlText w:val=""/>
      <w:lvlJc w:val="left"/>
      <w:pPr>
        <w:ind w:left="1040" w:hanging="480"/>
      </w:pPr>
      <w:rPr>
        <w:rFonts w:ascii="Wingdings" w:hAnsi="Wingdings" w:hint="default"/>
      </w:rPr>
    </w:lvl>
    <w:lvl w:ilvl="1" w:tplc="04090003" w:tentative="1">
      <w:start w:val="1"/>
      <w:numFmt w:val="bullet"/>
      <w:lvlText w:val=""/>
      <w:lvlJc w:val="left"/>
      <w:pPr>
        <w:ind w:left="1520" w:hanging="480"/>
      </w:pPr>
      <w:rPr>
        <w:rFonts w:ascii="Wingdings" w:hAnsi="Wingdings" w:hint="default"/>
      </w:rPr>
    </w:lvl>
    <w:lvl w:ilvl="2" w:tplc="04090005" w:tentative="1">
      <w:start w:val="1"/>
      <w:numFmt w:val="bullet"/>
      <w:lvlText w:val=""/>
      <w:lvlJc w:val="left"/>
      <w:pPr>
        <w:ind w:left="2000" w:hanging="480"/>
      </w:pPr>
      <w:rPr>
        <w:rFonts w:ascii="Wingdings" w:hAnsi="Wingdings" w:hint="default"/>
      </w:rPr>
    </w:lvl>
    <w:lvl w:ilvl="3" w:tplc="04090001" w:tentative="1">
      <w:start w:val="1"/>
      <w:numFmt w:val="bullet"/>
      <w:lvlText w:val=""/>
      <w:lvlJc w:val="left"/>
      <w:pPr>
        <w:ind w:left="2480" w:hanging="480"/>
      </w:pPr>
      <w:rPr>
        <w:rFonts w:ascii="Wingdings" w:hAnsi="Wingdings" w:hint="default"/>
      </w:rPr>
    </w:lvl>
    <w:lvl w:ilvl="4" w:tplc="04090003" w:tentative="1">
      <w:start w:val="1"/>
      <w:numFmt w:val="bullet"/>
      <w:lvlText w:val=""/>
      <w:lvlJc w:val="left"/>
      <w:pPr>
        <w:ind w:left="2960" w:hanging="480"/>
      </w:pPr>
      <w:rPr>
        <w:rFonts w:ascii="Wingdings" w:hAnsi="Wingdings" w:hint="default"/>
      </w:rPr>
    </w:lvl>
    <w:lvl w:ilvl="5" w:tplc="04090005" w:tentative="1">
      <w:start w:val="1"/>
      <w:numFmt w:val="bullet"/>
      <w:lvlText w:val=""/>
      <w:lvlJc w:val="left"/>
      <w:pPr>
        <w:ind w:left="3440" w:hanging="480"/>
      </w:pPr>
      <w:rPr>
        <w:rFonts w:ascii="Wingdings" w:hAnsi="Wingdings" w:hint="default"/>
      </w:rPr>
    </w:lvl>
    <w:lvl w:ilvl="6" w:tplc="04090001" w:tentative="1">
      <w:start w:val="1"/>
      <w:numFmt w:val="bullet"/>
      <w:lvlText w:val=""/>
      <w:lvlJc w:val="left"/>
      <w:pPr>
        <w:ind w:left="3920" w:hanging="480"/>
      </w:pPr>
      <w:rPr>
        <w:rFonts w:ascii="Wingdings" w:hAnsi="Wingdings" w:hint="default"/>
      </w:rPr>
    </w:lvl>
    <w:lvl w:ilvl="7" w:tplc="04090003" w:tentative="1">
      <w:start w:val="1"/>
      <w:numFmt w:val="bullet"/>
      <w:lvlText w:val=""/>
      <w:lvlJc w:val="left"/>
      <w:pPr>
        <w:ind w:left="4400" w:hanging="480"/>
      </w:pPr>
      <w:rPr>
        <w:rFonts w:ascii="Wingdings" w:hAnsi="Wingdings" w:hint="default"/>
      </w:rPr>
    </w:lvl>
    <w:lvl w:ilvl="8" w:tplc="04090005" w:tentative="1">
      <w:start w:val="1"/>
      <w:numFmt w:val="bullet"/>
      <w:lvlText w:val=""/>
      <w:lvlJc w:val="left"/>
      <w:pPr>
        <w:ind w:left="4880" w:hanging="480"/>
      </w:pPr>
      <w:rPr>
        <w:rFonts w:ascii="Wingdings" w:hAnsi="Wingdings" w:hint="default"/>
      </w:rPr>
    </w:lvl>
  </w:abstractNum>
  <w:abstractNum w:abstractNumId="90" w15:restartNumberingAfterBreak="0">
    <w:nsid w:val="6DA92DFB"/>
    <w:multiLevelType w:val="hybridMultilevel"/>
    <w:tmpl w:val="79B2FDE2"/>
    <w:lvl w:ilvl="0" w:tplc="BB96E304">
      <w:start w:val="1"/>
      <w:numFmt w:val="decimal"/>
      <w:lvlText w:val="%1."/>
      <w:lvlJc w:val="left"/>
      <w:pPr>
        <w:ind w:left="360" w:hanging="36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1" w15:restartNumberingAfterBreak="0">
    <w:nsid w:val="6FD469FC"/>
    <w:multiLevelType w:val="hybridMultilevel"/>
    <w:tmpl w:val="84308C4E"/>
    <w:lvl w:ilvl="0" w:tplc="1E3E7290">
      <w:start w:val="1"/>
      <w:numFmt w:val="decimal"/>
      <w:lvlText w:val="(%1)"/>
      <w:lvlJc w:val="left"/>
      <w:pPr>
        <w:ind w:left="1047" w:hanging="480"/>
      </w:pPr>
      <w:rPr>
        <w:rFonts w:hint="eastAsia"/>
      </w:rPr>
    </w:lvl>
    <w:lvl w:ilvl="1" w:tplc="04090003" w:tentative="1">
      <w:start w:val="1"/>
      <w:numFmt w:val="bullet"/>
      <w:lvlText w:val=""/>
      <w:lvlJc w:val="left"/>
      <w:pPr>
        <w:ind w:left="1527" w:hanging="480"/>
      </w:pPr>
      <w:rPr>
        <w:rFonts w:ascii="Wingdings" w:hAnsi="Wingdings" w:hint="default"/>
      </w:rPr>
    </w:lvl>
    <w:lvl w:ilvl="2" w:tplc="04090005" w:tentative="1">
      <w:start w:val="1"/>
      <w:numFmt w:val="bullet"/>
      <w:lvlText w:val=""/>
      <w:lvlJc w:val="left"/>
      <w:pPr>
        <w:ind w:left="2007" w:hanging="480"/>
      </w:pPr>
      <w:rPr>
        <w:rFonts w:ascii="Wingdings" w:hAnsi="Wingdings" w:hint="default"/>
      </w:rPr>
    </w:lvl>
    <w:lvl w:ilvl="3" w:tplc="04090001" w:tentative="1">
      <w:start w:val="1"/>
      <w:numFmt w:val="bullet"/>
      <w:lvlText w:val=""/>
      <w:lvlJc w:val="left"/>
      <w:pPr>
        <w:ind w:left="2487" w:hanging="480"/>
      </w:pPr>
      <w:rPr>
        <w:rFonts w:ascii="Wingdings" w:hAnsi="Wingdings" w:hint="default"/>
      </w:rPr>
    </w:lvl>
    <w:lvl w:ilvl="4" w:tplc="04090003" w:tentative="1">
      <w:start w:val="1"/>
      <w:numFmt w:val="bullet"/>
      <w:lvlText w:val=""/>
      <w:lvlJc w:val="left"/>
      <w:pPr>
        <w:ind w:left="2967" w:hanging="480"/>
      </w:pPr>
      <w:rPr>
        <w:rFonts w:ascii="Wingdings" w:hAnsi="Wingdings" w:hint="default"/>
      </w:rPr>
    </w:lvl>
    <w:lvl w:ilvl="5" w:tplc="04090005" w:tentative="1">
      <w:start w:val="1"/>
      <w:numFmt w:val="bullet"/>
      <w:lvlText w:val=""/>
      <w:lvlJc w:val="left"/>
      <w:pPr>
        <w:ind w:left="3447" w:hanging="480"/>
      </w:pPr>
      <w:rPr>
        <w:rFonts w:ascii="Wingdings" w:hAnsi="Wingdings" w:hint="default"/>
      </w:rPr>
    </w:lvl>
    <w:lvl w:ilvl="6" w:tplc="04090001" w:tentative="1">
      <w:start w:val="1"/>
      <w:numFmt w:val="bullet"/>
      <w:lvlText w:val=""/>
      <w:lvlJc w:val="left"/>
      <w:pPr>
        <w:ind w:left="3927" w:hanging="480"/>
      </w:pPr>
      <w:rPr>
        <w:rFonts w:ascii="Wingdings" w:hAnsi="Wingdings" w:hint="default"/>
      </w:rPr>
    </w:lvl>
    <w:lvl w:ilvl="7" w:tplc="04090003" w:tentative="1">
      <w:start w:val="1"/>
      <w:numFmt w:val="bullet"/>
      <w:lvlText w:val=""/>
      <w:lvlJc w:val="left"/>
      <w:pPr>
        <w:ind w:left="4407" w:hanging="480"/>
      </w:pPr>
      <w:rPr>
        <w:rFonts w:ascii="Wingdings" w:hAnsi="Wingdings" w:hint="default"/>
      </w:rPr>
    </w:lvl>
    <w:lvl w:ilvl="8" w:tplc="04090005" w:tentative="1">
      <w:start w:val="1"/>
      <w:numFmt w:val="bullet"/>
      <w:lvlText w:val=""/>
      <w:lvlJc w:val="left"/>
      <w:pPr>
        <w:ind w:left="4887" w:hanging="480"/>
      </w:pPr>
      <w:rPr>
        <w:rFonts w:ascii="Wingdings" w:hAnsi="Wingdings" w:hint="default"/>
      </w:rPr>
    </w:lvl>
  </w:abstractNum>
  <w:abstractNum w:abstractNumId="92" w15:restartNumberingAfterBreak="0">
    <w:nsid w:val="6FFF656A"/>
    <w:multiLevelType w:val="hybridMultilevel"/>
    <w:tmpl w:val="E32A7AAC"/>
    <w:lvl w:ilvl="0" w:tplc="BEBA5DE6">
      <w:start w:val="1"/>
      <w:numFmt w:val="decimal"/>
      <w:lvlText w:val="(%1)"/>
      <w:lvlJc w:val="left"/>
      <w:pPr>
        <w:ind w:left="1040" w:hanging="480"/>
      </w:pPr>
      <w:rPr>
        <w:rFonts w:ascii="Times New Roman" w:hAnsi="Times New Roman" w:cs="Times New Roman" w:hint="default"/>
      </w:rPr>
    </w:lvl>
    <w:lvl w:ilvl="1" w:tplc="04090019" w:tentative="1">
      <w:start w:val="1"/>
      <w:numFmt w:val="ideographTraditional"/>
      <w:lvlText w:val="%2、"/>
      <w:lvlJc w:val="left"/>
      <w:pPr>
        <w:ind w:left="1520" w:hanging="480"/>
      </w:pPr>
    </w:lvl>
    <w:lvl w:ilvl="2" w:tplc="0409001B" w:tentative="1">
      <w:start w:val="1"/>
      <w:numFmt w:val="lowerRoman"/>
      <w:lvlText w:val="%3."/>
      <w:lvlJc w:val="right"/>
      <w:pPr>
        <w:ind w:left="2000" w:hanging="480"/>
      </w:pPr>
    </w:lvl>
    <w:lvl w:ilvl="3" w:tplc="0409000F" w:tentative="1">
      <w:start w:val="1"/>
      <w:numFmt w:val="decimal"/>
      <w:lvlText w:val="%4."/>
      <w:lvlJc w:val="left"/>
      <w:pPr>
        <w:ind w:left="2480" w:hanging="480"/>
      </w:pPr>
    </w:lvl>
    <w:lvl w:ilvl="4" w:tplc="04090019" w:tentative="1">
      <w:start w:val="1"/>
      <w:numFmt w:val="ideographTraditional"/>
      <w:lvlText w:val="%5、"/>
      <w:lvlJc w:val="left"/>
      <w:pPr>
        <w:ind w:left="2960" w:hanging="480"/>
      </w:pPr>
    </w:lvl>
    <w:lvl w:ilvl="5" w:tplc="0409001B" w:tentative="1">
      <w:start w:val="1"/>
      <w:numFmt w:val="lowerRoman"/>
      <w:lvlText w:val="%6."/>
      <w:lvlJc w:val="right"/>
      <w:pPr>
        <w:ind w:left="3440" w:hanging="480"/>
      </w:pPr>
    </w:lvl>
    <w:lvl w:ilvl="6" w:tplc="0409000F" w:tentative="1">
      <w:start w:val="1"/>
      <w:numFmt w:val="decimal"/>
      <w:lvlText w:val="%7."/>
      <w:lvlJc w:val="left"/>
      <w:pPr>
        <w:ind w:left="3920" w:hanging="480"/>
      </w:pPr>
    </w:lvl>
    <w:lvl w:ilvl="7" w:tplc="04090019" w:tentative="1">
      <w:start w:val="1"/>
      <w:numFmt w:val="ideographTraditional"/>
      <w:lvlText w:val="%8、"/>
      <w:lvlJc w:val="left"/>
      <w:pPr>
        <w:ind w:left="4400" w:hanging="480"/>
      </w:pPr>
    </w:lvl>
    <w:lvl w:ilvl="8" w:tplc="0409001B" w:tentative="1">
      <w:start w:val="1"/>
      <w:numFmt w:val="lowerRoman"/>
      <w:lvlText w:val="%9."/>
      <w:lvlJc w:val="right"/>
      <w:pPr>
        <w:ind w:left="4880" w:hanging="480"/>
      </w:pPr>
    </w:lvl>
  </w:abstractNum>
  <w:abstractNum w:abstractNumId="93" w15:restartNumberingAfterBreak="0">
    <w:nsid w:val="721D2177"/>
    <w:multiLevelType w:val="hybridMultilevel"/>
    <w:tmpl w:val="6BDEB1A6"/>
    <w:lvl w:ilvl="0" w:tplc="48EE27BA">
      <w:start w:val="1"/>
      <w:numFmt w:val="decimal"/>
      <w:lvlText w:val="%1."/>
      <w:lvlJc w:val="left"/>
      <w:pPr>
        <w:ind w:left="450" w:hanging="45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4" w15:restartNumberingAfterBreak="0">
    <w:nsid w:val="72C54A11"/>
    <w:multiLevelType w:val="hybridMultilevel"/>
    <w:tmpl w:val="2A7C3042"/>
    <w:lvl w:ilvl="0" w:tplc="E14E18A2">
      <w:start w:val="1"/>
      <w:numFmt w:val="taiwaneseCountingThousand"/>
      <w:lvlText w:val="%1、"/>
      <w:lvlJc w:val="left"/>
      <w:pPr>
        <w:ind w:left="480" w:hanging="480"/>
      </w:pPr>
      <w:rPr>
        <w:rFonts w:hint="default"/>
        <w:b w:val="0"/>
      </w:rPr>
    </w:lvl>
    <w:lvl w:ilvl="1" w:tplc="8DBAC348">
      <w:start w:val="1"/>
      <w:numFmt w:val="taiwaneseCountingThousand"/>
      <w:lvlText w:val="(%2)"/>
      <w:lvlJc w:val="left"/>
      <w:pPr>
        <w:ind w:left="870" w:hanging="390"/>
      </w:pPr>
      <w:rPr>
        <w:rFonts w:hint="default"/>
      </w:rPr>
    </w:lvl>
    <w:lvl w:ilvl="2" w:tplc="DE1A2C58">
      <w:start w:val="1"/>
      <w:numFmt w:val="decimal"/>
      <w:lvlText w:val="%3."/>
      <w:lvlJc w:val="left"/>
      <w:pPr>
        <w:ind w:left="1320" w:hanging="360"/>
      </w:pPr>
      <w:rPr>
        <w:rFonts w:hint="default"/>
      </w:rPr>
    </w:lvl>
    <w:lvl w:ilvl="3" w:tplc="0409000F">
      <w:start w:val="1"/>
      <w:numFmt w:val="decimal"/>
      <w:lvlText w:val="%4."/>
      <w:lvlJc w:val="left"/>
      <w:pPr>
        <w:ind w:left="1920" w:hanging="480"/>
      </w:pPr>
    </w:lvl>
    <w:lvl w:ilvl="4" w:tplc="B4EE9940">
      <w:start w:val="1"/>
      <w:numFmt w:val="decimal"/>
      <w:lvlText w:val="(%5)"/>
      <w:lvlJc w:val="left"/>
      <w:pPr>
        <w:ind w:left="2385" w:hanging="465"/>
      </w:pPr>
      <w:rPr>
        <w:rFonts w:hint="default"/>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5" w15:restartNumberingAfterBreak="0">
    <w:nsid w:val="733A508D"/>
    <w:multiLevelType w:val="hybridMultilevel"/>
    <w:tmpl w:val="C92C211A"/>
    <w:lvl w:ilvl="0" w:tplc="0409000F">
      <w:start w:val="1"/>
      <w:numFmt w:val="decimal"/>
      <w:lvlText w:val="%1."/>
      <w:lvlJc w:val="left"/>
      <w:pPr>
        <w:ind w:left="537" w:hanging="480"/>
      </w:pPr>
    </w:lvl>
    <w:lvl w:ilvl="1" w:tplc="04090019" w:tentative="1">
      <w:start w:val="1"/>
      <w:numFmt w:val="ideographTraditional"/>
      <w:lvlText w:val="%2、"/>
      <w:lvlJc w:val="left"/>
      <w:pPr>
        <w:ind w:left="1017" w:hanging="480"/>
      </w:pPr>
    </w:lvl>
    <w:lvl w:ilvl="2" w:tplc="0409001B" w:tentative="1">
      <w:start w:val="1"/>
      <w:numFmt w:val="lowerRoman"/>
      <w:lvlText w:val="%3."/>
      <w:lvlJc w:val="right"/>
      <w:pPr>
        <w:ind w:left="1497" w:hanging="480"/>
      </w:pPr>
    </w:lvl>
    <w:lvl w:ilvl="3" w:tplc="0409000F" w:tentative="1">
      <w:start w:val="1"/>
      <w:numFmt w:val="decimal"/>
      <w:lvlText w:val="%4."/>
      <w:lvlJc w:val="left"/>
      <w:pPr>
        <w:ind w:left="1977" w:hanging="480"/>
      </w:pPr>
    </w:lvl>
    <w:lvl w:ilvl="4" w:tplc="04090019" w:tentative="1">
      <w:start w:val="1"/>
      <w:numFmt w:val="ideographTraditional"/>
      <w:lvlText w:val="%5、"/>
      <w:lvlJc w:val="left"/>
      <w:pPr>
        <w:ind w:left="2457" w:hanging="480"/>
      </w:pPr>
    </w:lvl>
    <w:lvl w:ilvl="5" w:tplc="0409001B" w:tentative="1">
      <w:start w:val="1"/>
      <w:numFmt w:val="lowerRoman"/>
      <w:lvlText w:val="%6."/>
      <w:lvlJc w:val="right"/>
      <w:pPr>
        <w:ind w:left="2937" w:hanging="480"/>
      </w:pPr>
    </w:lvl>
    <w:lvl w:ilvl="6" w:tplc="0409000F" w:tentative="1">
      <w:start w:val="1"/>
      <w:numFmt w:val="decimal"/>
      <w:lvlText w:val="%7."/>
      <w:lvlJc w:val="left"/>
      <w:pPr>
        <w:ind w:left="3417" w:hanging="480"/>
      </w:pPr>
    </w:lvl>
    <w:lvl w:ilvl="7" w:tplc="04090019" w:tentative="1">
      <w:start w:val="1"/>
      <w:numFmt w:val="ideographTraditional"/>
      <w:lvlText w:val="%8、"/>
      <w:lvlJc w:val="left"/>
      <w:pPr>
        <w:ind w:left="3897" w:hanging="480"/>
      </w:pPr>
    </w:lvl>
    <w:lvl w:ilvl="8" w:tplc="0409001B" w:tentative="1">
      <w:start w:val="1"/>
      <w:numFmt w:val="lowerRoman"/>
      <w:lvlText w:val="%9."/>
      <w:lvlJc w:val="right"/>
      <w:pPr>
        <w:ind w:left="4377" w:hanging="480"/>
      </w:pPr>
    </w:lvl>
  </w:abstractNum>
  <w:abstractNum w:abstractNumId="96" w15:restartNumberingAfterBreak="0">
    <w:nsid w:val="73460227"/>
    <w:multiLevelType w:val="hybridMultilevel"/>
    <w:tmpl w:val="6BDEB1A6"/>
    <w:lvl w:ilvl="0" w:tplc="48EE27BA">
      <w:start w:val="1"/>
      <w:numFmt w:val="decimal"/>
      <w:lvlText w:val="%1."/>
      <w:lvlJc w:val="left"/>
      <w:pPr>
        <w:ind w:left="450" w:hanging="45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7" w15:restartNumberingAfterBreak="0">
    <w:nsid w:val="77A66A90"/>
    <w:multiLevelType w:val="hybridMultilevel"/>
    <w:tmpl w:val="6BDEB1A6"/>
    <w:lvl w:ilvl="0" w:tplc="48EE27BA">
      <w:start w:val="1"/>
      <w:numFmt w:val="decimal"/>
      <w:lvlText w:val="%1."/>
      <w:lvlJc w:val="left"/>
      <w:pPr>
        <w:ind w:left="450" w:hanging="45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8" w15:restartNumberingAfterBreak="0">
    <w:nsid w:val="78D25755"/>
    <w:multiLevelType w:val="hybridMultilevel"/>
    <w:tmpl w:val="4634CB88"/>
    <w:lvl w:ilvl="0" w:tplc="72FA6F30">
      <w:start w:val="1"/>
      <w:numFmt w:val="bullet"/>
      <w:lvlText w:val=""/>
      <w:lvlJc w:val="left"/>
      <w:pPr>
        <w:ind w:left="1040" w:hanging="480"/>
      </w:pPr>
      <w:rPr>
        <w:rFonts w:ascii="Wingdings" w:hAnsi="Wingdings" w:hint="default"/>
      </w:rPr>
    </w:lvl>
    <w:lvl w:ilvl="1" w:tplc="04090003" w:tentative="1">
      <w:start w:val="1"/>
      <w:numFmt w:val="bullet"/>
      <w:lvlText w:val=""/>
      <w:lvlJc w:val="left"/>
      <w:pPr>
        <w:ind w:left="1520" w:hanging="480"/>
      </w:pPr>
      <w:rPr>
        <w:rFonts w:ascii="Wingdings" w:hAnsi="Wingdings" w:hint="default"/>
      </w:rPr>
    </w:lvl>
    <w:lvl w:ilvl="2" w:tplc="04090005" w:tentative="1">
      <w:start w:val="1"/>
      <w:numFmt w:val="bullet"/>
      <w:lvlText w:val=""/>
      <w:lvlJc w:val="left"/>
      <w:pPr>
        <w:ind w:left="2000" w:hanging="480"/>
      </w:pPr>
      <w:rPr>
        <w:rFonts w:ascii="Wingdings" w:hAnsi="Wingdings" w:hint="default"/>
      </w:rPr>
    </w:lvl>
    <w:lvl w:ilvl="3" w:tplc="04090001" w:tentative="1">
      <w:start w:val="1"/>
      <w:numFmt w:val="bullet"/>
      <w:lvlText w:val=""/>
      <w:lvlJc w:val="left"/>
      <w:pPr>
        <w:ind w:left="2480" w:hanging="480"/>
      </w:pPr>
      <w:rPr>
        <w:rFonts w:ascii="Wingdings" w:hAnsi="Wingdings" w:hint="default"/>
      </w:rPr>
    </w:lvl>
    <w:lvl w:ilvl="4" w:tplc="04090003" w:tentative="1">
      <w:start w:val="1"/>
      <w:numFmt w:val="bullet"/>
      <w:lvlText w:val=""/>
      <w:lvlJc w:val="left"/>
      <w:pPr>
        <w:ind w:left="2960" w:hanging="480"/>
      </w:pPr>
      <w:rPr>
        <w:rFonts w:ascii="Wingdings" w:hAnsi="Wingdings" w:hint="default"/>
      </w:rPr>
    </w:lvl>
    <w:lvl w:ilvl="5" w:tplc="04090005" w:tentative="1">
      <w:start w:val="1"/>
      <w:numFmt w:val="bullet"/>
      <w:lvlText w:val=""/>
      <w:lvlJc w:val="left"/>
      <w:pPr>
        <w:ind w:left="3440" w:hanging="480"/>
      </w:pPr>
      <w:rPr>
        <w:rFonts w:ascii="Wingdings" w:hAnsi="Wingdings" w:hint="default"/>
      </w:rPr>
    </w:lvl>
    <w:lvl w:ilvl="6" w:tplc="04090001" w:tentative="1">
      <w:start w:val="1"/>
      <w:numFmt w:val="bullet"/>
      <w:lvlText w:val=""/>
      <w:lvlJc w:val="left"/>
      <w:pPr>
        <w:ind w:left="3920" w:hanging="480"/>
      </w:pPr>
      <w:rPr>
        <w:rFonts w:ascii="Wingdings" w:hAnsi="Wingdings" w:hint="default"/>
      </w:rPr>
    </w:lvl>
    <w:lvl w:ilvl="7" w:tplc="04090003" w:tentative="1">
      <w:start w:val="1"/>
      <w:numFmt w:val="bullet"/>
      <w:lvlText w:val=""/>
      <w:lvlJc w:val="left"/>
      <w:pPr>
        <w:ind w:left="4400" w:hanging="480"/>
      </w:pPr>
      <w:rPr>
        <w:rFonts w:ascii="Wingdings" w:hAnsi="Wingdings" w:hint="default"/>
      </w:rPr>
    </w:lvl>
    <w:lvl w:ilvl="8" w:tplc="04090005" w:tentative="1">
      <w:start w:val="1"/>
      <w:numFmt w:val="bullet"/>
      <w:lvlText w:val=""/>
      <w:lvlJc w:val="left"/>
      <w:pPr>
        <w:ind w:left="4880" w:hanging="480"/>
      </w:pPr>
      <w:rPr>
        <w:rFonts w:ascii="Wingdings" w:hAnsi="Wingdings" w:hint="default"/>
      </w:rPr>
    </w:lvl>
  </w:abstractNum>
  <w:abstractNum w:abstractNumId="99" w15:restartNumberingAfterBreak="0">
    <w:nsid w:val="7BE37EAB"/>
    <w:multiLevelType w:val="hybridMultilevel"/>
    <w:tmpl w:val="794E22CA"/>
    <w:lvl w:ilvl="0" w:tplc="200E05D4">
      <w:start w:val="1"/>
      <w:numFmt w:val="decimal"/>
      <w:lvlText w:val="%1."/>
      <w:lvlJc w:val="left"/>
      <w:pPr>
        <w:ind w:left="360" w:hanging="360"/>
      </w:pPr>
      <w:rPr>
        <w:rFonts w:ascii="Times New Roman" w:hAnsi="Times New Roman" w:cs="Times New Roman" w:hint="default"/>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0" w15:restartNumberingAfterBreak="0">
    <w:nsid w:val="7BE9669D"/>
    <w:multiLevelType w:val="hybridMultilevel"/>
    <w:tmpl w:val="D604CE32"/>
    <w:lvl w:ilvl="0" w:tplc="72FA6F30">
      <w:start w:val="1"/>
      <w:numFmt w:val="bullet"/>
      <w:lvlText w:val=""/>
      <w:lvlJc w:val="left"/>
      <w:pPr>
        <w:ind w:left="2760" w:hanging="360"/>
      </w:pPr>
      <w:rPr>
        <w:rFonts w:ascii="Wingdings" w:hAnsi="Wingdings"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1" w15:restartNumberingAfterBreak="0">
    <w:nsid w:val="7D642C41"/>
    <w:multiLevelType w:val="hybridMultilevel"/>
    <w:tmpl w:val="F9F48BEE"/>
    <w:lvl w:ilvl="0" w:tplc="72FA6F30">
      <w:start w:val="1"/>
      <w:numFmt w:val="bullet"/>
      <w:lvlText w:val=""/>
      <w:lvlJc w:val="left"/>
      <w:pPr>
        <w:ind w:left="1040" w:hanging="480"/>
      </w:pPr>
      <w:rPr>
        <w:rFonts w:ascii="Wingdings" w:hAnsi="Wingdings" w:hint="default"/>
      </w:rPr>
    </w:lvl>
    <w:lvl w:ilvl="1" w:tplc="04090003" w:tentative="1">
      <w:start w:val="1"/>
      <w:numFmt w:val="bullet"/>
      <w:lvlText w:val=""/>
      <w:lvlJc w:val="left"/>
      <w:pPr>
        <w:ind w:left="1520" w:hanging="480"/>
      </w:pPr>
      <w:rPr>
        <w:rFonts w:ascii="Wingdings" w:hAnsi="Wingdings" w:hint="default"/>
      </w:rPr>
    </w:lvl>
    <w:lvl w:ilvl="2" w:tplc="04090005" w:tentative="1">
      <w:start w:val="1"/>
      <w:numFmt w:val="bullet"/>
      <w:lvlText w:val=""/>
      <w:lvlJc w:val="left"/>
      <w:pPr>
        <w:ind w:left="2000" w:hanging="480"/>
      </w:pPr>
      <w:rPr>
        <w:rFonts w:ascii="Wingdings" w:hAnsi="Wingdings" w:hint="default"/>
      </w:rPr>
    </w:lvl>
    <w:lvl w:ilvl="3" w:tplc="04090001" w:tentative="1">
      <w:start w:val="1"/>
      <w:numFmt w:val="bullet"/>
      <w:lvlText w:val=""/>
      <w:lvlJc w:val="left"/>
      <w:pPr>
        <w:ind w:left="2480" w:hanging="480"/>
      </w:pPr>
      <w:rPr>
        <w:rFonts w:ascii="Wingdings" w:hAnsi="Wingdings" w:hint="default"/>
      </w:rPr>
    </w:lvl>
    <w:lvl w:ilvl="4" w:tplc="04090003" w:tentative="1">
      <w:start w:val="1"/>
      <w:numFmt w:val="bullet"/>
      <w:lvlText w:val=""/>
      <w:lvlJc w:val="left"/>
      <w:pPr>
        <w:ind w:left="2960" w:hanging="480"/>
      </w:pPr>
      <w:rPr>
        <w:rFonts w:ascii="Wingdings" w:hAnsi="Wingdings" w:hint="default"/>
      </w:rPr>
    </w:lvl>
    <w:lvl w:ilvl="5" w:tplc="04090005" w:tentative="1">
      <w:start w:val="1"/>
      <w:numFmt w:val="bullet"/>
      <w:lvlText w:val=""/>
      <w:lvlJc w:val="left"/>
      <w:pPr>
        <w:ind w:left="3440" w:hanging="480"/>
      </w:pPr>
      <w:rPr>
        <w:rFonts w:ascii="Wingdings" w:hAnsi="Wingdings" w:hint="default"/>
      </w:rPr>
    </w:lvl>
    <w:lvl w:ilvl="6" w:tplc="04090001" w:tentative="1">
      <w:start w:val="1"/>
      <w:numFmt w:val="bullet"/>
      <w:lvlText w:val=""/>
      <w:lvlJc w:val="left"/>
      <w:pPr>
        <w:ind w:left="3920" w:hanging="480"/>
      </w:pPr>
      <w:rPr>
        <w:rFonts w:ascii="Wingdings" w:hAnsi="Wingdings" w:hint="default"/>
      </w:rPr>
    </w:lvl>
    <w:lvl w:ilvl="7" w:tplc="04090003" w:tentative="1">
      <w:start w:val="1"/>
      <w:numFmt w:val="bullet"/>
      <w:lvlText w:val=""/>
      <w:lvlJc w:val="left"/>
      <w:pPr>
        <w:ind w:left="4400" w:hanging="480"/>
      </w:pPr>
      <w:rPr>
        <w:rFonts w:ascii="Wingdings" w:hAnsi="Wingdings" w:hint="default"/>
      </w:rPr>
    </w:lvl>
    <w:lvl w:ilvl="8" w:tplc="04090005" w:tentative="1">
      <w:start w:val="1"/>
      <w:numFmt w:val="bullet"/>
      <w:lvlText w:val=""/>
      <w:lvlJc w:val="left"/>
      <w:pPr>
        <w:ind w:left="4880" w:hanging="480"/>
      </w:pPr>
      <w:rPr>
        <w:rFonts w:ascii="Wingdings" w:hAnsi="Wingdings" w:hint="default"/>
      </w:rPr>
    </w:lvl>
  </w:abstractNum>
  <w:abstractNum w:abstractNumId="102" w15:restartNumberingAfterBreak="0">
    <w:nsid w:val="7DF873F4"/>
    <w:multiLevelType w:val="hybridMultilevel"/>
    <w:tmpl w:val="6BDEB1A6"/>
    <w:lvl w:ilvl="0" w:tplc="48EE27BA">
      <w:start w:val="1"/>
      <w:numFmt w:val="decimal"/>
      <w:lvlText w:val="%1."/>
      <w:lvlJc w:val="left"/>
      <w:pPr>
        <w:ind w:left="450" w:hanging="45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3" w15:restartNumberingAfterBreak="0">
    <w:nsid w:val="7FE670FD"/>
    <w:multiLevelType w:val="hybridMultilevel"/>
    <w:tmpl w:val="407C334C"/>
    <w:lvl w:ilvl="0" w:tplc="4218F2C6">
      <w:start w:val="1"/>
      <w:numFmt w:val="lowerLetter"/>
      <w:lvlText w:val="(%1)"/>
      <w:lvlJc w:val="left"/>
      <w:pPr>
        <w:ind w:left="612" w:hanging="360"/>
      </w:pPr>
      <w:rPr>
        <w:rFonts w:hint="default"/>
      </w:rPr>
    </w:lvl>
    <w:lvl w:ilvl="1" w:tplc="04090019" w:tentative="1">
      <w:start w:val="1"/>
      <w:numFmt w:val="ideographTraditional"/>
      <w:lvlText w:val="%2、"/>
      <w:lvlJc w:val="left"/>
      <w:pPr>
        <w:ind w:left="1212" w:hanging="480"/>
      </w:pPr>
    </w:lvl>
    <w:lvl w:ilvl="2" w:tplc="0409001B" w:tentative="1">
      <w:start w:val="1"/>
      <w:numFmt w:val="lowerRoman"/>
      <w:lvlText w:val="%3."/>
      <w:lvlJc w:val="right"/>
      <w:pPr>
        <w:ind w:left="1692" w:hanging="480"/>
      </w:pPr>
    </w:lvl>
    <w:lvl w:ilvl="3" w:tplc="0409000F" w:tentative="1">
      <w:start w:val="1"/>
      <w:numFmt w:val="decimal"/>
      <w:lvlText w:val="%4."/>
      <w:lvlJc w:val="left"/>
      <w:pPr>
        <w:ind w:left="2172" w:hanging="480"/>
      </w:pPr>
    </w:lvl>
    <w:lvl w:ilvl="4" w:tplc="04090019" w:tentative="1">
      <w:start w:val="1"/>
      <w:numFmt w:val="ideographTraditional"/>
      <w:lvlText w:val="%5、"/>
      <w:lvlJc w:val="left"/>
      <w:pPr>
        <w:ind w:left="2652" w:hanging="480"/>
      </w:pPr>
    </w:lvl>
    <w:lvl w:ilvl="5" w:tplc="0409001B" w:tentative="1">
      <w:start w:val="1"/>
      <w:numFmt w:val="lowerRoman"/>
      <w:lvlText w:val="%6."/>
      <w:lvlJc w:val="right"/>
      <w:pPr>
        <w:ind w:left="3132" w:hanging="480"/>
      </w:pPr>
    </w:lvl>
    <w:lvl w:ilvl="6" w:tplc="0409000F" w:tentative="1">
      <w:start w:val="1"/>
      <w:numFmt w:val="decimal"/>
      <w:lvlText w:val="%7."/>
      <w:lvlJc w:val="left"/>
      <w:pPr>
        <w:ind w:left="3612" w:hanging="480"/>
      </w:pPr>
    </w:lvl>
    <w:lvl w:ilvl="7" w:tplc="04090019" w:tentative="1">
      <w:start w:val="1"/>
      <w:numFmt w:val="ideographTraditional"/>
      <w:lvlText w:val="%8、"/>
      <w:lvlJc w:val="left"/>
      <w:pPr>
        <w:ind w:left="4092" w:hanging="480"/>
      </w:pPr>
    </w:lvl>
    <w:lvl w:ilvl="8" w:tplc="0409001B" w:tentative="1">
      <w:start w:val="1"/>
      <w:numFmt w:val="lowerRoman"/>
      <w:lvlText w:val="%9."/>
      <w:lvlJc w:val="right"/>
      <w:pPr>
        <w:ind w:left="4572" w:hanging="480"/>
      </w:pPr>
    </w:lvl>
  </w:abstractNum>
  <w:num w:numId="1">
    <w:abstractNumId w:val="76"/>
  </w:num>
  <w:num w:numId="2">
    <w:abstractNumId w:val="57"/>
  </w:num>
  <w:num w:numId="3">
    <w:abstractNumId w:val="58"/>
  </w:num>
  <w:num w:numId="4">
    <w:abstractNumId w:val="76"/>
    <w:lvlOverride w:ilvl="0">
      <w:startOverride w:val="1"/>
    </w:lvlOverride>
  </w:num>
  <w:num w:numId="5">
    <w:abstractNumId w:val="58"/>
  </w:num>
  <w:num w:numId="6">
    <w:abstractNumId w:val="48"/>
  </w:num>
  <w:num w:numId="7">
    <w:abstractNumId w:val="38"/>
  </w:num>
  <w:num w:numId="8">
    <w:abstractNumId w:val="58"/>
    <w:lvlOverride w:ilvl="0">
      <w:startOverride w:val="1"/>
    </w:lvlOverride>
  </w:num>
  <w:num w:numId="9">
    <w:abstractNumId w:val="76"/>
    <w:lvlOverride w:ilvl="0">
      <w:startOverride w:val="1"/>
    </w:lvlOverride>
  </w:num>
  <w:num w:numId="10">
    <w:abstractNumId w:val="58"/>
    <w:lvlOverride w:ilvl="0">
      <w:startOverride w:val="1"/>
    </w:lvlOverride>
  </w:num>
  <w:num w:numId="11">
    <w:abstractNumId w:val="58"/>
    <w:lvlOverride w:ilvl="0">
      <w:startOverride w:val="1"/>
    </w:lvlOverride>
  </w:num>
  <w:num w:numId="12">
    <w:abstractNumId w:val="76"/>
    <w:lvlOverride w:ilvl="0">
      <w:startOverride w:val="1"/>
    </w:lvlOverride>
  </w:num>
  <w:num w:numId="13">
    <w:abstractNumId w:val="58"/>
    <w:lvlOverride w:ilvl="0">
      <w:startOverride w:val="1"/>
    </w:lvlOverride>
  </w:num>
  <w:num w:numId="14">
    <w:abstractNumId w:val="58"/>
    <w:lvlOverride w:ilvl="0">
      <w:startOverride w:val="1"/>
    </w:lvlOverride>
  </w:num>
  <w:num w:numId="15">
    <w:abstractNumId w:val="87"/>
  </w:num>
  <w:num w:numId="16">
    <w:abstractNumId w:val="76"/>
    <w:lvlOverride w:ilvl="0">
      <w:startOverride w:val="1"/>
    </w:lvlOverride>
  </w:num>
  <w:num w:numId="17">
    <w:abstractNumId w:val="58"/>
    <w:lvlOverride w:ilvl="0">
      <w:startOverride w:val="1"/>
    </w:lvlOverride>
  </w:num>
  <w:num w:numId="18">
    <w:abstractNumId w:val="4"/>
  </w:num>
  <w:num w:numId="19">
    <w:abstractNumId w:val="36"/>
  </w:num>
  <w:num w:numId="20">
    <w:abstractNumId w:val="58"/>
    <w:lvlOverride w:ilvl="0">
      <w:startOverride w:val="1"/>
    </w:lvlOverride>
  </w:num>
  <w:num w:numId="21">
    <w:abstractNumId w:val="76"/>
    <w:lvlOverride w:ilvl="0">
      <w:startOverride w:val="1"/>
    </w:lvlOverride>
  </w:num>
  <w:num w:numId="22">
    <w:abstractNumId w:val="58"/>
    <w:lvlOverride w:ilvl="0">
      <w:startOverride w:val="1"/>
    </w:lvlOverride>
  </w:num>
  <w:num w:numId="23">
    <w:abstractNumId w:val="58"/>
    <w:lvlOverride w:ilvl="0">
      <w:startOverride w:val="1"/>
    </w:lvlOverride>
  </w:num>
  <w:num w:numId="24">
    <w:abstractNumId w:val="69"/>
  </w:num>
  <w:num w:numId="25">
    <w:abstractNumId w:val="90"/>
  </w:num>
  <w:num w:numId="26">
    <w:abstractNumId w:val="61"/>
  </w:num>
  <w:num w:numId="27">
    <w:abstractNumId w:val="29"/>
  </w:num>
  <w:num w:numId="28">
    <w:abstractNumId w:val="22"/>
  </w:num>
  <w:num w:numId="29">
    <w:abstractNumId w:val="45"/>
  </w:num>
  <w:num w:numId="30">
    <w:abstractNumId w:val="81"/>
  </w:num>
  <w:num w:numId="31">
    <w:abstractNumId w:val="45"/>
    <w:lvlOverride w:ilvl="0">
      <w:startOverride w:val="1"/>
    </w:lvlOverride>
  </w:num>
  <w:num w:numId="32">
    <w:abstractNumId w:val="75"/>
  </w:num>
  <w:num w:numId="33">
    <w:abstractNumId w:val="83"/>
  </w:num>
  <w:num w:numId="34">
    <w:abstractNumId w:val="47"/>
  </w:num>
  <w:num w:numId="35">
    <w:abstractNumId w:val="76"/>
    <w:lvlOverride w:ilvl="0">
      <w:startOverride w:val="1"/>
    </w:lvlOverride>
  </w:num>
  <w:num w:numId="36">
    <w:abstractNumId w:val="76"/>
    <w:lvlOverride w:ilvl="0">
      <w:startOverride w:val="1"/>
    </w:lvlOverride>
  </w:num>
  <w:num w:numId="37">
    <w:abstractNumId w:val="26"/>
  </w:num>
  <w:num w:numId="38">
    <w:abstractNumId w:val="40"/>
  </w:num>
  <w:num w:numId="39">
    <w:abstractNumId w:val="76"/>
    <w:lvlOverride w:ilvl="0">
      <w:startOverride w:val="1"/>
    </w:lvlOverride>
  </w:num>
  <w:num w:numId="40">
    <w:abstractNumId w:val="58"/>
    <w:lvlOverride w:ilvl="0">
      <w:startOverride w:val="1"/>
    </w:lvlOverride>
  </w:num>
  <w:num w:numId="41">
    <w:abstractNumId w:val="58"/>
  </w:num>
  <w:num w:numId="42">
    <w:abstractNumId w:val="58"/>
    <w:lvlOverride w:ilvl="0">
      <w:startOverride w:val="1"/>
    </w:lvlOverride>
  </w:num>
  <w:num w:numId="43">
    <w:abstractNumId w:val="56"/>
  </w:num>
  <w:num w:numId="44">
    <w:abstractNumId w:val="2"/>
  </w:num>
  <w:num w:numId="45">
    <w:abstractNumId w:val="76"/>
    <w:lvlOverride w:ilvl="0">
      <w:startOverride w:val="1"/>
    </w:lvlOverride>
  </w:num>
  <w:num w:numId="46">
    <w:abstractNumId w:val="58"/>
    <w:lvlOverride w:ilvl="0">
      <w:startOverride w:val="1"/>
    </w:lvlOverride>
  </w:num>
  <w:num w:numId="47">
    <w:abstractNumId w:val="58"/>
    <w:lvlOverride w:ilvl="0">
      <w:startOverride w:val="1"/>
    </w:lvlOverride>
  </w:num>
  <w:num w:numId="48">
    <w:abstractNumId w:val="8"/>
  </w:num>
  <w:num w:numId="49">
    <w:abstractNumId w:val="85"/>
  </w:num>
  <w:num w:numId="50">
    <w:abstractNumId w:val="76"/>
    <w:lvlOverride w:ilvl="0">
      <w:startOverride w:val="1"/>
    </w:lvlOverride>
  </w:num>
  <w:num w:numId="51">
    <w:abstractNumId w:val="58"/>
    <w:lvlOverride w:ilvl="0">
      <w:startOverride w:val="1"/>
    </w:lvlOverride>
  </w:num>
  <w:num w:numId="52">
    <w:abstractNumId w:val="58"/>
    <w:lvlOverride w:ilvl="0">
      <w:startOverride w:val="1"/>
    </w:lvlOverride>
  </w:num>
  <w:num w:numId="53">
    <w:abstractNumId w:val="54"/>
  </w:num>
  <w:num w:numId="54">
    <w:abstractNumId w:val="44"/>
  </w:num>
  <w:num w:numId="55">
    <w:abstractNumId w:val="71"/>
  </w:num>
  <w:num w:numId="56">
    <w:abstractNumId w:val="1"/>
  </w:num>
  <w:num w:numId="57">
    <w:abstractNumId w:val="30"/>
  </w:num>
  <w:num w:numId="58">
    <w:abstractNumId w:val="76"/>
    <w:lvlOverride w:ilvl="0">
      <w:startOverride w:val="1"/>
    </w:lvlOverride>
  </w:num>
  <w:num w:numId="59">
    <w:abstractNumId w:val="58"/>
    <w:lvlOverride w:ilvl="0">
      <w:startOverride w:val="1"/>
    </w:lvlOverride>
  </w:num>
  <w:num w:numId="60">
    <w:abstractNumId w:val="58"/>
    <w:lvlOverride w:ilvl="0">
      <w:startOverride w:val="1"/>
    </w:lvlOverride>
  </w:num>
  <w:num w:numId="61">
    <w:abstractNumId w:val="76"/>
    <w:lvlOverride w:ilvl="0">
      <w:startOverride w:val="1"/>
    </w:lvlOverride>
  </w:num>
  <w:num w:numId="62">
    <w:abstractNumId w:val="58"/>
    <w:lvlOverride w:ilvl="0">
      <w:startOverride w:val="1"/>
    </w:lvlOverride>
  </w:num>
  <w:num w:numId="63">
    <w:abstractNumId w:val="58"/>
    <w:lvlOverride w:ilvl="0">
      <w:startOverride w:val="1"/>
    </w:lvlOverride>
  </w:num>
  <w:num w:numId="64">
    <w:abstractNumId w:val="76"/>
    <w:lvlOverride w:ilvl="0">
      <w:startOverride w:val="1"/>
    </w:lvlOverride>
  </w:num>
  <w:num w:numId="65">
    <w:abstractNumId w:val="58"/>
    <w:lvlOverride w:ilvl="0">
      <w:startOverride w:val="1"/>
    </w:lvlOverride>
  </w:num>
  <w:num w:numId="66">
    <w:abstractNumId w:val="58"/>
    <w:lvlOverride w:ilvl="0">
      <w:startOverride w:val="1"/>
    </w:lvlOverride>
  </w:num>
  <w:num w:numId="67">
    <w:abstractNumId w:val="5"/>
  </w:num>
  <w:num w:numId="68">
    <w:abstractNumId w:val="76"/>
    <w:lvlOverride w:ilvl="0">
      <w:startOverride w:val="1"/>
    </w:lvlOverride>
  </w:num>
  <w:num w:numId="69">
    <w:abstractNumId w:val="58"/>
    <w:lvlOverride w:ilvl="0">
      <w:startOverride w:val="1"/>
    </w:lvlOverride>
  </w:num>
  <w:num w:numId="70">
    <w:abstractNumId w:val="58"/>
    <w:lvlOverride w:ilvl="0">
      <w:startOverride w:val="1"/>
    </w:lvlOverride>
  </w:num>
  <w:num w:numId="71">
    <w:abstractNumId w:val="76"/>
    <w:lvlOverride w:ilvl="0">
      <w:startOverride w:val="1"/>
    </w:lvlOverride>
  </w:num>
  <w:num w:numId="72">
    <w:abstractNumId w:val="58"/>
    <w:lvlOverride w:ilvl="0">
      <w:startOverride w:val="1"/>
    </w:lvlOverride>
  </w:num>
  <w:num w:numId="73">
    <w:abstractNumId w:val="86"/>
  </w:num>
  <w:num w:numId="74">
    <w:abstractNumId w:val="97"/>
  </w:num>
  <w:num w:numId="75">
    <w:abstractNumId w:val="39"/>
  </w:num>
  <w:num w:numId="76">
    <w:abstractNumId w:val="9"/>
  </w:num>
  <w:num w:numId="77">
    <w:abstractNumId w:val="17"/>
  </w:num>
  <w:num w:numId="78">
    <w:abstractNumId w:val="66"/>
  </w:num>
  <w:num w:numId="79">
    <w:abstractNumId w:val="64"/>
  </w:num>
  <w:num w:numId="80">
    <w:abstractNumId w:val="76"/>
    <w:lvlOverride w:ilvl="0">
      <w:startOverride w:val="1"/>
    </w:lvlOverride>
  </w:num>
  <w:num w:numId="81">
    <w:abstractNumId w:val="58"/>
  </w:num>
  <w:num w:numId="82">
    <w:abstractNumId w:val="58"/>
    <w:lvlOverride w:ilvl="0">
      <w:startOverride w:val="1"/>
    </w:lvlOverride>
  </w:num>
  <w:num w:numId="83">
    <w:abstractNumId w:val="58"/>
    <w:lvlOverride w:ilvl="0">
      <w:startOverride w:val="1"/>
    </w:lvlOverride>
  </w:num>
  <w:num w:numId="84">
    <w:abstractNumId w:val="72"/>
  </w:num>
  <w:num w:numId="85">
    <w:abstractNumId w:val="76"/>
    <w:lvlOverride w:ilvl="0">
      <w:startOverride w:val="1"/>
    </w:lvlOverride>
  </w:num>
  <w:num w:numId="86">
    <w:abstractNumId w:val="58"/>
    <w:lvlOverride w:ilvl="0">
      <w:startOverride w:val="1"/>
    </w:lvlOverride>
  </w:num>
  <w:num w:numId="87">
    <w:abstractNumId w:val="58"/>
    <w:lvlOverride w:ilvl="0">
      <w:startOverride w:val="1"/>
    </w:lvlOverride>
  </w:num>
  <w:num w:numId="88">
    <w:abstractNumId w:val="19"/>
  </w:num>
  <w:num w:numId="89">
    <w:abstractNumId w:val="68"/>
  </w:num>
  <w:num w:numId="90">
    <w:abstractNumId w:val="76"/>
    <w:lvlOverride w:ilvl="0">
      <w:startOverride w:val="1"/>
    </w:lvlOverride>
  </w:num>
  <w:num w:numId="91">
    <w:abstractNumId w:val="58"/>
    <w:lvlOverride w:ilvl="0">
      <w:startOverride w:val="1"/>
    </w:lvlOverride>
  </w:num>
  <w:num w:numId="92">
    <w:abstractNumId w:val="55"/>
  </w:num>
  <w:num w:numId="93">
    <w:abstractNumId w:val="58"/>
    <w:lvlOverride w:ilvl="0">
      <w:startOverride w:val="1"/>
    </w:lvlOverride>
  </w:num>
  <w:num w:numId="94">
    <w:abstractNumId w:val="35"/>
  </w:num>
  <w:num w:numId="95">
    <w:abstractNumId w:val="76"/>
    <w:lvlOverride w:ilvl="0">
      <w:startOverride w:val="1"/>
    </w:lvlOverride>
  </w:num>
  <w:num w:numId="96">
    <w:abstractNumId w:val="58"/>
    <w:lvlOverride w:ilvl="0">
      <w:startOverride w:val="1"/>
    </w:lvlOverride>
  </w:num>
  <w:num w:numId="97">
    <w:abstractNumId w:val="58"/>
    <w:lvlOverride w:ilvl="0">
      <w:startOverride w:val="1"/>
    </w:lvlOverride>
  </w:num>
  <w:num w:numId="98">
    <w:abstractNumId w:val="10"/>
  </w:num>
  <w:num w:numId="99">
    <w:abstractNumId w:val="73"/>
  </w:num>
  <w:num w:numId="100">
    <w:abstractNumId w:val="58"/>
    <w:lvlOverride w:ilvl="0">
      <w:startOverride w:val="1"/>
    </w:lvlOverride>
  </w:num>
  <w:num w:numId="101">
    <w:abstractNumId w:val="32"/>
  </w:num>
  <w:num w:numId="102">
    <w:abstractNumId w:val="27"/>
  </w:num>
  <w:num w:numId="103">
    <w:abstractNumId w:val="76"/>
    <w:lvlOverride w:ilvl="0">
      <w:startOverride w:val="1"/>
    </w:lvlOverride>
  </w:num>
  <w:num w:numId="104">
    <w:abstractNumId w:val="58"/>
    <w:lvlOverride w:ilvl="0">
      <w:startOverride w:val="1"/>
    </w:lvlOverride>
  </w:num>
  <w:num w:numId="105">
    <w:abstractNumId w:val="58"/>
    <w:lvlOverride w:ilvl="0">
      <w:startOverride w:val="1"/>
    </w:lvlOverride>
  </w:num>
  <w:num w:numId="106">
    <w:abstractNumId w:val="52"/>
  </w:num>
  <w:num w:numId="107">
    <w:abstractNumId w:val="7"/>
  </w:num>
  <w:num w:numId="108">
    <w:abstractNumId w:val="76"/>
    <w:lvlOverride w:ilvl="0">
      <w:startOverride w:val="1"/>
    </w:lvlOverride>
  </w:num>
  <w:num w:numId="109">
    <w:abstractNumId w:val="76"/>
    <w:lvlOverride w:ilvl="0">
      <w:startOverride w:val="1"/>
    </w:lvlOverride>
  </w:num>
  <w:num w:numId="110">
    <w:abstractNumId w:val="58"/>
    <w:lvlOverride w:ilvl="0">
      <w:startOverride w:val="1"/>
    </w:lvlOverride>
  </w:num>
  <w:num w:numId="111">
    <w:abstractNumId w:val="58"/>
    <w:lvlOverride w:ilvl="0">
      <w:startOverride w:val="1"/>
    </w:lvlOverride>
  </w:num>
  <w:num w:numId="112">
    <w:abstractNumId w:val="25"/>
  </w:num>
  <w:num w:numId="113">
    <w:abstractNumId w:val="76"/>
    <w:lvlOverride w:ilvl="0">
      <w:startOverride w:val="1"/>
    </w:lvlOverride>
  </w:num>
  <w:num w:numId="114">
    <w:abstractNumId w:val="58"/>
    <w:lvlOverride w:ilvl="0">
      <w:startOverride w:val="1"/>
    </w:lvlOverride>
  </w:num>
  <w:num w:numId="115">
    <w:abstractNumId w:val="58"/>
    <w:lvlOverride w:ilvl="0">
      <w:startOverride w:val="1"/>
    </w:lvlOverride>
  </w:num>
  <w:num w:numId="116">
    <w:abstractNumId w:val="63"/>
  </w:num>
  <w:num w:numId="117">
    <w:abstractNumId w:val="80"/>
  </w:num>
  <w:num w:numId="118">
    <w:abstractNumId w:val="89"/>
  </w:num>
  <w:num w:numId="119">
    <w:abstractNumId w:val="76"/>
    <w:lvlOverride w:ilvl="0">
      <w:startOverride w:val="1"/>
    </w:lvlOverride>
  </w:num>
  <w:num w:numId="120">
    <w:abstractNumId w:val="58"/>
    <w:lvlOverride w:ilvl="0">
      <w:startOverride w:val="1"/>
    </w:lvlOverride>
  </w:num>
  <w:num w:numId="121">
    <w:abstractNumId w:val="58"/>
    <w:lvlOverride w:ilvl="0">
      <w:startOverride w:val="1"/>
    </w:lvlOverride>
  </w:num>
  <w:num w:numId="122">
    <w:abstractNumId w:val="102"/>
  </w:num>
  <w:num w:numId="123">
    <w:abstractNumId w:val="18"/>
  </w:num>
  <w:num w:numId="124">
    <w:abstractNumId w:val="46"/>
  </w:num>
  <w:num w:numId="125">
    <w:abstractNumId w:val="23"/>
  </w:num>
  <w:num w:numId="126">
    <w:abstractNumId w:val="51"/>
  </w:num>
  <w:num w:numId="127">
    <w:abstractNumId w:val="76"/>
    <w:lvlOverride w:ilvl="0">
      <w:startOverride w:val="1"/>
    </w:lvlOverride>
  </w:num>
  <w:num w:numId="128">
    <w:abstractNumId w:val="94"/>
  </w:num>
  <w:num w:numId="129">
    <w:abstractNumId w:val="49"/>
  </w:num>
  <w:num w:numId="130">
    <w:abstractNumId w:val="77"/>
  </w:num>
  <w:num w:numId="131">
    <w:abstractNumId w:val="70"/>
  </w:num>
  <w:num w:numId="132">
    <w:abstractNumId w:val="98"/>
  </w:num>
  <w:num w:numId="133">
    <w:abstractNumId w:val="101"/>
  </w:num>
  <w:num w:numId="134">
    <w:abstractNumId w:val="76"/>
    <w:lvlOverride w:ilvl="0">
      <w:startOverride w:val="1"/>
    </w:lvlOverride>
  </w:num>
  <w:num w:numId="135">
    <w:abstractNumId w:val="59"/>
  </w:num>
  <w:num w:numId="136">
    <w:abstractNumId w:val="82"/>
  </w:num>
  <w:num w:numId="137">
    <w:abstractNumId w:val="76"/>
    <w:lvlOverride w:ilvl="0">
      <w:startOverride w:val="1"/>
    </w:lvlOverride>
  </w:num>
  <w:num w:numId="138">
    <w:abstractNumId w:val="58"/>
    <w:lvlOverride w:ilvl="0">
      <w:startOverride w:val="1"/>
    </w:lvlOverride>
  </w:num>
  <w:num w:numId="139">
    <w:abstractNumId w:val="58"/>
    <w:lvlOverride w:ilvl="0">
      <w:startOverride w:val="1"/>
    </w:lvlOverride>
  </w:num>
  <w:num w:numId="140">
    <w:abstractNumId w:val="96"/>
  </w:num>
  <w:num w:numId="141">
    <w:abstractNumId w:val="6"/>
  </w:num>
  <w:num w:numId="142">
    <w:abstractNumId w:val="74"/>
  </w:num>
  <w:num w:numId="143">
    <w:abstractNumId w:val="76"/>
    <w:lvlOverride w:ilvl="0">
      <w:startOverride w:val="1"/>
    </w:lvlOverride>
  </w:num>
  <w:num w:numId="144">
    <w:abstractNumId w:val="58"/>
    <w:lvlOverride w:ilvl="0">
      <w:startOverride w:val="1"/>
    </w:lvlOverride>
  </w:num>
  <w:num w:numId="145">
    <w:abstractNumId w:val="58"/>
    <w:lvlOverride w:ilvl="0">
      <w:startOverride w:val="1"/>
    </w:lvlOverride>
  </w:num>
  <w:num w:numId="146">
    <w:abstractNumId w:val="31"/>
  </w:num>
  <w:num w:numId="147">
    <w:abstractNumId w:val="65"/>
  </w:num>
  <w:num w:numId="148">
    <w:abstractNumId w:val="76"/>
    <w:lvlOverride w:ilvl="0">
      <w:startOverride w:val="1"/>
    </w:lvlOverride>
  </w:num>
  <w:num w:numId="149">
    <w:abstractNumId w:val="58"/>
    <w:lvlOverride w:ilvl="0">
      <w:startOverride w:val="1"/>
    </w:lvlOverride>
  </w:num>
  <w:num w:numId="150">
    <w:abstractNumId w:val="58"/>
    <w:lvlOverride w:ilvl="0">
      <w:startOverride w:val="1"/>
    </w:lvlOverride>
  </w:num>
  <w:num w:numId="151">
    <w:abstractNumId w:val="11"/>
  </w:num>
  <w:num w:numId="152">
    <w:abstractNumId w:val="76"/>
    <w:lvlOverride w:ilvl="0">
      <w:startOverride w:val="1"/>
    </w:lvlOverride>
  </w:num>
  <w:num w:numId="153">
    <w:abstractNumId w:val="92"/>
  </w:num>
  <w:num w:numId="154">
    <w:abstractNumId w:val="100"/>
  </w:num>
  <w:num w:numId="155">
    <w:abstractNumId w:val="58"/>
    <w:lvlOverride w:ilvl="0">
      <w:startOverride w:val="1"/>
    </w:lvlOverride>
  </w:num>
  <w:num w:numId="156">
    <w:abstractNumId w:val="67"/>
  </w:num>
  <w:num w:numId="157">
    <w:abstractNumId w:val="24"/>
  </w:num>
  <w:num w:numId="158">
    <w:abstractNumId w:val="58"/>
    <w:lvlOverride w:ilvl="0">
      <w:startOverride w:val="1"/>
    </w:lvlOverride>
  </w:num>
  <w:num w:numId="159">
    <w:abstractNumId w:val="43"/>
  </w:num>
  <w:num w:numId="160">
    <w:abstractNumId w:val="99"/>
  </w:num>
  <w:num w:numId="161">
    <w:abstractNumId w:val="76"/>
    <w:lvlOverride w:ilvl="0">
      <w:startOverride w:val="1"/>
    </w:lvlOverride>
  </w:num>
  <w:num w:numId="162">
    <w:abstractNumId w:val="58"/>
    <w:lvlOverride w:ilvl="0">
      <w:startOverride w:val="1"/>
    </w:lvlOverride>
  </w:num>
  <w:num w:numId="163">
    <w:abstractNumId w:val="58"/>
    <w:lvlOverride w:ilvl="0">
      <w:startOverride w:val="1"/>
    </w:lvlOverride>
  </w:num>
  <w:num w:numId="164">
    <w:abstractNumId w:val="15"/>
  </w:num>
  <w:num w:numId="165">
    <w:abstractNumId w:val="103"/>
  </w:num>
  <w:num w:numId="166">
    <w:abstractNumId w:val="88"/>
  </w:num>
  <w:num w:numId="167">
    <w:abstractNumId w:val="50"/>
  </w:num>
  <w:num w:numId="168">
    <w:abstractNumId w:val="76"/>
    <w:lvlOverride w:ilvl="0">
      <w:startOverride w:val="1"/>
    </w:lvlOverride>
  </w:num>
  <w:num w:numId="169">
    <w:abstractNumId w:val="58"/>
    <w:lvlOverride w:ilvl="0">
      <w:startOverride w:val="1"/>
    </w:lvlOverride>
  </w:num>
  <w:num w:numId="170">
    <w:abstractNumId w:val="58"/>
    <w:lvlOverride w:ilvl="0">
      <w:startOverride w:val="1"/>
    </w:lvlOverride>
  </w:num>
  <w:num w:numId="171">
    <w:abstractNumId w:val="78"/>
  </w:num>
  <w:num w:numId="172">
    <w:abstractNumId w:val="42"/>
  </w:num>
  <w:num w:numId="173">
    <w:abstractNumId w:val="76"/>
    <w:lvlOverride w:ilvl="0">
      <w:startOverride w:val="1"/>
    </w:lvlOverride>
  </w:num>
  <w:num w:numId="174">
    <w:abstractNumId w:val="58"/>
    <w:lvlOverride w:ilvl="0">
      <w:startOverride w:val="1"/>
    </w:lvlOverride>
  </w:num>
  <w:num w:numId="175">
    <w:abstractNumId w:val="58"/>
    <w:lvlOverride w:ilvl="0">
      <w:startOverride w:val="1"/>
    </w:lvlOverride>
  </w:num>
  <w:num w:numId="176">
    <w:abstractNumId w:val="79"/>
  </w:num>
  <w:num w:numId="177">
    <w:abstractNumId w:val="28"/>
  </w:num>
  <w:num w:numId="178">
    <w:abstractNumId w:val="76"/>
    <w:lvlOverride w:ilvl="0">
      <w:startOverride w:val="1"/>
    </w:lvlOverride>
  </w:num>
  <w:num w:numId="179">
    <w:abstractNumId w:val="58"/>
    <w:lvlOverride w:ilvl="0">
      <w:startOverride w:val="1"/>
    </w:lvlOverride>
  </w:num>
  <w:num w:numId="180">
    <w:abstractNumId w:val="0"/>
  </w:num>
  <w:num w:numId="181">
    <w:abstractNumId w:val="58"/>
    <w:lvlOverride w:ilvl="0">
      <w:startOverride w:val="1"/>
    </w:lvlOverride>
  </w:num>
  <w:num w:numId="182">
    <w:abstractNumId w:val="60"/>
  </w:num>
  <w:num w:numId="183">
    <w:abstractNumId w:val="91"/>
  </w:num>
  <w:num w:numId="184">
    <w:abstractNumId w:val="16"/>
  </w:num>
  <w:num w:numId="185">
    <w:abstractNumId w:val="33"/>
  </w:num>
  <w:num w:numId="186">
    <w:abstractNumId w:val="13"/>
  </w:num>
  <w:num w:numId="187">
    <w:abstractNumId w:val="21"/>
  </w:num>
  <w:num w:numId="188">
    <w:abstractNumId w:val="76"/>
    <w:lvlOverride w:ilvl="0">
      <w:startOverride w:val="1"/>
    </w:lvlOverride>
  </w:num>
  <w:num w:numId="189">
    <w:abstractNumId w:val="58"/>
    <w:lvlOverride w:ilvl="0">
      <w:startOverride w:val="1"/>
    </w:lvlOverride>
  </w:num>
  <w:num w:numId="190">
    <w:abstractNumId w:val="41"/>
  </w:num>
  <w:num w:numId="191">
    <w:abstractNumId w:val="58"/>
    <w:lvlOverride w:ilvl="0">
      <w:startOverride w:val="1"/>
    </w:lvlOverride>
  </w:num>
  <w:num w:numId="192">
    <w:abstractNumId w:val="62"/>
  </w:num>
  <w:num w:numId="193">
    <w:abstractNumId w:val="76"/>
    <w:lvlOverride w:ilvl="0">
      <w:startOverride w:val="1"/>
    </w:lvlOverride>
  </w:num>
  <w:num w:numId="194">
    <w:abstractNumId w:val="58"/>
    <w:lvlOverride w:ilvl="0">
      <w:startOverride w:val="1"/>
    </w:lvlOverride>
  </w:num>
  <w:num w:numId="195">
    <w:abstractNumId w:val="58"/>
    <w:lvlOverride w:ilvl="0">
      <w:startOverride w:val="1"/>
    </w:lvlOverride>
  </w:num>
  <w:num w:numId="196">
    <w:abstractNumId w:val="14"/>
  </w:num>
  <w:num w:numId="197">
    <w:abstractNumId w:val="37"/>
  </w:num>
  <w:num w:numId="198">
    <w:abstractNumId w:val="12"/>
  </w:num>
  <w:num w:numId="199">
    <w:abstractNumId w:val="76"/>
    <w:lvlOverride w:ilvl="0">
      <w:startOverride w:val="1"/>
    </w:lvlOverride>
  </w:num>
  <w:num w:numId="200">
    <w:abstractNumId w:val="58"/>
    <w:lvlOverride w:ilvl="0">
      <w:startOverride w:val="1"/>
    </w:lvlOverride>
  </w:num>
  <w:num w:numId="201">
    <w:abstractNumId w:val="20"/>
  </w:num>
  <w:num w:numId="202">
    <w:abstractNumId w:val="76"/>
    <w:lvlOverride w:ilvl="0">
      <w:startOverride w:val="1"/>
    </w:lvlOverride>
  </w:num>
  <w:num w:numId="203">
    <w:abstractNumId w:val="58"/>
    <w:lvlOverride w:ilvl="0">
      <w:startOverride w:val="1"/>
    </w:lvlOverride>
  </w:num>
  <w:num w:numId="204">
    <w:abstractNumId w:val="58"/>
    <w:lvlOverride w:ilvl="0">
      <w:startOverride w:val="1"/>
    </w:lvlOverride>
  </w:num>
  <w:num w:numId="205">
    <w:abstractNumId w:val="53"/>
  </w:num>
  <w:num w:numId="206">
    <w:abstractNumId w:val="34"/>
  </w:num>
  <w:num w:numId="207">
    <w:abstractNumId w:val="76"/>
    <w:lvlOverride w:ilvl="0">
      <w:startOverride w:val="1"/>
    </w:lvlOverride>
  </w:num>
  <w:num w:numId="208">
    <w:abstractNumId w:val="93"/>
  </w:num>
  <w:num w:numId="209">
    <w:abstractNumId w:val="58"/>
    <w:lvlOverride w:ilvl="0">
      <w:startOverride w:val="1"/>
    </w:lvlOverride>
  </w:num>
  <w:num w:numId="210">
    <w:abstractNumId w:val="58"/>
    <w:lvlOverride w:ilvl="0">
      <w:startOverride w:val="1"/>
    </w:lvlOverride>
  </w:num>
  <w:num w:numId="211">
    <w:abstractNumId w:val="58"/>
    <w:lvlOverride w:ilvl="0">
      <w:startOverride w:val="1"/>
    </w:lvlOverride>
  </w:num>
  <w:num w:numId="212">
    <w:abstractNumId w:val="58"/>
    <w:lvlOverride w:ilvl="0">
      <w:startOverride w:val="1"/>
    </w:lvlOverride>
  </w:num>
  <w:num w:numId="213">
    <w:abstractNumId w:val="3"/>
  </w:num>
  <w:num w:numId="214">
    <w:abstractNumId w:val="58"/>
  </w:num>
  <w:num w:numId="215">
    <w:abstractNumId w:val="58"/>
  </w:num>
  <w:num w:numId="216">
    <w:abstractNumId w:val="95"/>
  </w:num>
  <w:num w:numId="217">
    <w:abstractNumId w:val="84"/>
  </w:num>
  <w:num w:numId="218">
    <w:abstractNumId w:val="58"/>
  </w:num>
  <w:numIdMacAtCleanup w:val="2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numRestart w:val="eachSect"/>
    <w:footnote w:id="-1"/>
    <w:footnote w:id="0"/>
  </w:footnotePr>
  <w:endnotePr>
    <w:pos w:val="sectEnd"/>
    <w:numFmt w:val="decimal"/>
    <w:numRestart w:val="eachSect"/>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3CC5"/>
    <w:rsid w:val="0002133D"/>
    <w:rsid w:val="0002754F"/>
    <w:rsid w:val="000355EA"/>
    <w:rsid w:val="0004190A"/>
    <w:rsid w:val="00041AD0"/>
    <w:rsid w:val="000424AB"/>
    <w:rsid w:val="00043D86"/>
    <w:rsid w:val="00050FC6"/>
    <w:rsid w:val="0005228D"/>
    <w:rsid w:val="00071D23"/>
    <w:rsid w:val="000758EF"/>
    <w:rsid w:val="0008024A"/>
    <w:rsid w:val="00090AC1"/>
    <w:rsid w:val="000A1487"/>
    <w:rsid w:val="000A3BB5"/>
    <w:rsid w:val="000A42ED"/>
    <w:rsid w:val="000C010C"/>
    <w:rsid w:val="000E5835"/>
    <w:rsid w:val="000F5857"/>
    <w:rsid w:val="00105B7E"/>
    <w:rsid w:val="001119B3"/>
    <w:rsid w:val="00113829"/>
    <w:rsid w:val="001169AF"/>
    <w:rsid w:val="001210CF"/>
    <w:rsid w:val="001325B7"/>
    <w:rsid w:val="00135B1F"/>
    <w:rsid w:val="00135FC9"/>
    <w:rsid w:val="00137C2B"/>
    <w:rsid w:val="00147718"/>
    <w:rsid w:val="001526CB"/>
    <w:rsid w:val="00157719"/>
    <w:rsid w:val="001621B4"/>
    <w:rsid w:val="00165E59"/>
    <w:rsid w:val="00170406"/>
    <w:rsid w:val="00181610"/>
    <w:rsid w:val="001933B8"/>
    <w:rsid w:val="001A0DC9"/>
    <w:rsid w:val="001B3205"/>
    <w:rsid w:val="001C71D0"/>
    <w:rsid w:val="001C7738"/>
    <w:rsid w:val="001D05EF"/>
    <w:rsid w:val="001D05F5"/>
    <w:rsid w:val="001D282B"/>
    <w:rsid w:val="001D4791"/>
    <w:rsid w:val="001D727A"/>
    <w:rsid w:val="001E36B3"/>
    <w:rsid w:val="001F0830"/>
    <w:rsid w:val="001F304A"/>
    <w:rsid w:val="001F4DFB"/>
    <w:rsid w:val="001F74FF"/>
    <w:rsid w:val="0020521D"/>
    <w:rsid w:val="002100BC"/>
    <w:rsid w:val="00223C3C"/>
    <w:rsid w:val="00224EE6"/>
    <w:rsid w:val="00232275"/>
    <w:rsid w:val="00232F51"/>
    <w:rsid w:val="00254252"/>
    <w:rsid w:val="0026303D"/>
    <w:rsid w:val="0026568D"/>
    <w:rsid w:val="002657AF"/>
    <w:rsid w:val="00267C8E"/>
    <w:rsid w:val="002727A0"/>
    <w:rsid w:val="00272A21"/>
    <w:rsid w:val="00277EA6"/>
    <w:rsid w:val="00280DE5"/>
    <w:rsid w:val="00287BD3"/>
    <w:rsid w:val="002A5397"/>
    <w:rsid w:val="002B035C"/>
    <w:rsid w:val="002B54D2"/>
    <w:rsid w:val="002C321D"/>
    <w:rsid w:val="002C342A"/>
    <w:rsid w:val="002C7B3A"/>
    <w:rsid w:val="002E5541"/>
    <w:rsid w:val="002F2ABE"/>
    <w:rsid w:val="002F5341"/>
    <w:rsid w:val="003173A0"/>
    <w:rsid w:val="00324ACA"/>
    <w:rsid w:val="00325A58"/>
    <w:rsid w:val="00325E0E"/>
    <w:rsid w:val="0033442D"/>
    <w:rsid w:val="003365D8"/>
    <w:rsid w:val="00344CCB"/>
    <w:rsid w:val="003456FC"/>
    <w:rsid w:val="00352716"/>
    <w:rsid w:val="00364EBE"/>
    <w:rsid w:val="00371A18"/>
    <w:rsid w:val="00387E59"/>
    <w:rsid w:val="00396F84"/>
    <w:rsid w:val="003A0C3E"/>
    <w:rsid w:val="003A5F57"/>
    <w:rsid w:val="003A6027"/>
    <w:rsid w:val="003B01B4"/>
    <w:rsid w:val="003B0705"/>
    <w:rsid w:val="003B6411"/>
    <w:rsid w:val="003C639E"/>
    <w:rsid w:val="003D2018"/>
    <w:rsid w:val="003D3A6F"/>
    <w:rsid w:val="003F10B2"/>
    <w:rsid w:val="003F3C36"/>
    <w:rsid w:val="003F6633"/>
    <w:rsid w:val="00400B8A"/>
    <w:rsid w:val="00401AEA"/>
    <w:rsid w:val="004031B9"/>
    <w:rsid w:val="00404C58"/>
    <w:rsid w:val="004133A9"/>
    <w:rsid w:val="00417A24"/>
    <w:rsid w:val="0043045D"/>
    <w:rsid w:val="004525DF"/>
    <w:rsid w:val="00455274"/>
    <w:rsid w:val="0045795C"/>
    <w:rsid w:val="00464EA6"/>
    <w:rsid w:val="00465951"/>
    <w:rsid w:val="00472E4B"/>
    <w:rsid w:val="00473F9D"/>
    <w:rsid w:val="00482257"/>
    <w:rsid w:val="004861EE"/>
    <w:rsid w:val="00490C95"/>
    <w:rsid w:val="0049591D"/>
    <w:rsid w:val="004A0A2F"/>
    <w:rsid w:val="004D2A18"/>
    <w:rsid w:val="004D7FDA"/>
    <w:rsid w:val="004E57E5"/>
    <w:rsid w:val="004E6C55"/>
    <w:rsid w:val="004E7718"/>
    <w:rsid w:val="004F40F3"/>
    <w:rsid w:val="004F4F78"/>
    <w:rsid w:val="004F63BB"/>
    <w:rsid w:val="00500FF9"/>
    <w:rsid w:val="0050545F"/>
    <w:rsid w:val="00510C24"/>
    <w:rsid w:val="005125FC"/>
    <w:rsid w:val="00515078"/>
    <w:rsid w:val="00520508"/>
    <w:rsid w:val="005279DC"/>
    <w:rsid w:val="005429C7"/>
    <w:rsid w:val="00544DFC"/>
    <w:rsid w:val="005561CF"/>
    <w:rsid w:val="00564DBC"/>
    <w:rsid w:val="00565E47"/>
    <w:rsid w:val="00575A07"/>
    <w:rsid w:val="00583316"/>
    <w:rsid w:val="005863FB"/>
    <w:rsid w:val="0059076C"/>
    <w:rsid w:val="00593A34"/>
    <w:rsid w:val="005A0543"/>
    <w:rsid w:val="005A7971"/>
    <w:rsid w:val="005B03B4"/>
    <w:rsid w:val="005E2BD0"/>
    <w:rsid w:val="005E6708"/>
    <w:rsid w:val="005E758A"/>
    <w:rsid w:val="005F2967"/>
    <w:rsid w:val="00600FC0"/>
    <w:rsid w:val="00601F15"/>
    <w:rsid w:val="006075E6"/>
    <w:rsid w:val="00622C37"/>
    <w:rsid w:val="006237D2"/>
    <w:rsid w:val="00626943"/>
    <w:rsid w:val="00630834"/>
    <w:rsid w:val="00631420"/>
    <w:rsid w:val="00631895"/>
    <w:rsid w:val="00634124"/>
    <w:rsid w:val="00637DF5"/>
    <w:rsid w:val="006416DB"/>
    <w:rsid w:val="00644E03"/>
    <w:rsid w:val="00653CC5"/>
    <w:rsid w:val="0065794C"/>
    <w:rsid w:val="0066478F"/>
    <w:rsid w:val="00667873"/>
    <w:rsid w:val="00670F90"/>
    <w:rsid w:val="0067212E"/>
    <w:rsid w:val="00674714"/>
    <w:rsid w:val="00675E69"/>
    <w:rsid w:val="00680782"/>
    <w:rsid w:val="00687678"/>
    <w:rsid w:val="006907DE"/>
    <w:rsid w:val="00694671"/>
    <w:rsid w:val="006B062F"/>
    <w:rsid w:val="006B2344"/>
    <w:rsid w:val="006B621C"/>
    <w:rsid w:val="006C0A1F"/>
    <w:rsid w:val="006C3645"/>
    <w:rsid w:val="006D112B"/>
    <w:rsid w:val="006D30C7"/>
    <w:rsid w:val="006E2FD4"/>
    <w:rsid w:val="006E71C5"/>
    <w:rsid w:val="006F423A"/>
    <w:rsid w:val="007030EA"/>
    <w:rsid w:val="00710AD4"/>
    <w:rsid w:val="007119F4"/>
    <w:rsid w:val="00722331"/>
    <w:rsid w:val="00725277"/>
    <w:rsid w:val="00734BEB"/>
    <w:rsid w:val="00745DE3"/>
    <w:rsid w:val="00764009"/>
    <w:rsid w:val="00766B27"/>
    <w:rsid w:val="00766E30"/>
    <w:rsid w:val="00776DBF"/>
    <w:rsid w:val="0078523C"/>
    <w:rsid w:val="0078797F"/>
    <w:rsid w:val="007940DC"/>
    <w:rsid w:val="007B19B8"/>
    <w:rsid w:val="007C1E25"/>
    <w:rsid w:val="007F4700"/>
    <w:rsid w:val="008064A0"/>
    <w:rsid w:val="00812B73"/>
    <w:rsid w:val="00817C3B"/>
    <w:rsid w:val="00827532"/>
    <w:rsid w:val="0083162A"/>
    <w:rsid w:val="008435F4"/>
    <w:rsid w:val="00852F43"/>
    <w:rsid w:val="00853223"/>
    <w:rsid w:val="00853A5E"/>
    <w:rsid w:val="0085414F"/>
    <w:rsid w:val="00856BAE"/>
    <w:rsid w:val="00862789"/>
    <w:rsid w:val="00863B8F"/>
    <w:rsid w:val="00867BD7"/>
    <w:rsid w:val="0087049C"/>
    <w:rsid w:val="00886CFC"/>
    <w:rsid w:val="00890B63"/>
    <w:rsid w:val="00890E44"/>
    <w:rsid w:val="00894F72"/>
    <w:rsid w:val="008952F8"/>
    <w:rsid w:val="008A1D4B"/>
    <w:rsid w:val="008A44C5"/>
    <w:rsid w:val="008C3AAD"/>
    <w:rsid w:val="008C3C68"/>
    <w:rsid w:val="008D0C6C"/>
    <w:rsid w:val="008D5C1D"/>
    <w:rsid w:val="008E09DB"/>
    <w:rsid w:val="008E5EFD"/>
    <w:rsid w:val="008E6327"/>
    <w:rsid w:val="008F1CCA"/>
    <w:rsid w:val="008F2AC6"/>
    <w:rsid w:val="008F62FA"/>
    <w:rsid w:val="00904559"/>
    <w:rsid w:val="00905D07"/>
    <w:rsid w:val="00912B08"/>
    <w:rsid w:val="009133F8"/>
    <w:rsid w:val="0091622E"/>
    <w:rsid w:val="00921789"/>
    <w:rsid w:val="00931DDB"/>
    <w:rsid w:val="0094154F"/>
    <w:rsid w:val="00952099"/>
    <w:rsid w:val="009554E1"/>
    <w:rsid w:val="009574F1"/>
    <w:rsid w:val="0095798C"/>
    <w:rsid w:val="00961921"/>
    <w:rsid w:val="0096212B"/>
    <w:rsid w:val="00962663"/>
    <w:rsid w:val="0096381B"/>
    <w:rsid w:val="0096740A"/>
    <w:rsid w:val="009706AC"/>
    <w:rsid w:val="00980AF6"/>
    <w:rsid w:val="00985C6A"/>
    <w:rsid w:val="00986609"/>
    <w:rsid w:val="00990391"/>
    <w:rsid w:val="0099625B"/>
    <w:rsid w:val="009A07DD"/>
    <w:rsid w:val="009A210C"/>
    <w:rsid w:val="009B0E2D"/>
    <w:rsid w:val="009B4338"/>
    <w:rsid w:val="009C0DA2"/>
    <w:rsid w:val="009C67B7"/>
    <w:rsid w:val="009E2063"/>
    <w:rsid w:val="009E7D01"/>
    <w:rsid w:val="009F1623"/>
    <w:rsid w:val="009F66C9"/>
    <w:rsid w:val="00A0170F"/>
    <w:rsid w:val="00A10E32"/>
    <w:rsid w:val="00A24CD8"/>
    <w:rsid w:val="00A24E05"/>
    <w:rsid w:val="00A25E1F"/>
    <w:rsid w:val="00A26E4F"/>
    <w:rsid w:val="00A317B5"/>
    <w:rsid w:val="00A32E2B"/>
    <w:rsid w:val="00A37878"/>
    <w:rsid w:val="00A45C3E"/>
    <w:rsid w:val="00A627F9"/>
    <w:rsid w:val="00A74014"/>
    <w:rsid w:val="00AA098F"/>
    <w:rsid w:val="00AB0419"/>
    <w:rsid w:val="00AD091E"/>
    <w:rsid w:val="00AD262B"/>
    <w:rsid w:val="00AE0043"/>
    <w:rsid w:val="00AE74BA"/>
    <w:rsid w:val="00AE7555"/>
    <w:rsid w:val="00AF5A83"/>
    <w:rsid w:val="00AF6F8E"/>
    <w:rsid w:val="00B03419"/>
    <w:rsid w:val="00B1345D"/>
    <w:rsid w:val="00B14E03"/>
    <w:rsid w:val="00B1557F"/>
    <w:rsid w:val="00B2068C"/>
    <w:rsid w:val="00B223DF"/>
    <w:rsid w:val="00B2769C"/>
    <w:rsid w:val="00B60818"/>
    <w:rsid w:val="00B60B9B"/>
    <w:rsid w:val="00B652BB"/>
    <w:rsid w:val="00B75D56"/>
    <w:rsid w:val="00B76870"/>
    <w:rsid w:val="00B773C3"/>
    <w:rsid w:val="00B95E03"/>
    <w:rsid w:val="00BA2114"/>
    <w:rsid w:val="00BB5412"/>
    <w:rsid w:val="00BB6849"/>
    <w:rsid w:val="00BC2DC1"/>
    <w:rsid w:val="00BC6C34"/>
    <w:rsid w:val="00BE145E"/>
    <w:rsid w:val="00BF092E"/>
    <w:rsid w:val="00BF6AC9"/>
    <w:rsid w:val="00C0228D"/>
    <w:rsid w:val="00C04FE1"/>
    <w:rsid w:val="00C1049F"/>
    <w:rsid w:val="00C15A70"/>
    <w:rsid w:val="00C21A4D"/>
    <w:rsid w:val="00C23613"/>
    <w:rsid w:val="00C24FCE"/>
    <w:rsid w:val="00C351A4"/>
    <w:rsid w:val="00C4239B"/>
    <w:rsid w:val="00C45EA7"/>
    <w:rsid w:val="00C53CF4"/>
    <w:rsid w:val="00C62D54"/>
    <w:rsid w:val="00C661A1"/>
    <w:rsid w:val="00C74820"/>
    <w:rsid w:val="00C85D62"/>
    <w:rsid w:val="00C86E34"/>
    <w:rsid w:val="00C94F69"/>
    <w:rsid w:val="00CA06B1"/>
    <w:rsid w:val="00CB5CD0"/>
    <w:rsid w:val="00CC1907"/>
    <w:rsid w:val="00CC7F24"/>
    <w:rsid w:val="00CD07CF"/>
    <w:rsid w:val="00CD1A78"/>
    <w:rsid w:val="00CE2B9A"/>
    <w:rsid w:val="00CE2F3F"/>
    <w:rsid w:val="00CE6FC9"/>
    <w:rsid w:val="00CF084F"/>
    <w:rsid w:val="00CF3E39"/>
    <w:rsid w:val="00CF3FE0"/>
    <w:rsid w:val="00CF5D88"/>
    <w:rsid w:val="00CF6265"/>
    <w:rsid w:val="00D2135A"/>
    <w:rsid w:val="00D2555D"/>
    <w:rsid w:val="00D35A5E"/>
    <w:rsid w:val="00D50707"/>
    <w:rsid w:val="00D55B24"/>
    <w:rsid w:val="00D6584A"/>
    <w:rsid w:val="00D73A22"/>
    <w:rsid w:val="00D75392"/>
    <w:rsid w:val="00D779BE"/>
    <w:rsid w:val="00D83091"/>
    <w:rsid w:val="00D8670B"/>
    <w:rsid w:val="00D879B5"/>
    <w:rsid w:val="00D927BE"/>
    <w:rsid w:val="00DA394E"/>
    <w:rsid w:val="00DA5EA9"/>
    <w:rsid w:val="00DA6E21"/>
    <w:rsid w:val="00DB0C40"/>
    <w:rsid w:val="00DB7825"/>
    <w:rsid w:val="00DD1C85"/>
    <w:rsid w:val="00DE1BCB"/>
    <w:rsid w:val="00DE4E74"/>
    <w:rsid w:val="00DE5BF8"/>
    <w:rsid w:val="00DF363A"/>
    <w:rsid w:val="00E12C4A"/>
    <w:rsid w:val="00E176F8"/>
    <w:rsid w:val="00E2031C"/>
    <w:rsid w:val="00E23CBA"/>
    <w:rsid w:val="00E32123"/>
    <w:rsid w:val="00E3328E"/>
    <w:rsid w:val="00E431D9"/>
    <w:rsid w:val="00E442D4"/>
    <w:rsid w:val="00E5171E"/>
    <w:rsid w:val="00E577BC"/>
    <w:rsid w:val="00E6153E"/>
    <w:rsid w:val="00E635AC"/>
    <w:rsid w:val="00E76D06"/>
    <w:rsid w:val="00E776E9"/>
    <w:rsid w:val="00E81E68"/>
    <w:rsid w:val="00E856B6"/>
    <w:rsid w:val="00E9074A"/>
    <w:rsid w:val="00E9358F"/>
    <w:rsid w:val="00E95B0F"/>
    <w:rsid w:val="00EA2872"/>
    <w:rsid w:val="00EA4658"/>
    <w:rsid w:val="00EA4CCF"/>
    <w:rsid w:val="00EA57D7"/>
    <w:rsid w:val="00EA6DE3"/>
    <w:rsid w:val="00EC26FF"/>
    <w:rsid w:val="00ED3718"/>
    <w:rsid w:val="00EE5529"/>
    <w:rsid w:val="00EE5E69"/>
    <w:rsid w:val="00EF74F2"/>
    <w:rsid w:val="00F02A5C"/>
    <w:rsid w:val="00F060A3"/>
    <w:rsid w:val="00F27F31"/>
    <w:rsid w:val="00F3341B"/>
    <w:rsid w:val="00F35BED"/>
    <w:rsid w:val="00F50913"/>
    <w:rsid w:val="00F70D10"/>
    <w:rsid w:val="00F74FBF"/>
    <w:rsid w:val="00F75D48"/>
    <w:rsid w:val="00F76603"/>
    <w:rsid w:val="00F90204"/>
    <w:rsid w:val="00F935D9"/>
    <w:rsid w:val="00F94587"/>
    <w:rsid w:val="00FA6B21"/>
    <w:rsid w:val="00FB11F7"/>
    <w:rsid w:val="00FB75DB"/>
    <w:rsid w:val="00FC16DD"/>
    <w:rsid w:val="00FC2EBD"/>
    <w:rsid w:val="00FC32DC"/>
    <w:rsid w:val="00FC32F0"/>
    <w:rsid w:val="00FC3321"/>
    <w:rsid w:val="00FC7B51"/>
    <w:rsid w:val="00FD07A4"/>
    <w:rsid w:val="00FE5C82"/>
    <w:rsid w:val="00FE7803"/>
    <w:rsid w:val="00FF1E75"/>
    <w:rsid w:val="00FF2F3B"/>
    <w:rsid w:val="00FF54B9"/>
    <w:rsid w:val="00FF688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metcnv"/>
  <w:smartTagType w:namespaceuri="urn:schemas-microsoft-com:office:smarttags" w:name="chsdate"/>
  <w:shapeDefaults>
    <o:shapedefaults v:ext="edit" spidmax="2049"/>
    <o:shapelayout v:ext="edit">
      <o:idmap v:ext="edit" data="1"/>
    </o:shapelayout>
  </w:shapeDefaults>
  <w:decimalSymbol w:val="."/>
  <w:listSeparator w:val=","/>
  <w14:docId w14:val="5E81AC0E"/>
  <w15:docId w15:val="{812056C9-1310-4200-B2DA-90C18E991E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標楷體" w:hAnsi="Times New Roman"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773C3"/>
    <w:pPr>
      <w:widowControl w:val="0"/>
    </w:pPr>
    <w:rPr>
      <w:kern w:val="2"/>
      <w:sz w:val="24"/>
      <w:szCs w:val="22"/>
    </w:rPr>
  </w:style>
  <w:style w:type="paragraph" w:styleId="1">
    <w:name w:val="heading 1"/>
    <w:basedOn w:val="a"/>
    <w:next w:val="a"/>
    <w:link w:val="10"/>
    <w:uiPriority w:val="9"/>
    <w:qFormat/>
    <w:rsid w:val="00725277"/>
    <w:pPr>
      <w:snapToGrid w:val="0"/>
      <w:spacing w:before="100" w:beforeAutospacing="1" w:after="100" w:afterAutospacing="1"/>
      <w:jc w:val="center"/>
      <w:outlineLvl w:val="0"/>
    </w:pPr>
    <w:rPr>
      <w:b/>
      <w:sz w:val="32"/>
    </w:rPr>
  </w:style>
  <w:style w:type="paragraph" w:styleId="2">
    <w:name w:val="heading 2"/>
    <w:basedOn w:val="a0"/>
    <w:next w:val="a"/>
    <w:link w:val="20"/>
    <w:uiPriority w:val="9"/>
    <w:unhideWhenUsed/>
    <w:qFormat/>
    <w:rsid w:val="00890E44"/>
    <w:pPr>
      <w:numPr>
        <w:numId w:val="1"/>
      </w:numPr>
      <w:snapToGrid w:val="0"/>
      <w:spacing w:before="100" w:beforeAutospacing="1" w:after="100" w:afterAutospacing="1"/>
      <w:ind w:leftChars="0" w:left="482" w:hanging="482"/>
      <w:jc w:val="both"/>
      <w:outlineLvl w:val="1"/>
    </w:pPr>
    <w:rPr>
      <w:rFonts w:ascii="Times New Roman" w:eastAsia="標楷體" w:hAnsi="Times New Roman"/>
      <w:b/>
      <w:sz w:val="28"/>
    </w:rPr>
  </w:style>
  <w:style w:type="paragraph" w:styleId="3">
    <w:name w:val="heading 3"/>
    <w:basedOn w:val="a0"/>
    <w:next w:val="a"/>
    <w:link w:val="30"/>
    <w:uiPriority w:val="9"/>
    <w:unhideWhenUsed/>
    <w:qFormat/>
    <w:rsid w:val="00B03419"/>
    <w:pPr>
      <w:numPr>
        <w:numId w:val="41"/>
      </w:numPr>
      <w:snapToGrid w:val="0"/>
      <w:spacing w:before="100" w:beforeAutospacing="1" w:after="100" w:afterAutospacing="1"/>
      <w:ind w:leftChars="0" w:left="482" w:hanging="482"/>
      <w:jc w:val="both"/>
      <w:outlineLvl w:val="2"/>
    </w:pPr>
    <w:rPr>
      <w:rFonts w:ascii="Times New Roman" w:eastAsia="標楷體" w:hAnsi="Times New Roman"/>
      <w:sz w:val="28"/>
    </w:rPr>
  </w:style>
  <w:style w:type="paragraph" w:styleId="4">
    <w:name w:val="heading 4"/>
    <w:basedOn w:val="a0"/>
    <w:next w:val="a"/>
    <w:link w:val="40"/>
    <w:uiPriority w:val="9"/>
    <w:unhideWhenUsed/>
    <w:qFormat/>
    <w:rsid w:val="00BB5412"/>
    <w:pPr>
      <w:numPr>
        <w:ilvl w:val="2"/>
        <w:numId w:val="2"/>
      </w:numPr>
      <w:snapToGrid w:val="0"/>
      <w:spacing w:before="100" w:beforeAutospacing="1" w:after="100" w:afterAutospacing="1"/>
      <w:ind w:leftChars="0" w:left="714" w:hanging="357"/>
      <w:jc w:val="both"/>
      <w:outlineLvl w:val="3"/>
    </w:pPr>
    <w:rPr>
      <w:rFonts w:ascii="Times New Roman" w:eastAsia="標楷體" w:hAnsi="Times New Roman"/>
      <w:sz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標題 1 字元"/>
    <w:link w:val="1"/>
    <w:uiPriority w:val="9"/>
    <w:rsid w:val="00725277"/>
    <w:rPr>
      <w:b/>
      <w:sz w:val="32"/>
    </w:rPr>
  </w:style>
  <w:style w:type="paragraph" w:styleId="a0">
    <w:name w:val="List Paragraph"/>
    <w:basedOn w:val="a"/>
    <w:uiPriority w:val="34"/>
    <w:qFormat/>
    <w:rsid w:val="00653CC5"/>
    <w:pPr>
      <w:ind w:leftChars="200" w:left="480"/>
    </w:pPr>
    <w:rPr>
      <w:rFonts w:ascii="Calibri" w:eastAsia="新細明體" w:hAnsi="Calibri"/>
    </w:rPr>
  </w:style>
  <w:style w:type="paragraph" w:styleId="a4">
    <w:name w:val="footnote text"/>
    <w:basedOn w:val="a"/>
    <w:link w:val="a5"/>
    <w:uiPriority w:val="99"/>
    <w:unhideWhenUsed/>
    <w:rsid w:val="00653CC5"/>
    <w:pPr>
      <w:snapToGrid w:val="0"/>
    </w:pPr>
    <w:rPr>
      <w:rFonts w:ascii="Calibri" w:eastAsia="新細明體" w:hAnsi="Calibri"/>
      <w:sz w:val="20"/>
      <w:szCs w:val="20"/>
    </w:rPr>
  </w:style>
  <w:style w:type="character" w:customStyle="1" w:styleId="a5">
    <w:name w:val="註腳文字 字元"/>
    <w:link w:val="a4"/>
    <w:uiPriority w:val="99"/>
    <w:rsid w:val="00653CC5"/>
    <w:rPr>
      <w:rFonts w:ascii="Calibri" w:eastAsia="新細明體" w:hAnsi="Calibri" w:cs="Times New Roman"/>
      <w:sz w:val="20"/>
      <w:szCs w:val="20"/>
    </w:rPr>
  </w:style>
  <w:style w:type="character" w:styleId="a6">
    <w:name w:val="footnote reference"/>
    <w:uiPriority w:val="99"/>
    <w:unhideWhenUsed/>
    <w:rsid w:val="00653CC5"/>
    <w:rPr>
      <w:vertAlign w:val="superscript"/>
    </w:rPr>
  </w:style>
  <w:style w:type="paragraph" w:styleId="a7">
    <w:name w:val="header"/>
    <w:basedOn w:val="a"/>
    <w:link w:val="a8"/>
    <w:uiPriority w:val="99"/>
    <w:unhideWhenUsed/>
    <w:rsid w:val="00653CC5"/>
    <w:pPr>
      <w:tabs>
        <w:tab w:val="center" w:pos="4153"/>
        <w:tab w:val="right" w:pos="8306"/>
      </w:tabs>
      <w:snapToGrid w:val="0"/>
    </w:pPr>
    <w:rPr>
      <w:sz w:val="20"/>
      <w:szCs w:val="20"/>
    </w:rPr>
  </w:style>
  <w:style w:type="character" w:customStyle="1" w:styleId="a8">
    <w:name w:val="頁首 字元"/>
    <w:link w:val="a7"/>
    <w:uiPriority w:val="99"/>
    <w:rsid w:val="00653CC5"/>
    <w:rPr>
      <w:sz w:val="20"/>
      <w:szCs w:val="20"/>
    </w:rPr>
  </w:style>
  <w:style w:type="paragraph" w:styleId="a9">
    <w:name w:val="footer"/>
    <w:basedOn w:val="a"/>
    <w:link w:val="aa"/>
    <w:uiPriority w:val="99"/>
    <w:unhideWhenUsed/>
    <w:rsid w:val="00653CC5"/>
    <w:pPr>
      <w:tabs>
        <w:tab w:val="center" w:pos="4153"/>
        <w:tab w:val="right" w:pos="8306"/>
      </w:tabs>
      <w:snapToGrid w:val="0"/>
    </w:pPr>
    <w:rPr>
      <w:sz w:val="20"/>
      <w:szCs w:val="20"/>
    </w:rPr>
  </w:style>
  <w:style w:type="character" w:customStyle="1" w:styleId="aa">
    <w:name w:val="頁尾 字元"/>
    <w:link w:val="a9"/>
    <w:uiPriority w:val="99"/>
    <w:rsid w:val="00653CC5"/>
    <w:rPr>
      <w:sz w:val="20"/>
      <w:szCs w:val="20"/>
    </w:rPr>
  </w:style>
  <w:style w:type="character" w:styleId="ab">
    <w:name w:val="Hyperlink"/>
    <w:uiPriority w:val="99"/>
    <w:unhideWhenUsed/>
    <w:rsid w:val="00181610"/>
    <w:rPr>
      <w:color w:val="0000FF"/>
      <w:u w:val="single"/>
    </w:rPr>
  </w:style>
  <w:style w:type="character" w:customStyle="1" w:styleId="20">
    <w:name w:val="標題 2 字元"/>
    <w:link w:val="2"/>
    <w:uiPriority w:val="9"/>
    <w:rsid w:val="00890E44"/>
    <w:rPr>
      <w:b/>
      <w:kern w:val="2"/>
      <w:sz w:val="28"/>
      <w:szCs w:val="22"/>
    </w:rPr>
  </w:style>
  <w:style w:type="character" w:customStyle="1" w:styleId="30">
    <w:name w:val="標題 3 字元"/>
    <w:link w:val="3"/>
    <w:uiPriority w:val="9"/>
    <w:rsid w:val="00B03419"/>
    <w:rPr>
      <w:kern w:val="2"/>
      <w:sz w:val="28"/>
      <w:szCs w:val="22"/>
    </w:rPr>
  </w:style>
  <w:style w:type="character" w:customStyle="1" w:styleId="40">
    <w:name w:val="標題 4 字元"/>
    <w:link w:val="4"/>
    <w:uiPriority w:val="9"/>
    <w:rsid w:val="00BB5412"/>
    <w:rPr>
      <w:kern w:val="2"/>
      <w:sz w:val="28"/>
      <w:szCs w:val="22"/>
    </w:rPr>
  </w:style>
  <w:style w:type="paragraph" w:styleId="ac">
    <w:name w:val="No Spacing"/>
    <w:uiPriority w:val="1"/>
    <w:qFormat/>
    <w:rsid w:val="004D2A18"/>
    <w:pPr>
      <w:widowControl w:val="0"/>
    </w:pPr>
    <w:rPr>
      <w:kern w:val="2"/>
      <w:sz w:val="24"/>
      <w:szCs w:val="22"/>
    </w:rPr>
  </w:style>
  <w:style w:type="paragraph" w:styleId="ad">
    <w:name w:val="Salutation"/>
    <w:basedOn w:val="a"/>
    <w:next w:val="a"/>
    <w:link w:val="ae"/>
    <w:uiPriority w:val="99"/>
    <w:unhideWhenUsed/>
    <w:rsid w:val="00232275"/>
    <w:rPr>
      <w:sz w:val="28"/>
      <w:szCs w:val="28"/>
    </w:rPr>
  </w:style>
  <w:style w:type="character" w:customStyle="1" w:styleId="ae">
    <w:name w:val="問候 字元"/>
    <w:link w:val="ad"/>
    <w:uiPriority w:val="99"/>
    <w:rsid w:val="00232275"/>
    <w:rPr>
      <w:sz w:val="28"/>
      <w:szCs w:val="28"/>
    </w:rPr>
  </w:style>
  <w:style w:type="paragraph" w:styleId="af">
    <w:name w:val="Closing"/>
    <w:basedOn w:val="a"/>
    <w:link w:val="af0"/>
    <w:uiPriority w:val="99"/>
    <w:unhideWhenUsed/>
    <w:rsid w:val="00232275"/>
    <w:pPr>
      <w:ind w:leftChars="1800" w:left="100"/>
    </w:pPr>
    <w:rPr>
      <w:sz w:val="28"/>
      <w:szCs w:val="28"/>
    </w:rPr>
  </w:style>
  <w:style w:type="character" w:customStyle="1" w:styleId="af0">
    <w:name w:val="結語 字元"/>
    <w:link w:val="af"/>
    <w:uiPriority w:val="99"/>
    <w:rsid w:val="00232275"/>
    <w:rPr>
      <w:sz w:val="28"/>
      <w:szCs w:val="28"/>
    </w:rPr>
  </w:style>
  <w:style w:type="paragraph" w:styleId="11">
    <w:name w:val="toc 1"/>
    <w:basedOn w:val="a"/>
    <w:next w:val="a"/>
    <w:autoRedefine/>
    <w:uiPriority w:val="39"/>
    <w:unhideWhenUsed/>
    <w:rsid w:val="009F66C9"/>
    <w:pPr>
      <w:tabs>
        <w:tab w:val="right" w:leader="dot" w:pos="8302"/>
      </w:tabs>
    </w:pPr>
  </w:style>
  <w:style w:type="paragraph" w:styleId="af1">
    <w:name w:val="endnote text"/>
    <w:basedOn w:val="a"/>
    <w:link w:val="af2"/>
    <w:uiPriority w:val="99"/>
    <w:semiHidden/>
    <w:unhideWhenUsed/>
    <w:rsid w:val="000424AB"/>
    <w:pPr>
      <w:snapToGrid w:val="0"/>
    </w:pPr>
  </w:style>
  <w:style w:type="character" w:customStyle="1" w:styleId="af2">
    <w:name w:val="章節附註文字 字元"/>
    <w:basedOn w:val="a1"/>
    <w:link w:val="af1"/>
    <w:uiPriority w:val="99"/>
    <w:semiHidden/>
    <w:rsid w:val="000424AB"/>
  </w:style>
  <w:style w:type="character" w:styleId="af3">
    <w:name w:val="endnote reference"/>
    <w:uiPriority w:val="99"/>
    <w:semiHidden/>
    <w:unhideWhenUsed/>
    <w:rsid w:val="000424AB"/>
    <w:rPr>
      <w:vertAlign w:val="superscript"/>
    </w:rPr>
  </w:style>
  <w:style w:type="table" w:styleId="af4">
    <w:name w:val="Table Grid"/>
    <w:basedOn w:val="a2"/>
    <w:uiPriority w:val="59"/>
    <w:rsid w:val="007C1E25"/>
    <w:rPr>
      <w:rFonts w:ascii="Calibri" w:eastAsia="新細明體"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5">
    <w:name w:val="Balloon Text"/>
    <w:basedOn w:val="a"/>
    <w:link w:val="af6"/>
    <w:uiPriority w:val="99"/>
    <w:semiHidden/>
    <w:unhideWhenUsed/>
    <w:rsid w:val="00135FC9"/>
    <w:rPr>
      <w:rFonts w:ascii="Calibri Light" w:eastAsia="新細明體" w:hAnsi="Calibri Light"/>
      <w:sz w:val="18"/>
      <w:szCs w:val="18"/>
    </w:rPr>
  </w:style>
  <w:style w:type="character" w:customStyle="1" w:styleId="af6">
    <w:name w:val="註解方塊文字 字元"/>
    <w:link w:val="af5"/>
    <w:uiPriority w:val="99"/>
    <w:semiHidden/>
    <w:rsid w:val="00135FC9"/>
    <w:rPr>
      <w:rFonts w:ascii="Calibri Light" w:eastAsia="新細明體" w:hAnsi="Calibri Light" w:cs="Times New Roman"/>
      <w:sz w:val="18"/>
      <w:szCs w:val="18"/>
    </w:rPr>
  </w:style>
  <w:style w:type="paragraph" w:styleId="Web">
    <w:name w:val="Normal (Web)"/>
    <w:basedOn w:val="a"/>
    <w:uiPriority w:val="99"/>
    <w:unhideWhenUsed/>
    <w:rsid w:val="00371A18"/>
    <w:pPr>
      <w:widowControl/>
      <w:spacing w:before="100" w:beforeAutospacing="1" w:after="100" w:afterAutospacing="1"/>
    </w:pPr>
    <w:rPr>
      <w:rFonts w:ascii="新細明體" w:eastAsia="新細明體" w:hAnsi="新細明體" w:cs="新細明體"/>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2723110">
      <w:bodyDiv w:val="1"/>
      <w:marLeft w:val="0"/>
      <w:marRight w:val="0"/>
      <w:marTop w:val="0"/>
      <w:marBottom w:val="0"/>
      <w:divBdr>
        <w:top w:val="none" w:sz="0" w:space="0" w:color="auto"/>
        <w:left w:val="none" w:sz="0" w:space="0" w:color="auto"/>
        <w:bottom w:val="none" w:sz="0" w:space="0" w:color="auto"/>
        <w:right w:val="none" w:sz="0" w:space="0" w:color="auto"/>
      </w:divBdr>
    </w:div>
    <w:div w:id="604076903">
      <w:bodyDiv w:val="1"/>
      <w:marLeft w:val="0"/>
      <w:marRight w:val="0"/>
      <w:marTop w:val="0"/>
      <w:marBottom w:val="0"/>
      <w:divBdr>
        <w:top w:val="none" w:sz="0" w:space="0" w:color="auto"/>
        <w:left w:val="none" w:sz="0" w:space="0" w:color="auto"/>
        <w:bottom w:val="none" w:sz="0" w:space="0" w:color="auto"/>
        <w:right w:val="none" w:sz="0" w:space="0" w:color="auto"/>
      </w:divBdr>
    </w:div>
    <w:div w:id="924067670">
      <w:bodyDiv w:val="1"/>
      <w:marLeft w:val="0"/>
      <w:marRight w:val="0"/>
      <w:marTop w:val="0"/>
      <w:marBottom w:val="0"/>
      <w:divBdr>
        <w:top w:val="none" w:sz="0" w:space="0" w:color="auto"/>
        <w:left w:val="none" w:sz="0" w:space="0" w:color="auto"/>
        <w:bottom w:val="none" w:sz="0" w:space="0" w:color="auto"/>
        <w:right w:val="none" w:sz="0" w:space="0" w:color="auto"/>
      </w:divBdr>
    </w:div>
    <w:div w:id="1249729209">
      <w:bodyDiv w:val="1"/>
      <w:marLeft w:val="0"/>
      <w:marRight w:val="0"/>
      <w:marTop w:val="0"/>
      <w:marBottom w:val="0"/>
      <w:divBdr>
        <w:top w:val="none" w:sz="0" w:space="0" w:color="auto"/>
        <w:left w:val="none" w:sz="0" w:space="0" w:color="auto"/>
        <w:bottom w:val="none" w:sz="0" w:space="0" w:color="auto"/>
        <w:right w:val="none" w:sz="0" w:space="0" w:color="auto"/>
      </w:divBdr>
    </w:div>
    <w:div w:id="1708525011">
      <w:bodyDiv w:val="1"/>
      <w:marLeft w:val="0"/>
      <w:marRight w:val="0"/>
      <w:marTop w:val="0"/>
      <w:marBottom w:val="0"/>
      <w:divBdr>
        <w:top w:val="none" w:sz="0" w:space="0" w:color="auto"/>
        <w:left w:val="none" w:sz="0" w:space="0" w:color="auto"/>
        <w:bottom w:val="none" w:sz="0" w:space="0" w:color="auto"/>
        <w:right w:val="none" w:sz="0" w:space="0" w:color="auto"/>
      </w:divBdr>
    </w:div>
    <w:div w:id="1948194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2.xml"/><Relationship Id="rId18"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10.xml"/><Relationship Id="rId7" Type="http://schemas.openxmlformats.org/officeDocument/2006/relationships/endnotes" Target="endnotes.xml"/><Relationship Id="rId12" Type="http://schemas.openxmlformats.org/officeDocument/2006/relationships/hyperlink" Target="https://www.crin.org/en/library/legal-database" TargetMode="Externa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tbinternet.ohchr.org/"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fontTable" Target="fontTable.xml"/><Relationship Id="rId10" Type="http://schemas.openxmlformats.org/officeDocument/2006/relationships/hyperlink" Target="http://uhri.ohchr.org/en" TargetMode="External"/><Relationship Id="rId19" Type="http://schemas.openxmlformats.org/officeDocument/2006/relationships/footer" Target="footer8.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 Id="rId22" Type="http://schemas.openxmlformats.org/officeDocument/2006/relationships/footer" Target="footer1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DCB510-CEC4-4FCD-9314-9B439B87F5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221</Pages>
  <Words>23940</Words>
  <Characters>136458</Characters>
  <Application>Microsoft Office Word</Application>
  <DocSecurity>0</DocSecurity>
  <Lines>1137</Lines>
  <Paragraphs>320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160078</CharactersWithSpaces>
  <SharedDoc>false</SharedDoc>
  <HLinks>
    <vt:vector size="150" baseType="variant">
      <vt:variant>
        <vt:i4>8192039</vt:i4>
      </vt:variant>
      <vt:variant>
        <vt:i4>141</vt:i4>
      </vt:variant>
      <vt:variant>
        <vt:i4>0</vt:i4>
      </vt:variant>
      <vt:variant>
        <vt:i4>5</vt:i4>
      </vt:variant>
      <vt:variant>
        <vt:lpwstr>https://www.crin.org/en/library/legal-database</vt:lpwstr>
      </vt:variant>
      <vt:variant>
        <vt:lpwstr/>
      </vt:variant>
      <vt:variant>
        <vt:i4>524300</vt:i4>
      </vt:variant>
      <vt:variant>
        <vt:i4>138</vt:i4>
      </vt:variant>
      <vt:variant>
        <vt:i4>0</vt:i4>
      </vt:variant>
      <vt:variant>
        <vt:i4>5</vt:i4>
      </vt:variant>
      <vt:variant>
        <vt:lpwstr>http://tbinternet.ohchr.org/</vt:lpwstr>
      </vt:variant>
      <vt:variant>
        <vt:lpwstr/>
      </vt:variant>
      <vt:variant>
        <vt:i4>2031643</vt:i4>
      </vt:variant>
      <vt:variant>
        <vt:i4>135</vt:i4>
      </vt:variant>
      <vt:variant>
        <vt:i4>0</vt:i4>
      </vt:variant>
      <vt:variant>
        <vt:i4>5</vt:i4>
      </vt:variant>
      <vt:variant>
        <vt:lpwstr>http://uhri.ohchr.org/en</vt:lpwstr>
      </vt:variant>
      <vt:variant>
        <vt:lpwstr/>
      </vt:variant>
      <vt:variant>
        <vt:i4>1114161</vt:i4>
      </vt:variant>
      <vt:variant>
        <vt:i4>128</vt:i4>
      </vt:variant>
      <vt:variant>
        <vt:i4>0</vt:i4>
      </vt:variant>
      <vt:variant>
        <vt:i4>5</vt:i4>
      </vt:variant>
      <vt:variant>
        <vt:lpwstr/>
      </vt:variant>
      <vt:variant>
        <vt:lpwstr>_Toc429392553</vt:lpwstr>
      </vt:variant>
      <vt:variant>
        <vt:i4>1114161</vt:i4>
      </vt:variant>
      <vt:variant>
        <vt:i4>122</vt:i4>
      </vt:variant>
      <vt:variant>
        <vt:i4>0</vt:i4>
      </vt:variant>
      <vt:variant>
        <vt:i4>5</vt:i4>
      </vt:variant>
      <vt:variant>
        <vt:lpwstr/>
      </vt:variant>
      <vt:variant>
        <vt:lpwstr>_Toc429392552</vt:lpwstr>
      </vt:variant>
      <vt:variant>
        <vt:i4>1114161</vt:i4>
      </vt:variant>
      <vt:variant>
        <vt:i4>116</vt:i4>
      </vt:variant>
      <vt:variant>
        <vt:i4>0</vt:i4>
      </vt:variant>
      <vt:variant>
        <vt:i4>5</vt:i4>
      </vt:variant>
      <vt:variant>
        <vt:lpwstr/>
      </vt:variant>
      <vt:variant>
        <vt:lpwstr>_Toc429392551</vt:lpwstr>
      </vt:variant>
      <vt:variant>
        <vt:i4>1114161</vt:i4>
      </vt:variant>
      <vt:variant>
        <vt:i4>110</vt:i4>
      </vt:variant>
      <vt:variant>
        <vt:i4>0</vt:i4>
      </vt:variant>
      <vt:variant>
        <vt:i4>5</vt:i4>
      </vt:variant>
      <vt:variant>
        <vt:lpwstr/>
      </vt:variant>
      <vt:variant>
        <vt:lpwstr>_Toc429392550</vt:lpwstr>
      </vt:variant>
      <vt:variant>
        <vt:i4>1048625</vt:i4>
      </vt:variant>
      <vt:variant>
        <vt:i4>104</vt:i4>
      </vt:variant>
      <vt:variant>
        <vt:i4>0</vt:i4>
      </vt:variant>
      <vt:variant>
        <vt:i4>5</vt:i4>
      </vt:variant>
      <vt:variant>
        <vt:lpwstr/>
      </vt:variant>
      <vt:variant>
        <vt:lpwstr>_Toc429392549</vt:lpwstr>
      </vt:variant>
      <vt:variant>
        <vt:i4>1048625</vt:i4>
      </vt:variant>
      <vt:variant>
        <vt:i4>98</vt:i4>
      </vt:variant>
      <vt:variant>
        <vt:i4>0</vt:i4>
      </vt:variant>
      <vt:variant>
        <vt:i4>5</vt:i4>
      </vt:variant>
      <vt:variant>
        <vt:lpwstr/>
      </vt:variant>
      <vt:variant>
        <vt:lpwstr>_Toc429392548</vt:lpwstr>
      </vt:variant>
      <vt:variant>
        <vt:i4>1048625</vt:i4>
      </vt:variant>
      <vt:variant>
        <vt:i4>92</vt:i4>
      </vt:variant>
      <vt:variant>
        <vt:i4>0</vt:i4>
      </vt:variant>
      <vt:variant>
        <vt:i4>5</vt:i4>
      </vt:variant>
      <vt:variant>
        <vt:lpwstr/>
      </vt:variant>
      <vt:variant>
        <vt:lpwstr>_Toc429392547</vt:lpwstr>
      </vt:variant>
      <vt:variant>
        <vt:i4>1048625</vt:i4>
      </vt:variant>
      <vt:variant>
        <vt:i4>86</vt:i4>
      </vt:variant>
      <vt:variant>
        <vt:i4>0</vt:i4>
      </vt:variant>
      <vt:variant>
        <vt:i4>5</vt:i4>
      </vt:variant>
      <vt:variant>
        <vt:lpwstr/>
      </vt:variant>
      <vt:variant>
        <vt:lpwstr>_Toc429392546</vt:lpwstr>
      </vt:variant>
      <vt:variant>
        <vt:i4>1048625</vt:i4>
      </vt:variant>
      <vt:variant>
        <vt:i4>80</vt:i4>
      </vt:variant>
      <vt:variant>
        <vt:i4>0</vt:i4>
      </vt:variant>
      <vt:variant>
        <vt:i4>5</vt:i4>
      </vt:variant>
      <vt:variant>
        <vt:lpwstr/>
      </vt:variant>
      <vt:variant>
        <vt:lpwstr>_Toc429392545</vt:lpwstr>
      </vt:variant>
      <vt:variant>
        <vt:i4>1048625</vt:i4>
      </vt:variant>
      <vt:variant>
        <vt:i4>74</vt:i4>
      </vt:variant>
      <vt:variant>
        <vt:i4>0</vt:i4>
      </vt:variant>
      <vt:variant>
        <vt:i4>5</vt:i4>
      </vt:variant>
      <vt:variant>
        <vt:lpwstr/>
      </vt:variant>
      <vt:variant>
        <vt:lpwstr>_Toc429392544</vt:lpwstr>
      </vt:variant>
      <vt:variant>
        <vt:i4>1048625</vt:i4>
      </vt:variant>
      <vt:variant>
        <vt:i4>68</vt:i4>
      </vt:variant>
      <vt:variant>
        <vt:i4>0</vt:i4>
      </vt:variant>
      <vt:variant>
        <vt:i4>5</vt:i4>
      </vt:variant>
      <vt:variant>
        <vt:lpwstr/>
      </vt:variant>
      <vt:variant>
        <vt:lpwstr>_Toc429392543</vt:lpwstr>
      </vt:variant>
      <vt:variant>
        <vt:i4>1048625</vt:i4>
      </vt:variant>
      <vt:variant>
        <vt:i4>62</vt:i4>
      </vt:variant>
      <vt:variant>
        <vt:i4>0</vt:i4>
      </vt:variant>
      <vt:variant>
        <vt:i4>5</vt:i4>
      </vt:variant>
      <vt:variant>
        <vt:lpwstr/>
      </vt:variant>
      <vt:variant>
        <vt:lpwstr>_Toc429392542</vt:lpwstr>
      </vt:variant>
      <vt:variant>
        <vt:i4>1048625</vt:i4>
      </vt:variant>
      <vt:variant>
        <vt:i4>56</vt:i4>
      </vt:variant>
      <vt:variant>
        <vt:i4>0</vt:i4>
      </vt:variant>
      <vt:variant>
        <vt:i4>5</vt:i4>
      </vt:variant>
      <vt:variant>
        <vt:lpwstr/>
      </vt:variant>
      <vt:variant>
        <vt:lpwstr>_Toc429392541</vt:lpwstr>
      </vt:variant>
      <vt:variant>
        <vt:i4>1048625</vt:i4>
      </vt:variant>
      <vt:variant>
        <vt:i4>50</vt:i4>
      </vt:variant>
      <vt:variant>
        <vt:i4>0</vt:i4>
      </vt:variant>
      <vt:variant>
        <vt:i4>5</vt:i4>
      </vt:variant>
      <vt:variant>
        <vt:lpwstr/>
      </vt:variant>
      <vt:variant>
        <vt:lpwstr>_Toc429392540</vt:lpwstr>
      </vt:variant>
      <vt:variant>
        <vt:i4>1507377</vt:i4>
      </vt:variant>
      <vt:variant>
        <vt:i4>44</vt:i4>
      </vt:variant>
      <vt:variant>
        <vt:i4>0</vt:i4>
      </vt:variant>
      <vt:variant>
        <vt:i4>5</vt:i4>
      </vt:variant>
      <vt:variant>
        <vt:lpwstr/>
      </vt:variant>
      <vt:variant>
        <vt:lpwstr>_Toc429392539</vt:lpwstr>
      </vt:variant>
      <vt:variant>
        <vt:i4>1507377</vt:i4>
      </vt:variant>
      <vt:variant>
        <vt:i4>38</vt:i4>
      </vt:variant>
      <vt:variant>
        <vt:i4>0</vt:i4>
      </vt:variant>
      <vt:variant>
        <vt:i4>5</vt:i4>
      </vt:variant>
      <vt:variant>
        <vt:lpwstr/>
      </vt:variant>
      <vt:variant>
        <vt:lpwstr>_Toc429392538</vt:lpwstr>
      </vt:variant>
      <vt:variant>
        <vt:i4>1507377</vt:i4>
      </vt:variant>
      <vt:variant>
        <vt:i4>32</vt:i4>
      </vt:variant>
      <vt:variant>
        <vt:i4>0</vt:i4>
      </vt:variant>
      <vt:variant>
        <vt:i4>5</vt:i4>
      </vt:variant>
      <vt:variant>
        <vt:lpwstr/>
      </vt:variant>
      <vt:variant>
        <vt:lpwstr>_Toc429392537</vt:lpwstr>
      </vt:variant>
      <vt:variant>
        <vt:i4>1507377</vt:i4>
      </vt:variant>
      <vt:variant>
        <vt:i4>26</vt:i4>
      </vt:variant>
      <vt:variant>
        <vt:i4>0</vt:i4>
      </vt:variant>
      <vt:variant>
        <vt:i4>5</vt:i4>
      </vt:variant>
      <vt:variant>
        <vt:lpwstr/>
      </vt:variant>
      <vt:variant>
        <vt:lpwstr>_Toc429392536</vt:lpwstr>
      </vt:variant>
      <vt:variant>
        <vt:i4>1507377</vt:i4>
      </vt:variant>
      <vt:variant>
        <vt:i4>20</vt:i4>
      </vt:variant>
      <vt:variant>
        <vt:i4>0</vt:i4>
      </vt:variant>
      <vt:variant>
        <vt:i4>5</vt:i4>
      </vt:variant>
      <vt:variant>
        <vt:lpwstr/>
      </vt:variant>
      <vt:variant>
        <vt:lpwstr>_Toc429392535</vt:lpwstr>
      </vt:variant>
      <vt:variant>
        <vt:i4>1507377</vt:i4>
      </vt:variant>
      <vt:variant>
        <vt:i4>14</vt:i4>
      </vt:variant>
      <vt:variant>
        <vt:i4>0</vt:i4>
      </vt:variant>
      <vt:variant>
        <vt:i4>5</vt:i4>
      </vt:variant>
      <vt:variant>
        <vt:lpwstr/>
      </vt:variant>
      <vt:variant>
        <vt:lpwstr>_Toc429392534</vt:lpwstr>
      </vt:variant>
      <vt:variant>
        <vt:i4>1507377</vt:i4>
      </vt:variant>
      <vt:variant>
        <vt:i4>8</vt:i4>
      </vt:variant>
      <vt:variant>
        <vt:i4>0</vt:i4>
      </vt:variant>
      <vt:variant>
        <vt:i4>5</vt:i4>
      </vt:variant>
      <vt:variant>
        <vt:lpwstr/>
      </vt:variant>
      <vt:variant>
        <vt:lpwstr>_Toc429392533</vt:lpwstr>
      </vt:variant>
      <vt:variant>
        <vt:i4>1507377</vt:i4>
      </vt:variant>
      <vt:variant>
        <vt:i4>2</vt:i4>
      </vt:variant>
      <vt:variant>
        <vt:i4>0</vt:i4>
      </vt:variant>
      <vt:variant>
        <vt:i4>5</vt:i4>
      </vt:variant>
      <vt:variant>
        <vt:lpwstr/>
      </vt:variant>
      <vt:variant>
        <vt:lpwstr>_Toc429392532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Pei-Lun Tsai</dc:creator>
  <cp:lastModifiedBy>acer</cp:lastModifiedBy>
  <cp:revision>2</cp:revision>
  <cp:lastPrinted>2015-09-29T14:22:00Z</cp:lastPrinted>
  <dcterms:created xsi:type="dcterms:W3CDTF">2024-06-20T00:16:00Z</dcterms:created>
  <dcterms:modified xsi:type="dcterms:W3CDTF">2024-06-20T00:16:00Z</dcterms:modified>
</cp:coreProperties>
</file>